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FCD3CB">
      <w:pPr>
        <w:jc w:val="center"/>
        <w:rPr>
          <w:color w:val="auto"/>
          <w:kern w:val="24"/>
          <w:sz w:val="44"/>
          <w:szCs w:val="44"/>
        </w:rPr>
      </w:pPr>
    </w:p>
    <w:p w14:paraId="0650E524">
      <w:pPr>
        <w:jc w:val="center"/>
        <w:outlineLvl w:val="0"/>
        <w:rPr>
          <w:rFonts w:hint="eastAsia"/>
          <w:b/>
          <w:bCs/>
          <w:color w:val="auto"/>
          <w:kern w:val="24"/>
          <w:sz w:val="52"/>
          <w:szCs w:val="52"/>
        </w:rPr>
      </w:pPr>
      <w:r>
        <w:rPr>
          <w:rFonts w:hint="eastAsia"/>
          <w:b/>
          <w:bCs/>
          <w:color w:val="auto"/>
          <w:kern w:val="24"/>
          <w:sz w:val="52"/>
          <w:szCs w:val="52"/>
        </w:rPr>
        <w:t>安徽瑞瑟科金属材料有限公司年产5.05万吨再生铝建设项目</w:t>
      </w:r>
    </w:p>
    <w:p w14:paraId="3855D0A3">
      <w:pPr>
        <w:jc w:val="center"/>
        <w:outlineLvl w:val="0"/>
        <w:rPr>
          <w:b/>
          <w:bCs/>
          <w:color w:val="auto"/>
          <w:kern w:val="24"/>
          <w:sz w:val="52"/>
          <w:szCs w:val="52"/>
        </w:rPr>
      </w:pPr>
      <w:r>
        <w:rPr>
          <w:rFonts w:hint="eastAsia"/>
          <w:b/>
          <w:bCs/>
          <w:color w:val="auto"/>
          <w:kern w:val="24"/>
          <w:sz w:val="52"/>
          <w:szCs w:val="52"/>
        </w:rPr>
        <w:t>环境影响后评价报告</w:t>
      </w:r>
    </w:p>
    <w:p w14:paraId="4F31D868">
      <w:pPr>
        <w:jc w:val="center"/>
        <w:rPr>
          <w:color w:val="auto"/>
          <w:kern w:val="24"/>
          <w:sz w:val="48"/>
          <w:szCs w:val="48"/>
        </w:rPr>
      </w:pPr>
    </w:p>
    <w:p w14:paraId="4647DA6F">
      <w:pPr>
        <w:jc w:val="center"/>
        <w:rPr>
          <w:color w:val="auto"/>
          <w:kern w:val="24"/>
          <w:sz w:val="48"/>
          <w:szCs w:val="48"/>
        </w:rPr>
      </w:pPr>
    </w:p>
    <w:p w14:paraId="4D93A732">
      <w:pPr>
        <w:jc w:val="center"/>
        <w:rPr>
          <w:color w:val="auto"/>
          <w:kern w:val="24"/>
          <w:sz w:val="48"/>
          <w:szCs w:val="48"/>
        </w:rPr>
      </w:pPr>
    </w:p>
    <w:p w14:paraId="3481FEF5">
      <w:pPr>
        <w:jc w:val="center"/>
        <w:rPr>
          <w:color w:val="auto"/>
          <w:kern w:val="24"/>
          <w:sz w:val="48"/>
          <w:szCs w:val="48"/>
        </w:rPr>
      </w:pPr>
    </w:p>
    <w:p w14:paraId="7A1ED604">
      <w:pPr>
        <w:jc w:val="center"/>
        <w:rPr>
          <w:color w:val="auto"/>
          <w:kern w:val="24"/>
          <w:sz w:val="48"/>
          <w:szCs w:val="48"/>
        </w:rPr>
      </w:pPr>
    </w:p>
    <w:p w14:paraId="684FC5DF">
      <w:pPr>
        <w:jc w:val="center"/>
        <w:rPr>
          <w:color w:val="auto"/>
          <w:kern w:val="24"/>
          <w:sz w:val="48"/>
          <w:szCs w:val="48"/>
        </w:rPr>
      </w:pPr>
    </w:p>
    <w:p w14:paraId="5766EB34">
      <w:pPr>
        <w:jc w:val="center"/>
        <w:rPr>
          <w:color w:val="auto"/>
          <w:kern w:val="24"/>
          <w:sz w:val="48"/>
          <w:szCs w:val="48"/>
        </w:rPr>
      </w:pPr>
    </w:p>
    <w:p w14:paraId="225A1903">
      <w:pPr>
        <w:jc w:val="center"/>
        <w:rPr>
          <w:color w:val="auto"/>
          <w:kern w:val="24"/>
          <w:sz w:val="48"/>
          <w:szCs w:val="48"/>
        </w:rPr>
      </w:pPr>
    </w:p>
    <w:p w14:paraId="3B04F97B">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1C3CBF95">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091EA7CB">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1C70728A">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757E49E0">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r>
        <w:rPr>
          <w:color w:val="auto"/>
          <w:kern w:val="24"/>
          <w:sz w:val="32"/>
          <w:szCs w:val="32"/>
        </w:rPr>
        <w:t>建设单位：</w:t>
      </w:r>
      <w:r>
        <w:rPr>
          <w:rFonts w:hint="eastAsia"/>
          <w:color w:val="auto"/>
          <w:kern w:val="24"/>
          <w:sz w:val="32"/>
          <w:szCs w:val="32"/>
        </w:rPr>
        <w:t>安徽瑞瑟科金属材料有限公司</w:t>
      </w:r>
    </w:p>
    <w:p w14:paraId="08E502A6">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r>
        <w:rPr>
          <w:color w:val="auto"/>
          <w:spacing w:val="11"/>
          <w:kern w:val="24"/>
          <w:position w:val="0"/>
          <w:sz w:val="32"/>
          <w:szCs w:val="32"/>
        </w:rPr>
        <w:t>编制单位：安徽善宇环保科技有限公司</w:t>
      </w:r>
    </w:p>
    <w:p w14:paraId="1AA36409">
      <w:pPr>
        <w:jc w:val="center"/>
        <w:rPr>
          <w:b/>
          <w:bCs/>
          <w:color w:val="auto"/>
          <w:kern w:val="24"/>
          <w:sz w:val="32"/>
          <w:szCs w:val="32"/>
        </w:rPr>
        <w:sectPr>
          <w:headerReference r:id="rId5" w:type="first"/>
          <w:headerReference r:id="rId3" w:type="default"/>
          <w:footerReference r:id="rId6" w:type="default"/>
          <w:headerReference r:id="rId4" w:type="even"/>
          <w:footerReference r:id="rId7" w:type="even"/>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r>
        <w:rPr>
          <w:b/>
          <w:bCs/>
          <w:color w:val="auto"/>
          <w:kern w:val="24"/>
          <w:sz w:val="32"/>
          <w:szCs w:val="32"/>
        </w:rPr>
        <w:t>二〇二</w:t>
      </w:r>
      <w:r>
        <w:rPr>
          <w:rFonts w:hint="eastAsia"/>
          <w:b/>
          <w:bCs/>
          <w:color w:val="auto"/>
          <w:kern w:val="24"/>
          <w:sz w:val="32"/>
          <w:szCs w:val="32"/>
          <w:lang w:val="en-US" w:eastAsia="zh-CN"/>
        </w:rPr>
        <w:t>六</w:t>
      </w:r>
      <w:r>
        <w:rPr>
          <w:b/>
          <w:bCs/>
          <w:color w:val="auto"/>
          <w:kern w:val="24"/>
          <w:sz w:val="32"/>
          <w:szCs w:val="32"/>
        </w:rPr>
        <w:t>年</w:t>
      </w:r>
      <w:r>
        <w:rPr>
          <w:rFonts w:hint="eastAsia"/>
          <w:b/>
          <w:bCs/>
          <w:color w:val="auto"/>
          <w:kern w:val="24"/>
          <w:sz w:val="32"/>
          <w:szCs w:val="32"/>
          <w:lang w:val="en-US" w:eastAsia="zh-CN"/>
        </w:rPr>
        <w:t>三</w:t>
      </w:r>
      <w:r>
        <w:rPr>
          <w:b/>
          <w:bCs/>
          <w:color w:val="auto"/>
          <w:kern w:val="24"/>
          <w:sz w:val="32"/>
          <w:szCs w:val="32"/>
        </w:rPr>
        <w:t>月</w:t>
      </w:r>
    </w:p>
    <w:sdt>
      <w:sdtPr>
        <w:rPr>
          <w:rFonts w:ascii="宋体" w:hAnsi="宋体" w:eastAsia="宋体" w:cs="Times New Roman"/>
          <w:color w:val="auto"/>
          <w:kern w:val="2"/>
          <w:sz w:val="21"/>
          <w:szCs w:val="24"/>
          <w:lang w:val="en-US" w:eastAsia="zh-CN" w:bidi="ar-SA"/>
        </w:rPr>
        <w:id w:val="147476454"/>
        <w15:color w:val="DBDBDB"/>
        <w:docPartObj>
          <w:docPartGallery w:val="Table of Contents"/>
          <w:docPartUnique/>
        </w:docPartObj>
      </w:sdtPr>
      <w:sdtEndPr>
        <w:rPr>
          <w:rFonts w:ascii="Times New Roman" w:hAnsi="Times New Roman" w:eastAsia="宋体" w:cs="Times New Roman"/>
          <w:bCs/>
          <w:color w:val="auto"/>
          <w:kern w:val="2"/>
          <w:sz w:val="21"/>
          <w:szCs w:val="36"/>
          <w:lang w:val="en-US" w:eastAsia="zh-CN" w:bidi="ar-SA"/>
        </w:rPr>
      </w:sdtEndPr>
      <w:sdtContent>
        <w:p w14:paraId="5D7281D3">
          <w:pPr>
            <w:spacing w:before="0" w:beforeLines="0" w:after="0" w:afterLines="0" w:line="240" w:lineRule="auto"/>
            <w:ind w:left="0" w:leftChars="0" w:right="0" w:rightChars="0" w:firstLine="0" w:firstLineChars="0"/>
            <w:jc w:val="center"/>
            <w:rPr>
              <w:color w:val="auto"/>
            </w:rPr>
          </w:pPr>
          <w:r>
            <w:rPr>
              <w:rFonts w:ascii="宋体" w:hAnsi="宋体" w:eastAsia="宋体"/>
              <w:b/>
              <w:bCs/>
              <w:color w:val="auto"/>
              <w:sz w:val="22"/>
              <w:szCs w:val="28"/>
            </w:rPr>
            <w:t>目录</w:t>
          </w:r>
        </w:p>
        <w:p w14:paraId="68E3F1C2">
          <w:pPr>
            <w:pStyle w:val="23"/>
            <w:tabs>
              <w:tab w:val="right" w:leader="dot" w:pos="9746"/>
            </w:tabs>
            <w:rPr>
              <w:color w:val="auto"/>
            </w:rPr>
          </w:pPr>
          <w:r>
            <w:rPr>
              <w:bCs/>
              <w:color w:val="auto"/>
              <w:szCs w:val="36"/>
            </w:rPr>
            <w:fldChar w:fldCharType="begin"/>
          </w:r>
          <w:r>
            <w:rPr>
              <w:bCs/>
              <w:color w:val="auto"/>
              <w:szCs w:val="36"/>
            </w:rPr>
            <w:instrText xml:space="preserve">TOC \o "1-2" \h \u </w:instrText>
          </w:r>
          <w:r>
            <w:rPr>
              <w:bCs/>
              <w:color w:val="auto"/>
              <w:szCs w:val="36"/>
            </w:rPr>
            <w:fldChar w:fldCharType="separate"/>
          </w:r>
        </w:p>
        <w:p w14:paraId="0A4020D0">
          <w:pPr>
            <w:pStyle w:val="23"/>
            <w:tabs>
              <w:tab w:val="right" w:leader="dot" w:pos="9746"/>
            </w:tabs>
            <w:spacing w:line="240" w:lineRule="auto"/>
            <w:rPr>
              <w:rFonts w:hint="default" w:ascii="Times New Roman" w:hAnsi="Times New Roman" w:eastAsia="宋体" w:cs="Times New Roman"/>
              <w:b/>
              <w:bCs w:val="0"/>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_Toc11769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1 总论</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_Toc11769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5E3E7510">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_Toc12615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1.1任务由来</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_Toc12615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5F7BB6A">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_Toc26544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1.2 评价目的</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_Toc26544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3FD355D">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_Toc30057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1.3评价内容</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_Toc30057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3D5230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_Toc9104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1.4评价重点</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_Toc9104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7B184ED4">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_Toc5271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1.5 评价因子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_Toc5271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FC24A6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_Toc2750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1.6 评价标准</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_Toc2750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BF57EC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_Toc22910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1.7政策与规划相符性</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_Toc22910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1DA604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_Toc4511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1.8 环境保护目标</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_Toc4511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3135EA6">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_Toc32099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2 建设项目</w:t>
          </w:r>
          <w:r>
            <w:rPr>
              <w:rFonts w:hint="default" w:ascii="Times New Roman" w:hAnsi="Times New Roman" w:eastAsia="宋体" w:cs="Times New Roman"/>
              <w:b/>
              <w:bCs w:val="0"/>
              <w:color w:val="auto"/>
              <w:sz w:val="22"/>
              <w:szCs w:val="44"/>
              <w:lang w:val="en-US" w:eastAsia="zh-CN"/>
            </w:rPr>
            <w:t>过程</w:t>
          </w:r>
          <w:r>
            <w:rPr>
              <w:rFonts w:hint="default" w:ascii="Times New Roman" w:hAnsi="Times New Roman" w:eastAsia="宋体" w:cs="Times New Roman"/>
              <w:b/>
              <w:bCs w:val="0"/>
              <w:color w:val="auto"/>
              <w:sz w:val="22"/>
              <w:szCs w:val="44"/>
            </w:rPr>
            <w:t>回顾</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_Toc32099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- 25 -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216DD886">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_Toc12048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 xml:space="preserve">2.1 </w:t>
          </w:r>
          <w:r>
            <w:rPr>
              <w:rFonts w:hint="default" w:ascii="Times New Roman" w:hAnsi="Times New Roman" w:eastAsia="宋体" w:cs="Times New Roman"/>
              <w:bCs/>
              <w:color w:val="auto"/>
              <w:sz w:val="22"/>
              <w:szCs w:val="40"/>
              <w:lang w:val="en-US" w:eastAsia="zh-CN"/>
            </w:rPr>
            <w:t>环保手续履行情况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_Toc12048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46443C1">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_Toc27021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2</w:t>
          </w:r>
          <w:r>
            <w:rPr>
              <w:rFonts w:hint="default" w:ascii="Times New Roman" w:hAnsi="Times New Roman" w:eastAsia="宋体" w:cs="Times New Roman"/>
              <w:bCs/>
              <w:color w:val="auto"/>
              <w:sz w:val="22"/>
              <w:szCs w:val="40"/>
            </w:rPr>
            <w:t xml:space="preserve"> 环评批复及环保措施落实情况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_Toc27021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9A1FEC1">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_Toc54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3</w:t>
          </w:r>
          <w:r>
            <w:rPr>
              <w:rFonts w:hint="default" w:ascii="Times New Roman" w:hAnsi="Times New Roman" w:eastAsia="宋体" w:cs="Times New Roman"/>
              <w:bCs/>
              <w:color w:val="auto"/>
              <w:sz w:val="22"/>
              <w:szCs w:val="40"/>
            </w:rPr>
            <w:t xml:space="preserve"> 环境监测情况回顾</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_Toc54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- 27 -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2EE73E57">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_Toc3022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4</w:t>
          </w:r>
          <w:r>
            <w:rPr>
              <w:rFonts w:hint="default" w:ascii="Times New Roman" w:hAnsi="Times New Roman" w:eastAsia="宋体" w:cs="Times New Roman"/>
              <w:bCs/>
              <w:color w:val="auto"/>
              <w:sz w:val="22"/>
              <w:szCs w:val="40"/>
            </w:rPr>
            <w:t xml:space="preserve"> 公众意见收集调查回顾</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_Toc3022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- 38 -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9A20BD4">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_Toc21635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5</w:t>
          </w:r>
          <w:r>
            <w:rPr>
              <w:rFonts w:hint="default" w:ascii="Times New Roman" w:hAnsi="Times New Roman" w:eastAsia="宋体" w:cs="Times New Roman"/>
              <w:bCs/>
              <w:color w:val="auto"/>
              <w:sz w:val="22"/>
              <w:szCs w:val="40"/>
            </w:rPr>
            <w:t xml:space="preserve"> 项目运营期环境污染事故、投诉、处罚等调查</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_Toc21635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- 38 -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67647B6">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_Toc26971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6</w:t>
          </w:r>
          <w:r>
            <w:rPr>
              <w:rFonts w:hint="default" w:ascii="Times New Roman" w:hAnsi="Times New Roman" w:eastAsia="宋体" w:cs="Times New Roman"/>
              <w:bCs/>
              <w:color w:val="auto"/>
              <w:sz w:val="22"/>
              <w:szCs w:val="40"/>
            </w:rPr>
            <w:t xml:space="preserve"> 项目排污许可证申请和排污许可制度执行情况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_Toc26971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- 38 -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BF49CB8">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_Toc2462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3 建设项目工程评价</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_Toc2462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- 40 -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6D0C84D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_Toc18789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3.1 工程建设情况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_Toc18789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- 40 -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5C9A339">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_Toc9996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rPr>
            <w:t>3.3污染源及其治理措施分析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_Toc9996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- 54 -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6A6BF0D">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_Toc3935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lang w:val="en-US" w:eastAsia="zh-CN"/>
            </w:rPr>
            <w:t>3.4总量可达性分析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_Toc3935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- 65 -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F904F1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_Toc17377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highlight w:val="none"/>
              <w:lang w:val="en-US" w:eastAsia="zh-CN"/>
            </w:rPr>
            <w:t>3.5现有工程主要存在的问题及后续整改措施</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_Toc17377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- 66 -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A33619E">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_Toc17944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4 区域环境变化评价</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_Toc17944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- 72 -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065FD0CD">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_Toc13278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4.1周边区域环境敏感目标变化情况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_Toc13278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320B682">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_Toc32616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4.2污染源或其他影响源变化</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_Toc32616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0FE53A9">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_Toc957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4.3环境质量现状</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_Toc957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6F4806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_Toc7249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w:t>
          </w:r>
          <w:r>
            <w:rPr>
              <w:rFonts w:hint="default" w:ascii="Times New Roman" w:hAnsi="Times New Roman" w:eastAsia="宋体" w:cs="Times New Roman"/>
              <w:bCs/>
              <w:color w:val="auto"/>
              <w:sz w:val="22"/>
              <w:szCs w:val="40"/>
              <w:lang w:val="en-US" w:eastAsia="zh-CN"/>
            </w:rPr>
            <w:t>4变化趋势</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_Toc7249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- 89 -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BB8E9EC">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_Toc4745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5 环境保护措施有效性评估</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_Toc4745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- 94 -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6ECD7921">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_Toc7672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5.1废气污染防治措施有效性评估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_Toc7672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- 94 -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A1F15D0">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_Toc26515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28"/>
            </w:rPr>
            <w:t>5.2废水污染防治措施有效性评估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_Toc26515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- 98 -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85EBE64">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_Toc25721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5.3噪声防治措施有效性评估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_Toc25721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- 99 -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2742B6B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_Toc18517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5.4固废防治措施有效性评估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_Toc18517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- 100 -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2E6C53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_Toc5641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5.5风险防范措施有效性评估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_Toc5641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- 100 -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30FFC6B">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_Toc26181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6 环境影响预测验证</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_Toc26181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- 103 -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1BD8CCE0">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_Toc6645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6.1大气预测影响差异分析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_Toc6645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039642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_Toc24682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6.2废水影响和实际影响差异性分析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_Toc24682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4B0C048">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_Toc15470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6.3固废预测影响差异分析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_Toc15470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2974FC5">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_Toc24168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6.4噪声预测影响差异分析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_Toc24168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- 104 -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C18D9AB">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_Toc18905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7 环境保护措施补救方案和改进措施</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_Toc18905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- 105 -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46C76706">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_Toc31004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lang w:val="en-US" w:eastAsia="zh-CN"/>
            </w:rPr>
            <w:t>7.1 现存的主要环境问题及整改措施</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_Toc31004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3F05D18">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_Toc9597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rPr>
            <w:t>7.</w:t>
          </w:r>
          <w:r>
            <w:rPr>
              <w:rFonts w:hint="default" w:ascii="Times New Roman" w:hAnsi="Times New Roman" w:eastAsia="宋体" w:cs="Times New Roman"/>
              <w:bCs/>
              <w:color w:val="auto"/>
              <w:sz w:val="22"/>
              <w:szCs w:val="32"/>
              <w:lang w:val="en-US" w:eastAsia="zh-CN"/>
            </w:rPr>
            <w:t>2</w:t>
          </w:r>
          <w:r>
            <w:rPr>
              <w:rFonts w:hint="default" w:ascii="Times New Roman" w:hAnsi="Times New Roman" w:eastAsia="宋体" w:cs="Times New Roman"/>
              <w:bCs/>
              <w:color w:val="auto"/>
              <w:sz w:val="22"/>
              <w:szCs w:val="32"/>
            </w:rPr>
            <w:t xml:space="preserve"> 其他补救及改进措施</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_Toc9597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28D9EA2">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_Toc1291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lang w:val="en-US" w:eastAsia="zh-CN"/>
            </w:rPr>
            <w:t>7.3 排污许可证证后管理要求</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_Toc1291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B28FD72">
          <w:pPr>
            <w:pStyle w:val="23"/>
            <w:tabs>
              <w:tab w:val="right" w:leader="dot" w:pos="9746"/>
            </w:tabs>
            <w:spacing w:line="240" w:lineRule="auto"/>
            <w:rPr>
              <w:color w:val="auto"/>
              <w:sz w:val="20"/>
              <w:szCs w:val="20"/>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_Toc16068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lang w:val="en-US" w:eastAsia="zh-CN"/>
            </w:rPr>
            <w:t xml:space="preserve">8 </w:t>
          </w:r>
          <w:r>
            <w:rPr>
              <w:rFonts w:hint="default" w:ascii="Times New Roman" w:hAnsi="Times New Roman" w:eastAsia="宋体" w:cs="Times New Roman"/>
              <w:b/>
              <w:bCs w:val="0"/>
              <w:color w:val="auto"/>
              <w:sz w:val="22"/>
              <w:szCs w:val="44"/>
            </w:rPr>
            <w:t>评价结论</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_Toc16068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- 108 -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69E4BE9A">
          <w:pPr>
            <w:adjustRightInd w:val="0"/>
            <w:snapToGrid w:val="0"/>
            <w:spacing w:line="360" w:lineRule="auto"/>
            <w:rPr>
              <w:rFonts w:ascii="Times New Roman" w:hAnsi="Times New Roman" w:eastAsia="宋体" w:cs="Times New Roman"/>
              <w:bCs/>
              <w:color w:val="auto"/>
              <w:kern w:val="2"/>
              <w:sz w:val="21"/>
              <w:szCs w:val="36"/>
              <w:lang w:val="en-US" w:eastAsia="zh-CN" w:bidi="ar-SA"/>
            </w:rPr>
          </w:pPr>
          <w:r>
            <w:rPr>
              <w:bCs/>
              <w:color w:val="auto"/>
              <w:szCs w:val="36"/>
            </w:rPr>
            <w:fldChar w:fldCharType="end"/>
          </w:r>
        </w:p>
      </w:sdtContent>
    </w:sdt>
    <w:p w14:paraId="69A2CD23">
      <w:pPr>
        <w:adjustRightInd w:val="0"/>
        <w:snapToGrid w:val="0"/>
        <w:spacing w:line="360" w:lineRule="auto"/>
        <w:rPr>
          <w:rFonts w:ascii="Times New Roman" w:hAnsi="Times New Roman" w:eastAsia="宋体" w:cs="Times New Roman"/>
          <w:bCs/>
          <w:color w:val="auto"/>
          <w:kern w:val="2"/>
          <w:sz w:val="21"/>
          <w:szCs w:val="36"/>
          <w:lang w:val="en-US" w:eastAsia="zh-CN" w:bidi="ar-SA"/>
        </w:rPr>
        <w:sectPr>
          <w:footerReference r:id="rId8" w:type="default"/>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p>
    <w:p w14:paraId="7C171320">
      <w:pPr>
        <w:adjustRightInd w:val="0"/>
        <w:snapToGrid w:val="0"/>
        <w:spacing w:line="360" w:lineRule="auto"/>
        <w:rPr>
          <w:rFonts w:ascii="Times New Roman" w:hAnsi="Times New Roman" w:eastAsia="宋体" w:cs="Times New Roman"/>
          <w:bCs/>
          <w:color w:val="auto"/>
          <w:kern w:val="2"/>
          <w:sz w:val="21"/>
          <w:szCs w:val="36"/>
          <w:lang w:val="en-US" w:eastAsia="zh-CN" w:bidi="ar-SA"/>
        </w:rPr>
      </w:pPr>
    </w:p>
    <w:p w14:paraId="1D70073E">
      <w:pPr>
        <w:adjustRightInd w:val="0"/>
        <w:snapToGrid w:val="0"/>
        <w:spacing w:line="360" w:lineRule="auto"/>
        <w:rPr>
          <w:b/>
          <w:bCs/>
          <w:color w:val="auto"/>
          <w:sz w:val="28"/>
          <w:szCs w:val="36"/>
        </w:rPr>
      </w:pPr>
    </w:p>
    <w:p w14:paraId="22844C61">
      <w:pPr>
        <w:adjustRightInd w:val="0"/>
        <w:snapToGrid w:val="0"/>
        <w:spacing w:line="360" w:lineRule="auto"/>
        <w:rPr>
          <w:b/>
          <w:bCs/>
          <w:color w:val="auto"/>
          <w:sz w:val="28"/>
          <w:szCs w:val="36"/>
        </w:rPr>
      </w:pPr>
    </w:p>
    <w:p w14:paraId="162AD654">
      <w:pPr>
        <w:adjustRightInd w:val="0"/>
        <w:snapToGrid w:val="0"/>
        <w:spacing w:line="360" w:lineRule="auto"/>
        <w:rPr>
          <w:b/>
          <w:bCs/>
          <w:color w:val="auto"/>
          <w:sz w:val="28"/>
          <w:szCs w:val="36"/>
        </w:rPr>
      </w:pPr>
      <w:r>
        <w:rPr>
          <w:b/>
          <w:bCs/>
          <w:color w:val="auto"/>
          <w:sz w:val="28"/>
          <w:szCs w:val="36"/>
        </w:rPr>
        <w:t>附件：</w:t>
      </w:r>
    </w:p>
    <w:p w14:paraId="046D127C">
      <w:pPr>
        <w:adjustRightInd w:val="0"/>
        <w:snapToGrid w:val="0"/>
        <w:spacing w:line="360" w:lineRule="auto"/>
        <w:ind w:firstLine="480" w:firstLineChars="200"/>
        <w:outlineLvl w:val="0"/>
        <w:rPr>
          <w:rFonts w:hint="default" w:eastAsia="宋体"/>
          <w:color w:val="auto"/>
          <w:sz w:val="24"/>
          <w:szCs w:val="32"/>
          <w:lang w:val="en-US" w:eastAsia="zh-CN"/>
        </w:rPr>
      </w:pPr>
      <w:bookmarkStart w:id="0" w:name="_Toc19091"/>
      <w:bookmarkStart w:id="1" w:name="_Toc19667"/>
      <w:bookmarkStart w:id="2" w:name="_Toc31206"/>
      <w:bookmarkStart w:id="3" w:name="_Toc19631"/>
      <w:bookmarkStart w:id="4" w:name="_Toc19564"/>
      <w:bookmarkStart w:id="5" w:name="_Toc26610"/>
      <w:bookmarkStart w:id="6" w:name="_Toc29737"/>
      <w:r>
        <w:rPr>
          <w:color w:val="auto"/>
          <w:sz w:val="24"/>
          <w:szCs w:val="32"/>
        </w:rPr>
        <w:t xml:space="preserve">附件1 </w:t>
      </w:r>
      <w:bookmarkEnd w:id="0"/>
      <w:bookmarkEnd w:id="1"/>
      <w:bookmarkEnd w:id="2"/>
      <w:bookmarkEnd w:id="3"/>
      <w:bookmarkEnd w:id="4"/>
      <w:bookmarkEnd w:id="5"/>
      <w:bookmarkEnd w:id="6"/>
      <w:r>
        <w:rPr>
          <w:rFonts w:hint="eastAsia"/>
          <w:color w:val="auto"/>
          <w:sz w:val="24"/>
          <w:szCs w:val="32"/>
          <w:lang w:val="en-US" w:eastAsia="zh-CN"/>
        </w:rPr>
        <w:t>年产11万吨再生铝项目环评批复</w:t>
      </w:r>
    </w:p>
    <w:p w14:paraId="676ADAD6">
      <w:pPr>
        <w:adjustRightInd w:val="0"/>
        <w:snapToGrid w:val="0"/>
        <w:spacing w:line="360" w:lineRule="auto"/>
        <w:ind w:firstLine="480" w:firstLineChars="200"/>
        <w:outlineLvl w:val="0"/>
        <w:rPr>
          <w:rFonts w:hint="default" w:eastAsia="宋体"/>
          <w:color w:val="auto"/>
          <w:sz w:val="24"/>
          <w:szCs w:val="32"/>
          <w:lang w:val="en-US" w:eastAsia="zh-CN"/>
        </w:rPr>
      </w:pPr>
      <w:bookmarkStart w:id="7" w:name="_Toc26391"/>
      <w:bookmarkStart w:id="8" w:name="_Toc31010"/>
      <w:bookmarkStart w:id="9" w:name="_Toc25859"/>
      <w:bookmarkStart w:id="10" w:name="_Toc32757"/>
      <w:bookmarkStart w:id="11" w:name="_Toc18840"/>
      <w:bookmarkStart w:id="12" w:name="_Toc22508"/>
      <w:bookmarkStart w:id="13" w:name="_Toc8897"/>
      <w:r>
        <w:rPr>
          <w:color w:val="auto"/>
          <w:sz w:val="24"/>
          <w:szCs w:val="32"/>
        </w:rPr>
        <w:t xml:space="preserve">附件2 </w:t>
      </w:r>
      <w:bookmarkEnd w:id="7"/>
      <w:bookmarkEnd w:id="8"/>
      <w:bookmarkEnd w:id="9"/>
      <w:bookmarkEnd w:id="10"/>
      <w:bookmarkEnd w:id="11"/>
      <w:bookmarkEnd w:id="12"/>
      <w:bookmarkEnd w:id="13"/>
      <w:r>
        <w:rPr>
          <w:rFonts w:hint="eastAsia"/>
          <w:color w:val="auto"/>
          <w:sz w:val="24"/>
          <w:szCs w:val="32"/>
          <w:lang w:val="en-US" w:eastAsia="zh-CN"/>
        </w:rPr>
        <w:t>厂房租赁合同</w:t>
      </w:r>
    </w:p>
    <w:p w14:paraId="095A4200">
      <w:pPr>
        <w:adjustRightInd w:val="0"/>
        <w:snapToGrid w:val="0"/>
        <w:spacing w:line="360" w:lineRule="auto"/>
        <w:ind w:firstLine="480" w:firstLineChars="200"/>
        <w:outlineLvl w:val="0"/>
        <w:rPr>
          <w:color w:val="auto"/>
          <w:sz w:val="24"/>
          <w:szCs w:val="32"/>
        </w:rPr>
      </w:pPr>
      <w:bookmarkStart w:id="14" w:name="_Toc12212"/>
      <w:bookmarkStart w:id="15" w:name="_Toc31567"/>
      <w:bookmarkStart w:id="16" w:name="_Toc10473"/>
      <w:bookmarkStart w:id="17" w:name="_Toc3785"/>
      <w:bookmarkStart w:id="18" w:name="_Toc19837"/>
      <w:bookmarkStart w:id="19" w:name="_Toc18530"/>
      <w:bookmarkStart w:id="20" w:name="_Toc16383"/>
      <w:r>
        <w:rPr>
          <w:color w:val="auto"/>
          <w:sz w:val="24"/>
          <w:szCs w:val="32"/>
        </w:rPr>
        <w:t>附件3</w:t>
      </w:r>
      <w:r>
        <w:rPr>
          <w:rFonts w:hint="eastAsia"/>
          <w:color w:val="auto"/>
          <w:sz w:val="24"/>
          <w:szCs w:val="32"/>
          <w:lang w:val="en-US" w:eastAsia="zh-CN"/>
        </w:rPr>
        <w:t xml:space="preserve"> 项目产权变更情况说明</w:t>
      </w:r>
      <w:bookmarkEnd w:id="14"/>
      <w:bookmarkEnd w:id="15"/>
      <w:bookmarkEnd w:id="16"/>
      <w:bookmarkEnd w:id="17"/>
      <w:bookmarkEnd w:id="18"/>
      <w:bookmarkEnd w:id="19"/>
      <w:bookmarkEnd w:id="20"/>
    </w:p>
    <w:p w14:paraId="66A2AFF2">
      <w:pPr>
        <w:adjustRightInd w:val="0"/>
        <w:snapToGrid w:val="0"/>
        <w:spacing w:line="360" w:lineRule="auto"/>
        <w:ind w:firstLine="480" w:firstLineChars="200"/>
        <w:outlineLvl w:val="0"/>
        <w:rPr>
          <w:color w:val="auto"/>
          <w:sz w:val="24"/>
          <w:szCs w:val="32"/>
        </w:rPr>
      </w:pPr>
      <w:bookmarkStart w:id="21" w:name="_Toc31391"/>
      <w:bookmarkStart w:id="22" w:name="_Toc16236"/>
      <w:bookmarkStart w:id="23" w:name="_Toc23900"/>
      <w:bookmarkStart w:id="24" w:name="_Toc17810"/>
      <w:bookmarkStart w:id="25" w:name="_Toc32500"/>
      <w:bookmarkStart w:id="26" w:name="_Toc28703"/>
      <w:bookmarkStart w:id="27" w:name="_Toc24773"/>
      <w:r>
        <w:rPr>
          <w:color w:val="auto"/>
          <w:sz w:val="24"/>
          <w:szCs w:val="32"/>
        </w:rPr>
        <w:t>附件</w:t>
      </w:r>
      <w:r>
        <w:rPr>
          <w:rFonts w:hint="eastAsia"/>
          <w:color w:val="auto"/>
          <w:sz w:val="24"/>
          <w:szCs w:val="32"/>
        </w:rPr>
        <w:t>4</w:t>
      </w:r>
      <w:r>
        <w:rPr>
          <w:rFonts w:hint="eastAsia"/>
          <w:color w:val="auto"/>
          <w:sz w:val="24"/>
          <w:szCs w:val="32"/>
          <w:lang w:val="en-US" w:eastAsia="zh-CN"/>
        </w:rPr>
        <w:t xml:space="preserve"> 项目产权变更后项目备案表</w:t>
      </w:r>
      <w:r>
        <w:rPr>
          <w:color w:val="auto"/>
          <w:sz w:val="24"/>
          <w:szCs w:val="32"/>
        </w:rPr>
        <w:t xml:space="preserve"> </w:t>
      </w:r>
      <w:bookmarkEnd w:id="21"/>
      <w:bookmarkEnd w:id="22"/>
      <w:bookmarkEnd w:id="23"/>
      <w:bookmarkEnd w:id="24"/>
      <w:bookmarkEnd w:id="25"/>
      <w:bookmarkEnd w:id="26"/>
      <w:bookmarkEnd w:id="27"/>
    </w:p>
    <w:p w14:paraId="0A8D43C1">
      <w:pPr>
        <w:adjustRightInd w:val="0"/>
        <w:snapToGrid w:val="0"/>
        <w:spacing w:line="360" w:lineRule="auto"/>
        <w:ind w:firstLine="480" w:firstLineChars="200"/>
        <w:outlineLvl w:val="0"/>
        <w:rPr>
          <w:rFonts w:hint="default" w:eastAsia="宋体"/>
          <w:color w:val="auto"/>
          <w:sz w:val="24"/>
          <w:szCs w:val="32"/>
          <w:lang w:val="en-US" w:eastAsia="zh-CN"/>
        </w:rPr>
      </w:pPr>
      <w:bookmarkStart w:id="28" w:name="_Toc4876"/>
      <w:r>
        <w:rPr>
          <w:rFonts w:hint="eastAsia"/>
          <w:color w:val="auto"/>
          <w:sz w:val="24"/>
          <w:szCs w:val="32"/>
          <w:lang w:val="en-US" w:eastAsia="zh-CN"/>
        </w:rPr>
        <w:t xml:space="preserve">附件5 </w:t>
      </w:r>
      <w:bookmarkEnd w:id="28"/>
      <w:r>
        <w:rPr>
          <w:rFonts w:hint="eastAsia"/>
          <w:color w:val="auto"/>
          <w:sz w:val="24"/>
          <w:szCs w:val="32"/>
          <w:lang w:val="en-US" w:eastAsia="zh-CN"/>
        </w:rPr>
        <w:t>排污权交易鉴证书</w:t>
      </w:r>
    </w:p>
    <w:p w14:paraId="0A44CEBA">
      <w:pPr>
        <w:adjustRightInd w:val="0"/>
        <w:snapToGrid w:val="0"/>
        <w:spacing w:line="360" w:lineRule="auto"/>
        <w:ind w:firstLine="480" w:firstLineChars="200"/>
        <w:outlineLvl w:val="0"/>
        <w:rPr>
          <w:rFonts w:hint="default" w:eastAsia="宋体"/>
          <w:color w:val="auto"/>
          <w:sz w:val="24"/>
          <w:szCs w:val="32"/>
          <w:lang w:val="en-US" w:eastAsia="zh-CN"/>
        </w:rPr>
      </w:pPr>
      <w:bookmarkStart w:id="29" w:name="_Toc19425"/>
      <w:bookmarkStart w:id="30" w:name="_Toc16944"/>
      <w:bookmarkStart w:id="31" w:name="_Toc19962"/>
      <w:bookmarkStart w:id="32" w:name="_Toc8337"/>
      <w:bookmarkStart w:id="33" w:name="_Toc29620"/>
      <w:bookmarkStart w:id="34" w:name="_Toc5404"/>
      <w:bookmarkStart w:id="35" w:name="_Toc13812"/>
      <w:r>
        <w:rPr>
          <w:color w:val="auto"/>
          <w:sz w:val="24"/>
          <w:szCs w:val="32"/>
        </w:rPr>
        <w:t>附件</w:t>
      </w:r>
      <w:r>
        <w:rPr>
          <w:rFonts w:hint="eastAsia"/>
          <w:color w:val="auto"/>
          <w:sz w:val="24"/>
          <w:szCs w:val="32"/>
          <w:lang w:val="en-US" w:eastAsia="zh-CN"/>
        </w:rPr>
        <w:t>6</w:t>
      </w:r>
      <w:r>
        <w:rPr>
          <w:color w:val="auto"/>
          <w:sz w:val="24"/>
          <w:szCs w:val="32"/>
        </w:rPr>
        <w:t xml:space="preserve"> </w:t>
      </w:r>
      <w:bookmarkEnd w:id="29"/>
      <w:bookmarkEnd w:id="30"/>
      <w:bookmarkEnd w:id="31"/>
      <w:bookmarkEnd w:id="32"/>
      <w:bookmarkEnd w:id="33"/>
      <w:bookmarkEnd w:id="34"/>
      <w:bookmarkEnd w:id="35"/>
      <w:r>
        <w:rPr>
          <w:rFonts w:hint="eastAsia"/>
          <w:color w:val="auto"/>
          <w:sz w:val="24"/>
          <w:szCs w:val="32"/>
          <w:lang w:val="en-US" w:eastAsia="zh-CN"/>
        </w:rPr>
        <w:t>废气、废水例行监测报告</w:t>
      </w:r>
    </w:p>
    <w:p w14:paraId="5CA2EE8B">
      <w:pPr>
        <w:adjustRightInd w:val="0"/>
        <w:snapToGrid w:val="0"/>
        <w:spacing w:line="360" w:lineRule="auto"/>
        <w:ind w:firstLine="480" w:firstLineChars="200"/>
        <w:rPr>
          <w:rFonts w:hint="eastAsia"/>
          <w:color w:val="auto"/>
          <w:sz w:val="24"/>
          <w:szCs w:val="32"/>
          <w:lang w:val="en-US" w:eastAsia="zh-CN"/>
        </w:rPr>
      </w:pPr>
      <w:r>
        <w:rPr>
          <w:color w:val="auto"/>
          <w:sz w:val="24"/>
          <w:szCs w:val="32"/>
        </w:rPr>
        <w:t>附件</w:t>
      </w:r>
      <w:r>
        <w:rPr>
          <w:rFonts w:hint="eastAsia"/>
          <w:color w:val="auto"/>
          <w:sz w:val="24"/>
          <w:szCs w:val="32"/>
          <w:lang w:val="en-US" w:eastAsia="zh-CN"/>
        </w:rPr>
        <w:t>7</w:t>
      </w:r>
      <w:r>
        <w:rPr>
          <w:color w:val="auto"/>
          <w:sz w:val="24"/>
          <w:szCs w:val="32"/>
        </w:rPr>
        <w:t xml:space="preserve"> </w:t>
      </w:r>
      <w:r>
        <w:rPr>
          <w:rFonts w:hint="eastAsia"/>
          <w:color w:val="auto"/>
          <w:sz w:val="24"/>
          <w:szCs w:val="32"/>
          <w:lang w:val="en-US" w:eastAsia="zh-CN"/>
        </w:rPr>
        <w:t>厂界噪声例行监测报告</w:t>
      </w:r>
    </w:p>
    <w:p w14:paraId="0CBB7A0F">
      <w:pPr>
        <w:adjustRightInd w:val="0"/>
        <w:snapToGrid w:val="0"/>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附件8 环境现状补充监测报告</w:t>
      </w:r>
    </w:p>
    <w:p w14:paraId="2939CE55">
      <w:pPr>
        <w:adjustRightInd w:val="0"/>
        <w:snapToGrid w:val="0"/>
        <w:spacing w:line="360" w:lineRule="auto"/>
        <w:ind w:firstLine="480" w:firstLineChars="200"/>
        <w:outlineLvl w:val="0"/>
        <w:rPr>
          <w:rFonts w:hint="default"/>
          <w:color w:val="auto"/>
          <w:sz w:val="24"/>
          <w:szCs w:val="32"/>
          <w:lang w:val="en-US" w:eastAsia="zh-CN"/>
        </w:rPr>
      </w:pPr>
    </w:p>
    <w:p w14:paraId="6CD658E0">
      <w:pPr>
        <w:adjustRightInd w:val="0"/>
        <w:snapToGrid w:val="0"/>
        <w:spacing w:line="360" w:lineRule="auto"/>
        <w:rPr>
          <w:b/>
          <w:bCs/>
          <w:color w:val="auto"/>
          <w:sz w:val="28"/>
          <w:szCs w:val="36"/>
        </w:rPr>
      </w:pPr>
    </w:p>
    <w:p w14:paraId="761C6D7A">
      <w:pPr>
        <w:adjustRightInd w:val="0"/>
        <w:snapToGrid w:val="0"/>
        <w:spacing w:line="360" w:lineRule="auto"/>
        <w:rPr>
          <w:color w:val="auto"/>
          <w:sz w:val="24"/>
          <w:szCs w:val="32"/>
        </w:rPr>
      </w:pPr>
      <w:r>
        <w:rPr>
          <w:b/>
          <w:bCs/>
          <w:color w:val="auto"/>
          <w:sz w:val="28"/>
          <w:szCs w:val="36"/>
        </w:rPr>
        <w:t>附图：</w:t>
      </w:r>
    </w:p>
    <w:p w14:paraId="34E488F8">
      <w:pPr>
        <w:adjustRightInd w:val="0"/>
        <w:snapToGrid w:val="0"/>
        <w:spacing w:line="360" w:lineRule="auto"/>
        <w:ind w:firstLine="480" w:firstLineChars="200"/>
        <w:rPr>
          <w:rFonts w:hint="default" w:eastAsia="宋体"/>
          <w:color w:val="auto"/>
          <w:sz w:val="24"/>
          <w:szCs w:val="32"/>
          <w:lang w:val="en-US" w:eastAsia="zh-CN"/>
        </w:rPr>
      </w:pPr>
      <w:r>
        <w:rPr>
          <w:color w:val="auto"/>
          <w:sz w:val="24"/>
          <w:szCs w:val="32"/>
        </w:rPr>
        <w:t xml:space="preserve">附图1 </w:t>
      </w:r>
      <w:r>
        <w:rPr>
          <w:rFonts w:hint="eastAsia"/>
          <w:color w:val="auto"/>
          <w:sz w:val="24"/>
          <w:szCs w:val="32"/>
          <w:lang w:val="en-US" w:eastAsia="zh-CN"/>
        </w:rPr>
        <w:t>项目地理位置图</w:t>
      </w:r>
    </w:p>
    <w:p w14:paraId="3BA0D4EF">
      <w:pPr>
        <w:adjustRightInd w:val="0"/>
        <w:snapToGrid w:val="0"/>
        <w:spacing w:line="360" w:lineRule="auto"/>
        <w:ind w:firstLine="480" w:firstLineChars="200"/>
        <w:rPr>
          <w:color w:val="auto"/>
          <w:sz w:val="24"/>
          <w:szCs w:val="32"/>
        </w:rPr>
      </w:pPr>
      <w:r>
        <w:rPr>
          <w:rFonts w:hint="eastAsia"/>
          <w:color w:val="auto"/>
          <w:sz w:val="24"/>
          <w:szCs w:val="32"/>
          <w:lang w:val="en-US" w:eastAsia="zh-CN"/>
        </w:rPr>
        <w:t xml:space="preserve">附图2 </w:t>
      </w:r>
      <w:r>
        <w:rPr>
          <w:color w:val="auto"/>
          <w:sz w:val="24"/>
          <w:szCs w:val="32"/>
        </w:rPr>
        <w:t>厂区平面布置图</w:t>
      </w:r>
    </w:p>
    <w:p w14:paraId="750A7107">
      <w:pPr>
        <w:adjustRightInd w:val="0"/>
        <w:snapToGrid w:val="0"/>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附图3 车间布局图</w:t>
      </w:r>
    </w:p>
    <w:p w14:paraId="2415B928">
      <w:pPr>
        <w:adjustRightInd w:val="0"/>
        <w:snapToGrid w:val="0"/>
        <w:spacing w:line="360" w:lineRule="auto"/>
        <w:ind w:firstLine="420" w:firstLineChars="200"/>
        <w:rPr>
          <w:color w:val="auto"/>
        </w:rPr>
        <w:sectPr>
          <w:footerReference r:id="rId9" w:type="default"/>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p>
    <w:p w14:paraId="706CEF52">
      <w:pPr>
        <w:jc w:val="center"/>
        <w:outlineLvl w:val="0"/>
        <w:rPr>
          <w:b/>
          <w:bCs/>
          <w:color w:val="auto"/>
          <w:sz w:val="32"/>
          <w:szCs w:val="40"/>
        </w:rPr>
      </w:pPr>
      <w:bookmarkStart w:id="36" w:name="_Toc28150"/>
      <w:bookmarkStart w:id="37" w:name="_Toc11769"/>
      <w:r>
        <w:rPr>
          <w:b/>
          <w:bCs/>
          <w:color w:val="auto"/>
          <w:sz w:val="32"/>
          <w:szCs w:val="40"/>
        </w:rPr>
        <w:t>1 总论</w:t>
      </w:r>
      <w:bookmarkEnd w:id="36"/>
      <w:bookmarkEnd w:id="37"/>
    </w:p>
    <w:p w14:paraId="1E261B0C">
      <w:pPr>
        <w:spacing w:line="360" w:lineRule="auto"/>
        <w:outlineLvl w:val="1"/>
        <w:rPr>
          <w:b/>
          <w:bCs/>
          <w:color w:val="auto"/>
          <w:sz w:val="28"/>
          <w:szCs w:val="36"/>
        </w:rPr>
      </w:pPr>
      <w:bookmarkStart w:id="38" w:name="_Toc12615"/>
      <w:r>
        <w:rPr>
          <w:b/>
          <w:bCs/>
          <w:color w:val="auto"/>
          <w:sz w:val="28"/>
          <w:szCs w:val="36"/>
        </w:rPr>
        <w:t>1.1任务由来</w:t>
      </w:r>
      <w:bookmarkEnd w:id="38"/>
    </w:p>
    <w:p w14:paraId="5F6984E4">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安徽华中天力铝业有限公司年产11万吨再生铝建设项目</w:t>
      </w:r>
      <w:r>
        <w:rPr>
          <w:rFonts w:hint="eastAsia"/>
          <w:color w:val="auto"/>
          <w:kern w:val="24"/>
          <w:sz w:val="24"/>
          <w:lang w:eastAsia="zh-CN"/>
        </w:rPr>
        <w:t>（</w:t>
      </w:r>
      <w:r>
        <w:rPr>
          <w:rFonts w:hint="eastAsia"/>
          <w:color w:val="auto"/>
          <w:kern w:val="24"/>
          <w:sz w:val="24"/>
          <w:lang w:val="en-US" w:eastAsia="zh-CN"/>
        </w:rPr>
        <w:t>以下简称“本项目”</w:t>
      </w:r>
      <w:r>
        <w:rPr>
          <w:rFonts w:hint="eastAsia"/>
          <w:color w:val="auto"/>
          <w:kern w:val="24"/>
          <w:sz w:val="24"/>
          <w:lang w:eastAsia="zh-CN"/>
        </w:rPr>
        <w:t>）</w:t>
      </w:r>
      <w:r>
        <w:rPr>
          <w:rFonts w:hint="eastAsia"/>
          <w:color w:val="auto"/>
          <w:kern w:val="24"/>
          <w:sz w:val="24"/>
        </w:rPr>
        <w:t>于2016年6月30日取得原淮北市环境保护局环评批复，批复文号</w:t>
      </w:r>
      <w:r>
        <w:rPr>
          <w:rFonts w:hint="eastAsia"/>
          <w:color w:val="auto"/>
          <w:kern w:val="24"/>
          <w:sz w:val="24"/>
          <w:lang w:eastAsia="zh-CN"/>
        </w:rPr>
        <w:t>：</w:t>
      </w:r>
      <w:r>
        <w:rPr>
          <w:rFonts w:hint="eastAsia"/>
          <w:color w:val="auto"/>
          <w:kern w:val="24"/>
          <w:sz w:val="24"/>
          <w:lang w:val="en-US" w:eastAsia="zh-CN"/>
        </w:rPr>
        <w:t>淮环行【2016】27号，一期产能5.05万吨/年，二期产能5.95万吨/年；一期于2018年建成，主要生产设备为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15A09CEB">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2022年12月由于原华中天力公司破产，濉溪经开区投资发展有限公司经濉溪县人民法院司法拍卖取得濉溪经济开发区玉兰西路8号原华中天力公司的所有土地、厂房、设备及配套物资等资产，并于2023年1月1日起委托给安徽力幕新材料科技有限公司进行生产经营及日常管理，安徽力幕新材料科技有限公司将“年产11万吨再生铝建设项目一期工程”的厂房、设备及配套物资转租给安徽省裕康铝业有限公司，由安徽省裕康铝业有限公司进行生产经营及日常管理。2025年由于经营问题，安徽省裕康铝业有限公司生产经营的“年产11万吨再生铝建设项目一期工程”7月12日开始停产。</w:t>
      </w:r>
    </w:p>
    <w:p w14:paraId="7FD628B5">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2025年9月，</w:t>
      </w:r>
      <w:r>
        <w:rPr>
          <w:rFonts w:hint="eastAsia"/>
          <w:color w:val="auto"/>
          <w:kern w:val="24"/>
          <w:sz w:val="24"/>
          <w:lang w:val="en-US" w:eastAsia="zh-CN"/>
        </w:rPr>
        <w:t>由安徽瑞瑟科金属材料有限公司接手“安徽华中天力铝业有限公司年产11万吨再生铝建设项目”进行生产。因此前实际建成运行的是项目的一期工程，本次安徽瑞瑟科金属材料有限公司接手的也仅为安徽华中天力铝业有限公司年产11万吨再生铝建设项目的一期工程（即产能为5.05万吨/年）。</w:t>
      </w:r>
    </w:p>
    <w:p w14:paraId="7D0F4EA9">
      <w:pPr>
        <w:adjustRightInd w:val="0"/>
        <w:snapToGrid w:val="0"/>
        <w:spacing w:line="360" w:lineRule="auto"/>
        <w:ind w:firstLine="480" w:firstLineChars="200"/>
        <w:rPr>
          <w:rFonts w:hint="eastAsia" w:cs="Times New Roman"/>
          <w:color w:val="auto"/>
          <w:sz w:val="24"/>
          <w:szCs w:val="24"/>
          <w:lang w:eastAsia="zh-CN"/>
        </w:rPr>
      </w:pPr>
      <w:r>
        <w:rPr>
          <w:rFonts w:hint="eastAsia"/>
          <w:color w:val="auto"/>
          <w:kern w:val="24"/>
          <w:sz w:val="24"/>
          <w:lang w:val="en-US" w:eastAsia="zh-CN"/>
        </w:rPr>
        <w:t>安徽华中天力铝业有限公司年产11万吨再生铝建设项目的一期工程涉及“</w:t>
      </w:r>
      <w:r>
        <w:rPr>
          <w:rFonts w:hint="default" w:ascii="Times New Roman" w:hAnsi="Times New Roman" w:eastAsia="宋体" w:cs="Times New Roman"/>
          <w:color w:val="auto"/>
          <w:sz w:val="24"/>
          <w:szCs w:val="24"/>
        </w:rPr>
        <w:t>产业结构调整指导目录（2024年本）》</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第三类淘汰类</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中</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一、落后生产工艺装备</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（六）有色金属第18条</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15吨以下再生铝用熔炼炉</w:t>
      </w:r>
      <w:r>
        <w:rPr>
          <w:rFonts w:hint="eastAsia" w:ascii="宋体" w:hAnsi="宋体" w:eastAsia="宋体" w:cs="宋体"/>
          <w:color w:val="auto"/>
          <w:sz w:val="24"/>
          <w:szCs w:val="24"/>
        </w:rPr>
        <w:t>”</w:t>
      </w:r>
      <w:r>
        <w:rPr>
          <w:rFonts w:hint="eastAsia"/>
          <w:color w:val="auto"/>
          <w:kern w:val="24"/>
          <w:sz w:val="24"/>
          <w:lang w:val="en-US" w:eastAsia="zh-CN"/>
        </w:rPr>
        <w:t>”中的淘汰设备，具体为</w:t>
      </w:r>
      <w:r>
        <w:rPr>
          <w:rFonts w:hint="default" w:ascii="Times New Roman" w:hAnsi="Times New Roman" w:eastAsia="宋体" w:cs="Times New Roman"/>
          <w:color w:val="auto"/>
          <w:sz w:val="24"/>
          <w:szCs w:val="24"/>
        </w:rPr>
        <w:t>1台10吨再生铝用熔炼精炼两用炉</w:t>
      </w:r>
      <w:r>
        <w:rPr>
          <w:rFonts w:hint="eastAsia" w:cs="Times New Roman"/>
          <w:color w:val="auto"/>
          <w:sz w:val="24"/>
          <w:szCs w:val="24"/>
          <w:lang w:eastAsia="zh-CN"/>
        </w:rPr>
        <w:t>。</w:t>
      </w:r>
      <w:r>
        <w:rPr>
          <w:rFonts w:hint="eastAsia"/>
          <w:color w:val="auto"/>
          <w:kern w:val="24"/>
          <w:sz w:val="24"/>
          <w:lang w:val="en-US" w:eastAsia="zh-CN"/>
        </w:rPr>
        <w:t>安徽瑞瑟科金属材料有限公司接手了“安徽华中天力铝业有限公司年产11万吨再生铝建设项目的一期工程”后，对生产设备进行升级，</w:t>
      </w:r>
      <w:r>
        <w:rPr>
          <w:rFonts w:hint="eastAsia" w:cs="Times New Roman"/>
          <w:color w:val="auto"/>
          <w:sz w:val="24"/>
          <w:szCs w:val="24"/>
          <w:lang w:eastAsia="zh-CN"/>
        </w:rPr>
        <w:t>优化生产布局、提升装备水平、降低能耗与污染物排放，</w:t>
      </w:r>
      <w:r>
        <w:rPr>
          <w:rFonts w:hint="default" w:ascii="Times New Roman" w:hAnsi="Times New Roman" w:eastAsia="宋体" w:cs="Times New Roman"/>
          <w:color w:val="auto"/>
          <w:sz w:val="24"/>
          <w:szCs w:val="24"/>
        </w:rPr>
        <w:t>将淘汰并拆除现有1台10吨再生铝用熔炼精炼两用炉</w:t>
      </w:r>
      <w:r>
        <w:rPr>
          <w:rFonts w:hint="eastAsia" w:cs="Times New Roman"/>
          <w:color w:val="auto"/>
          <w:sz w:val="24"/>
          <w:szCs w:val="24"/>
          <w:lang w:eastAsia="zh-CN"/>
        </w:rPr>
        <w:t>、</w:t>
      </w:r>
      <w:r>
        <w:rPr>
          <w:rFonts w:hint="eastAsia" w:cs="Times New Roman"/>
          <w:color w:val="auto"/>
          <w:sz w:val="24"/>
          <w:szCs w:val="24"/>
          <w:lang w:val="en-US" w:eastAsia="zh-CN"/>
        </w:rPr>
        <w:t>1台20吨精炼炉。</w:t>
      </w:r>
      <w:r>
        <w:rPr>
          <w:rFonts w:hint="default" w:ascii="Times New Roman" w:hAnsi="Times New Roman" w:eastAsia="宋体" w:cs="Times New Roman"/>
          <w:color w:val="auto"/>
          <w:sz w:val="24"/>
          <w:szCs w:val="24"/>
        </w:rPr>
        <w:t>对现有1台40吨</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1台30吨熔炼炉</w:t>
      </w:r>
      <w:r>
        <w:rPr>
          <w:rFonts w:hint="eastAsia" w:cs="Times New Roman"/>
          <w:color w:val="auto"/>
          <w:sz w:val="24"/>
          <w:szCs w:val="24"/>
          <w:lang w:val="en-US" w:eastAsia="zh-CN"/>
        </w:rPr>
        <w:t>和1台30t精炼炉</w:t>
      </w:r>
      <w:r>
        <w:rPr>
          <w:rFonts w:hint="default" w:ascii="Times New Roman" w:hAnsi="Times New Roman" w:eastAsia="宋体" w:cs="Times New Roman"/>
          <w:color w:val="auto"/>
          <w:sz w:val="24"/>
          <w:szCs w:val="24"/>
        </w:rPr>
        <w:t>实施设备更新与升级，</w:t>
      </w:r>
      <w:r>
        <w:rPr>
          <w:rFonts w:hint="eastAsia" w:ascii="Times New Roman" w:hAnsi="Times New Roman" w:eastAsia="宋体" w:cs="Times New Roman"/>
          <w:color w:val="auto"/>
          <w:sz w:val="24"/>
          <w:szCs w:val="24"/>
          <w:lang w:val="en-US" w:eastAsia="zh-CN"/>
        </w:rPr>
        <w:t>以</w:t>
      </w:r>
      <w:r>
        <w:rPr>
          <w:rFonts w:hint="default" w:ascii="Times New Roman" w:hAnsi="Times New Roman" w:eastAsia="宋体" w:cs="Times New Roman"/>
          <w:color w:val="auto"/>
          <w:sz w:val="24"/>
          <w:szCs w:val="24"/>
        </w:rPr>
        <w:t>提升能效水平和生产效率，推动绿色低碳转型</w:t>
      </w:r>
      <w:r>
        <w:rPr>
          <w:rFonts w:hint="eastAsia" w:cs="Times New Roman"/>
          <w:color w:val="auto"/>
          <w:sz w:val="24"/>
          <w:szCs w:val="24"/>
          <w:lang w:eastAsia="zh-CN"/>
        </w:rPr>
        <w:t>。</w:t>
      </w:r>
    </w:p>
    <w:p w14:paraId="33CA1423">
      <w:pPr>
        <w:adjustRightInd w:val="0"/>
        <w:snapToGrid w:val="0"/>
        <w:spacing w:line="360" w:lineRule="auto"/>
        <w:ind w:firstLine="480" w:firstLineChars="200"/>
        <w:rPr>
          <w:rFonts w:hint="eastAsia" w:cs="Times New Roman"/>
          <w:color w:val="auto"/>
          <w:sz w:val="24"/>
          <w:szCs w:val="24"/>
          <w:lang w:val="en-US" w:eastAsia="zh-CN"/>
        </w:rPr>
      </w:pPr>
      <w:r>
        <w:rPr>
          <w:rFonts w:hint="eastAsia"/>
          <w:color w:val="auto"/>
          <w:kern w:val="24"/>
          <w:sz w:val="24"/>
          <w:lang w:val="en-US" w:eastAsia="zh-CN"/>
        </w:rPr>
        <w:t>安徽瑞瑟科金属材料有限公司</w:t>
      </w:r>
      <w:r>
        <w:rPr>
          <w:rFonts w:hint="eastAsia" w:ascii="宋体" w:hAnsi="宋体" w:eastAsia="宋体" w:cs="宋体"/>
          <w:sz w:val="24"/>
          <w:szCs w:val="24"/>
          <w:lang w:val="en-US" w:eastAsia="zh-CN"/>
        </w:rPr>
        <w:t>为</w:t>
      </w:r>
      <w:r>
        <w:rPr>
          <w:rFonts w:ascii="宋体" w:hAnsi="宋体" w:eastAsia="宋体" w:cs="宋体"/>
          <w:sz w:val="24"/>
          <w:szCs w:val="24"/>
        </w:rPr>
        <w:t>满足</w:t>
      </w:r>
      <w:r>
        <w:rPr>
          <w:rFonts w:hint="eastAsia" w:ascii="宋体" w:hAnsi="宋体" w:cs="宋体"/>
          <w:sz w:val="24"/>
          <w:szCs w:val="24"/>
          <w:lang w:val="en-US" w:eastAsia="zh-CN"/>
        </w:rPr>
        <w:t>市场</w:t>
      </w:r>
      <w:r>
        <w:rPr>
          <w:rFonts w:ascii="宋体" w:hAnsi="宋体" w:eastAsia="宋体" w:cs="宋体"/>
          <w:sz w:val="24"/>
          <w:szCs w:val="24"/>
        </w:rPr>
        <w:t>高端化、</w:t>
      </w:r>
      <w:r>
        <w:rPr>
          <w:rFonts w:hint="eastAsia" w:ascii="宋体" w:hAnsi="宋体" w:cs="宋体"/>
          <w:sz w:val="24"/>
          <w:szCs w:val="24"/>
          <w:lang w:eastAsia="zh-CN"/>
        </w:rPr>
        <w:t>高效</w:t>
      </w:r>
      <w:r>
        <w:rPr>
          <w:rFonts w:ascii="宋体" w:hAnsi="宋体" w:eastAsia="宋体" w:cs="宋体"/>
          <w:sz w:val="24"/>
          <w:szCs w:val="24"/>
        </w:rPr>
        <w:t>铸锭</w:t>
      </w:r>
      <w:r>
        <w:rPr>
          <w:rFonts w:hint="eastAsia" w:ascii="宋体" w:hAnsi="宋体" w:eastAsia="宋体" w:cs="宋体"/>
          <w:sz w:val="24"/>
          <w:szCs w:val="24"/>
          <w:lang w:val="en-US" w:eastAsia="zh-CN"/>
        </w:rPr>
        <w:t>的生产</w:t>
      </w:r>
      <w:r>
        <w:rPr>
          <w:rFonts w:ascii="宋体" w:hAnsi="宋体" w:eastAsia="宋体" w:cs="宋体"/>
          <w:sz w:val="24"/>
          <w:szCs w:val="24"/>
        </w:rPr>
        <w:t>需求</w:t>
      </w:r>
      <w:r>
        <w:rPr>
          <w:rFonts w:hint="eastAsia" w:ascii="宋体" w:hAnsi="宋体" w:eastAsia="宋体" w:cs="宋体"/>
          <w:sz w:val="24"/>
          <w:szCs w:val="24"/>
          <w:lang w:eastAsia="zh-CN"/>
        </w:rPr>
        <w:t>，</w:t>
      </w:r>
      <w:r>
        <w:rPr>
          <w:rFonts w:hint="default" w:ascii="Times New Roman" w:hAnsi="Times New Roman" w:eastAsia="宋体" w:cs="Times New Roman"/>
          <w:sz w:val="24"/>
          <w:szCs w:val="24"/>
          <w:lang w:val="en-US" w:eastAsia="zh-CN"/>
        </w:rPr>
        <w:t>将</w:t>
      </w:r>
      <w:r>
        <w:rPr>
          <w:rFonts w:hint="eastAsia" w:cs="Times New Roman"/>
          <w:sz w:val="24"/>
          <w:szCs w:val="24"/>
          <w:lang w:val="en-US" w:eastAsia="zh-CN"/>
        </w:rPr>
        <w:t>原项目中的</w:t>
      </w:r>
      <w:r>
        <w:rPr>
          <w:rFonts w:hint="default" w:ascii="Times New Roman" w:hAnsi="Times New Roman" w:eastAsia="宋体" w:cs="Times New Roman"/>
          <w:sz w:val="24"/>
          <w:szCs w:val="24"/>
          <w:lang w:val="en-US" w:eastAsia="zh-CN"/>
        </w:rPr>
        <w:t>2条</w:t>
      </w:r>
      <w:r>
        <w:rPr>
          <w:rFonts w:hint="eastAsia" w:ascii="Times New Roman" w:hAnsi="Times New Roman" w:eastAsia="宋体" w:cs="Times New Roman"/>
          <w:sz w:val="24"/>
          <w:szCs w:val="24"/>
          <w:lang w:val="en-US" w:eastAsia="zh-CN"/>
        </w:rPr>
        <w:t>260</w:t>
      </w:r>
      <w:r>
        <w:rPr>
          <w:rFonts w:hint="default" w:ascii="Times New Roman" w:hAnsi="Times New Roman" w:eastAsia="宋体" w:cs="Times New Roman"/>
          <w:sz w:val="24"/>
          <w:szCs w:val="24"/>
          <w:lang w:val="en-US" w:eastAsia="zh-CN"/>
        </w:rPr>
        <w:t>模铸锭叠锭</w:t>
      </w:r>
      <w:r>
        <w:rPr>
          <w:rFonts w:hint="eastAsia" w:ascii="Times New Roman" w:hAnsi="Times New Roman" w:eastAsia="宋体" w:cs="Times New Roman"/>
          <w:sz w:val="24"/>
          <w:szCs w:val="24"/>
          <w:lang w:val="en-US" w:eastAsia="zh-CN"/>
        </w:rPr>
        <w:t>生产</w:t>
      </w:r>
      <w:r>
        <w:rPr>
          <w:rFonts w:hint="default" w:ascii="Times New Roman" w:hAnsi="Times New Roman" w:eastAsia="宋体" w:cs="Times New Roman"/>
          <w:sz w:val="24"/>
          <w:szCs w:val="24"/>
          <w:lang w:val="en-US" w:eastAsia="zh-CN"/>
        </w:rPr>
        <w:t>线</w:t>
      </w:r>
      <w:r>
        <w:rPr>
          <w:rFonts w:hint="eastAsia" w:cs="Times New Roman"/>
          <w:sz w:val="24"/>
          <w:szCs w:val="24"/>
          <w:lang w:val="en-US" w:eastAsia="zh-CN"/>
        </w:rPr>
        <w:t>设备更新为</w:t>
      </w:r>
      <w:r>
        <w:rPr>
          <w:rFonts w:hint="eastAsia" w:ascii="Times New Roman" w:hAnsi="Times New Roman" w:eastAsia="宋体" w:cs="Times New Roman"/>
          <w:sz w:val="24"/>
          <w:szCs w:val="24"/>
          <w:lang w:val="en-US" w:eastAsia="zh-CN"/>
        </w:rPr>
        <w:t>2条</w:t>
      </w:r>
      <w:r>
        <w:rPr>
          <w:rFonts w:hint="eastAsia" w:cs="Times New Roman"/>
          <w:color w:val="auto"/>
          <w:sz w:val="24"/>
          <w:szCs w:val="24"/>
          <w:lang w:val="en-US" w:eastAsia="zh-CN"/>
        </w:rPr>
        <w:t>500模铸锭叠锭生产线。</w:t>
      </w:r>
    </w:p>
    <w:p w14:paraId="1077A406">
      <w:pPr>
        <w:adjustRightInd w:val="0"/>
        <w:snapToGrid w:val="0"/>
        <w:spacing w:line="360" w:lineRule="auto"/>
        <w:ind w:firstLine="480" w:firstLineChars="200"/>
        <w:rPr>
          <w:rFonts w:hint="default" w:eastAsia="宋体"/>
          <w:color w:val="auto"/>
          <w:kern w:val="24"/>
          <w:sz w:val="24"/>
          <w:lang w:val="en-US" w:eastAsia="zh-CN"/>
        </w:rPr>
      </w:pPr>
      <w:r>
        <w:rPr>
          <w:rFonts w:hint="eastAsia" w:cs="Times New Roman"/>
          <w:color w:val="auto"/>
          <w:sz w:val="24"/>
          <w:szCs w:val="24"/>
          <w:lang w:val="en-US" w:eastAsia="zh-CN"/>
        </w:rPr>
        <w:t>目前厂区主要生产设备</w:t>
      </w:r>
      <w:r>
        <w:rPr>
          <w:rFonts w:hint="default" w:ascii="Times New Roman" w:hAnsi="Times New Roman" w:eastAsia="宋体" w:cs="Times New Roman"/>
          <w:color w:val="auto"/>
          <w:sz w:val="24"/>
          <w:szCs w:val="24"/>
        </w:rPr>
        <w:t>1台40吨熔炼炉</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1台30吨熔炼炉</w:t>
      </w:r>
      <w:r>
        <w:rPr>
          <w:rFonts w:hint="eastAsia" w:cs="Times New Roman"/>
          <w:color w:val="auto"/>
          <w:sz w:val="24"/>
          <w:szCs w:val="24"/>
          <w:lang w:eastAsia="zh-CN"/>
        </w:rPr>
        <w:t>、</w:t>
      </w:r>
      <w:r>
        <w:rPr>
          <w:rFonts w:hint="eastAsia" w:cs="Times New Roman"/>
          <w:color w:val="auto"/>
          <w:sz w:val="24"/>
          <w:szCs w:val="24"/>
          <w:lang w:val="en-US" w:eastAsia="zh-CN"/>
        </w:rPr>
        <w:t>1台30吨精炼炉和2条500模铸锭叠锭生产线已升级更新完成，通过“炉组轮换、错峰熔炼”的方式，项目产能不突破</w:t>
      </w:r>
      <w:r>
        <w:rPr>
          <w:rFonts w:hint="eastAsia"/>
          <w:color w:val="auto"/>
          <w:kern w:val="24"/>
          <w:sz w:val="24"/>
          <w:lang w:val="en-US" w:eastAsia="zh-CN"/>
        </w:rPr>
        <w:t>“安徽华中天力铝业有限公司年产11万吨再生铝建设项目的一期工程”产能（即5.05万吨/年）。</w:t>
      </w:r>
    </w:p>
    <w:p w14:paraId="44692735">
      <w:pPr>
        <w:adjustRightInd w:val="0"/>
        <w:snapToGrid w:val="0"/>
        <w:spacing w:line="360" w:lineRule="auto"/>
        <w:ind w:firstLine="480" w:firstLineChars="200"/>
        <w:rPr>
          <w:rFonts w:hint="default" w:eastAsia="宋体"/>
          <w:snapToGrid w:val="0"/>
          <w:color w:val="auto"/>
          <w:sz w:val="24"/>
          <w:szCs w:val="32"/>
          <w:lang w:val="en-US" w:eastAsia="zh-CN"/>
        </w:rPr>
      </w:pPr>
      <w:r>
        <w:rPr>
          <w:rFonts w:hint="eastAsia" w:ascii="Times New Roman" w:hAnsi="Times New Roman" w:eastAsia="宋体" w:cs="Times New Roman"/>
          <w:color w:val="0000FF"/>
          <w:sz w:val="24"/>
          <w:szCs w:val="24"/>
          <w:lang w:val="en-US" w:eastAsia="zh-CN"/>
        </w:rPr>
        <w:t>企业</w:t>
      </w:r>
      <w:r>
        <w:rPr>
          <w:rFonts w:hint="eastAsia" w:cs="Times New Roman"/>
          <w:color w:val="0000FF"/>
          <w:sz w:val="24"/>
          <w:szCs w:val="24"/>
          <w:lang w:val="en-US" w:eastAsia="zh-CN"/>
        </w:rPr>
        <w:t>在保持产能不变，升级更新设备的同时，还升级更新原项目的污染防治措施，具体为</w:t>
      </w:r>
      <w:r>
        <w:rPr>
          <w:rFonts w:hint="eastAsia" w:cs="Times New Roman"/>
          <w:color w:val="0000FF"/>
          <w:sz w:val="24"/>
          <w:lang w:val="en-US" w:eastAsia="zh-CN"/>
        </w:rPr>
        <w:t>将</w:t>
      </w:r>
      <w:r>
        <w:rPr>
          <w:rFonts w:hint="default" w:ascii="Times New Roman" w:hAnsi="Times New Roman" w:eastAsia="宋体" w:cs="Times New Roman"/>
          <w:color w:val="0000FF"/>
          <w:sz w:val="24"/>
          <w:lang w:val="en-US" w:eastAsia="zh-CN"/>
        </w:rPr>
        <w:t>两套独立</w:t>
      </w:r>
      <w:r>
        <w:rPr>
          <w:rFonts w:hint="eastAsia" w:cs="Times New Roman"/>
          <w:color w:val="0000FF"/>
          <w:sz w:val="24"/>
          <w:lang w:val="en-US" w:eastAsia="zh-CN"/>
        </w:rPr>
        <w:t>“</w:t>
      </w:r>
      <w:r>
        <w:rPr>
          <w:rFonts w:hint="default" w:ascii="Times New Roman" w:hAnsi="Times New Roman" w:eastAsia="宋体" w:cs="Times New Roman"/>
          <w:color w:val="0000FF"/>
          <w:sz w:val="24"/>
          <w:lang w:val="en-US" w:eastAsia="zh-CN"/>
        </w:rPr>
        <w:t>旋风+布袋+碱喷淋</w:t>
      </w:r>
      <w:r>
        <w:rPr>
          <w:rFonts w:hint="eastAsia" w:cs="Times New Roman"/>
          <w:color w:val="0000FF"/>
          <w:sz w:val="24"/>
          <w:lang w:val="en-US" w:eastAsia="zh-CN"/>
        </w:rPr>
        <w:t>”装置</w:t>
      </w:r>
      <w:r>
        <w:rPr>
          <w:rFonts w:hint="default" w:ascii="Times New Roman" w:hAnsi="Times New Roman" w:eastAsia="宋体" w:cs="Times New Roman"/>
          <w:color w:val="0000FF"/>
          <w:sz w:val="24"/>
          <w:lang w:val="en-US" w:eastAsia="zh-CN"/>
        </w:rPr>
        <w:t>整合为一套分质预处理+集中后处理</w:t>
      </w:r>
      <w:r>
        <w:rPr>
          <w:rFonts w:hint="eastAsia" w:cs="Times New Roman"/>
          <w:color w:val="0000FF"/>
          <w:sz w:val="24"/>
          <w:lang w:val="en-US" w:eastAsia="zh-CN"/>
        </w:rPr>
        <w:t>装置，同时</w:t>
      </w:r>
      <w:r>
        <w:rPr>
          <w:rFonts w:hint="eastAsia" w:ascii="Times New Roman" w:hAnsi="Times New Roman" w:eastAsia="宋体" w:cs="Times New Roman"/>
          <w:color w:val="0000FF"/>
          <w:sz w:val="24"/>
          <w:szCs w:val="24"/>
          <w:lang w:val="en-US" w:eastAsia="zh-CN"/>
        </w:rPr>
        <w:t>新增SNCR废气处理设施，</w:t>
      </w:r>
      <w:r>
        <w:rPr>
          <w:rFonts w:ascii="宋体" w:hAnsi="宋体" w:eastAsia="宋体" w:cs="宋体"/>
          <w:color w:val="0000FF"/>
          <w:sz w:val="24"/>
          <w:szCs w:val="24"/>
        </w:rPr>
        <w:t>强化</w:t>
      </w:r>
      <w:r>
        <w:rPr>
          <w:rFonts w:hint="eastAsia" w:ascii="Times New Roman" w:hAnsi="Times New Roman" w:eastAsia="宋体" w:cs="Times New Roman"/>
          <w:color w:val="0000FF"/>
          <w:sz w:val="24"/>
          <w:szCs w:val="24"/>
          <w:lang w:val="en-US" w:eastAsia="zh-CN"/>
        </w:rPr>
        <w:t>氮氧化物</w:t>
      </w:r>
      <w:r>
        <w:rPr>
          <w:rFonts w:ascii="宋体" w:hAnsi="宋体" w:eastAsia="宋体" w:cs="宋体"/>
          <w:color w:val="0000FF"/>
          <w:sz w:val="24"/>
          <w:szCs w:val="24"/>
        </w:rPr>
        <w:t>废气治理能力</w:t>
      </w:r>
      <w:r>
        <w:rPr>
          <w:rFonts w:hint="eastAsia" w:ascii="宋体" w:hAnsi="宋体" w:cs="宋体"/>
          <w:color w:val="0000FF"/>
          <w:sz w:val="24"/>
          <w:szCs w:val="24"/>
          <w:lang w:eastAsia="zh-CN"/>
        </w:rPr>
        <w:t>；</w:t>
      </w:r>
      <w:r>
        <w:rPr>
          <w:rFonts w:hint="eastAsia" w:ascii="宋体" w:hAnsi="宋体" w:cs="宋体"/>
          <w:color w:val="0000FF"/>
          <w:sz w:val="24"/>
          <w:szCs w:val="24"/>
          <w:lang w:val="en-US" w:eastAsia="zh-CN"/>
        </w:rPr>
        <w:t>新增活性炭喷粉措施以处理二噁英废气，调整后废气处理措施为“</w:t>
      </w:r>
      <w:r>
        <w:rPr>
          <w:rFonts w:hint="default" w:ascii="Times New Roman" w:hAnsi="Times New Roman" w:cs="Times New Roman"/>
          <w:color w:val="0000FF"/>
          <w:sz w:val="24"/>
          <w:szCs w:val="24"/>
          <w:lang w:val="en-US" w:eastAsia="zh-CN"/>
        </w:rPr>
        <w:t>SNCR +</w:t>
      </w:r>
      <w:r>
        <w:rPr>
          <w:rFonts w:hint="eastAsia" w:cs="Times New Roman"/>
          <w:color w:val="0000FF"/>
          <w:sz w:val="24"/>
          <w:szCs w:val="24"/>
          <w:lang w:val="en-US" w:eastAsia="zh-CN"/>
        </w:rPr>
        <w:t>烟气</w:t>
      </w:r>
      <w:r>
        <w:rPr>
          <w:rFonts w:hint="default" w:ascii="Times New Roman" w:hAnsi="Times New Roman" w:cs="Times New Roman"/>
          <w:color w:val="0000FF"/>
          <w:sz w:val="24"/>
          <w:szCs w:val="24"/>
          <w:lang w:val="en-US" w:eastAsia="zh-CN"/>
        </w:rPr>
        <w:t>急冷</w:t>
      </w:r>
      <w:r>
        <w:rPr>
          <w:rFonts w:hint="eastAsia" w:cs="Times New Roman"/>
          <w:color w:val="0000FF"/>
          <w:sz w:val="24"/>
          <w:szCs w:val="24"/>
          <w:lang w:val="en-US" w:eastAsia="zh-CN"/>
        </w:rPr>
        <w:t>+</w:t>
      </w:r>
      <w:r>
        <w:rPr>
          <w:rFonts w:hint="default" w:ascii="Times New Roman" w:hAnsi="Times New Roman" w:cs="Times New Roman"/>
          <w:color w:val="0000FF"/>
          <w:sz w:val="24"/>
          <w:szCs w:val="24"/>
          <w:lang w:val="en-US" w:eastAsia="zh-CN"/>
        </w:rPr>
        <w:t>活性炭喷粉+重力沉降</w:t>
      </w:r>
      <w:r>
        <w:rPr>
          <w:rFonts w:hint="eastAsia" w:ascii="Times New Roman" w:hAnsi="Times New Roman" w:cs="Times New Roman"/>
          <w:color w:val="0000FF"/>
          <w:sz w:val="24"/>
          <w:szCs w:val="24"/>
          <w:lang w:val="en-US" w:eastAsia="zh-CN"/>
        </w:rPr>
        <w:t>除尘</w:t>
      </w:r>
      <w:r>
        <w:rPr>
          <w:rFonts w:hint="default" w:ascii="Times New Roman" w:hAnsi="Times New Roman" w:cs="Times New Roman"/>
          <w:color w:val="0000FF"/>
          <w:sz w:val="24"/>
          <w:szCs w:val="24"/>
          <w:lang w:val="en-US" w:eastAsia="zh-CN"/>
        </w:rPr>
        <w:t>+布袋</w:t>
      </w:r>
      <w:r>
        <w:rPr>
          <w:rFonts w:hint="eastAsia" w:ascii="Times New Roman" w:hAnsi="Times New Roman" w:cs="Times New Roman"/>
          <w:color w:val="0000FF"/>
          <w:sz w:val="24"/>
          <w:szCs w:val="24"/>
          <w:lang w:val="en-US" w:eastAsia="zh-CN"/>
        </w:rPr>
        <w:t>除尘</w:t>
      </w:r>
      <w:r>
        <w:rPr>
          <w:rFonts w:hint="default" w:ascii="Times New Roman" w:hAnsi="Times New Roman" w:cs="Times New Roman"/>
          <w:color w:val="0000FF"/>
          <w:sz w:val="24"/>
          <w:szCs w:val="24"/>
          <w:lang w:val="en-US" w:eastAsia="zh-CN"/>
        </w:rPr>
        <w:t>+碱喷淋</w:t>
      </w:r>
      <w:r>
        <w:rPr>
          <w:rFonts w:hint="eastAsia" w:ascii="宋体" w:hAnsi="宋体" w:cs="宋体"/>
          <w:color w:val="0000FF"/>
          <w:sz w:val="24"/>
          <w:szCs w:val="24"/>
          <w:lang w:val="en-US" w:eastAsia="zh-CN"/>
        </w:rPr>
        <w:t>”</w:t>
      </w:r>
      <w:r>
        <w:rPr>
          <w:rFonts w:hint="eastAsia" w:ascii="宋体" w:hAnsi="宋体" w:cs="宋体"/>
          <w:color w:val="0000FF"/>
          <w:sz w:val="24"/>
          <w:szCs w:val="24"/>
          <w:lang w:eastAsia="zh-CN"/>
        </w:rPr>
        <w:t>。</w:t>
      </w:r>
      <w:r>
        <w:rPr>
          <w:rFonts w:hint="eastAsia" w:ascii="宋体" w:hAnsi="宋体" w:cs="宋体"/>
          <w:color w:val="auto"/>
          <w:sz w:val="24"/>
          <w:szCs w:val="24"/>
          <w:lang w:val="en-US" w:eastAsia="zh-CN"/>
        </w:rPr>
        <w:t>并且将</w:t>
      </w:r>
      <w:r>
        <w:rPr>
          <w:rFonts w:hint="default" w:ascii="Times New Roman" w:hAnsi="Times New Roman" w:eastAsia="宋体" w:cs="Times New Roman"/>
          <w:color w:val="auto"/>
          <w:sz w:val="24"/>
          <w:szCs w:val="24"/>
          <w:lang w:val="en-US" w:eastAsia="zh-CN"/>
        </w:rPr>
        <w:t>铝灰暂存废气由无组织排放改为有组织排放</w:t>
      </w:r>
      <w:r>
        <w:rPr>
          <w:rFonts w:hint="eastAsia" w:ascii="Times New Roman" w:hAnsi="Times New Roman" w:eastAsia="宋体" w:cs="Times New Roman"/>
          <w:color w:val="auto"/>
          <w:sz w:val="24"/>
          <w:szCs w:val="24"/>
          <w:lang w:val="en-US" w:eastAsia="zh-CN"/>
        </w:rPr>
        <w:t>，新增一套</w:t>
      </w:r>
      <w:r>
        <w:rPr>
          <w:rFonts w:hint="eastAsia" w:cs="Times New Roman"/>
          <w:color w:val="auto"/>
          <w:sz w:val="24"/>
          <w:highlight w:val="none"/>
          <w:lang w:val="en-US" w:eastAsia="zh-CN"/>
        </w:rPr>
        <w:t>“一级水喷淋装置”用于处理</w:t>
      </w:r>
      <w:r>
        <w:rPr>
          <w:rFonts w:hint="eastAsia" w:cs="Times New Roman"/>
          <w:b w:val="0"/>
          <w:bCs w:val="0"/>
          <w:color w:val="auto"/>
          <w:sz w:val="24"/>
          <w:szCs w:val="24"/>
          <w:lang w:val="en-US" w:eastAsia="zh-CN"/>
        </w:rPr>
        <w:t>铝灰暂存时</w:t>
      </w:r>
      <w:r>
        <w:rPr>
          <w:rFonts w:hint="default" w:ascii="Times New Roman" w:hAnsi="Times New Roman" w:eastAsia="宋体" w:cs="Times New Roman"/>
          <w:color w:val="auto"/>
          <w:sz w:val="24"/>
          <w:highlight w:val="none"/>
          <w:lang w:val="en-US" w:eastAsia="zh-CN"/>
        </w:rPr>
        <w:t>铝灰渣中的氮化铝与空气中的水蒸气反应生成氨气</w:t>
      </w:r>
      <w:r>
        <w:rPr>
          <w:rFonts w:hint="eastAsia" w:cs="Times New Roman"/>
          <w:color w:val="auto"/>
          <w:sz w:val="24"/>
          <w:highlight w:val="none"/>
          <w:lang w:val="en-US" w:eastAsia="zh-CN"/>
        </w:rPr>
        <w:t>，目前，污染防治措施的升级更新正在建设中。</w:t>
      </w:r>
    </w:p>
    <w:p w14:paraId="55D3F81A">
      <w:pPr>
        <w:adjustRightInd w:val="0"/>
        <w:snapToGrid w:val="0"/>
        <w:spacing w:line="360" w:lineRule="auto"/>
        <w:ind w:firstLine="480" w:firstLineChars="200"/>
        <w:rPr>
          <w:rFonts w:hint="eastAsia"/>
          <w:snapToGrid w:val="0"/>
          <w:color w:val="0000FF"/>
          <w:sz w:val="24"/>
          <w:szCs w:val="32"/>
          <w:lang w:val="en-US" w:eastAsia="zh-CN"/>
        </w:rPr>
      </w:pPr>
      <w:r>
        <w:rPr>
          <w:rFonts w:hint="eastAsia"/>
          <w:snapToGrid w:val="0"/>
          <w:color w:val="0000FF"/>
          <w:sz w:val="24"/>
          <w:szCs w:val="32"/>
          <w:lang w:val="en-US" w:eastAsia="zh-CN"/>
        </w:rPr>
        <w:t>对照</w:t>
      </w:r>
      <w:r>
        <w:rPr>
          <w:rFonts w:hint="eastAsia" w:ascii="Times New Roman" w:hAnsi="Times New Roman" w:cs="Times New Roman"/>
          <w:color w:val="0000FF"/>
          <w:sz w:val="24"/>
          <w:highlight w:val="none"/>
          <w:u w:val="none"/>
          <w:lang w:val="en-US" w:eastAsia="zh-CN"/>
        </w:rPr>
        <w:t>《污染影响类建设项目重大变动清单（试行）的通知》（环办环评函（2020）688号），</w:t>
      </w:r>
      <w:r>
        <w:rPr>
          <w:rFonts w:hint="eastAsia"/>
          <w:snapToGrid w:val="0"/>
          <w:color w:val="0000FF"/>
          <w:sz w:val="24"/>
          <w:szCs w:val="32"/>
          <w:lang w:val="en-US" w:eastAsia="zh-CN"/>
        </w:rPr>
        <w:t>企业本次实施的生产设备升级更新，</w:t>
      </w:r>
      <w:r>
        <w:rPr>
          <w:rFonts w:hint="eastAsia"/>
          <w:b w:val="0"/>
          <w:bCs w:val="0"/>
          <w:color w:val="0000FF"/>
          <w:sz w:val="24"/>
          <w:szCs w:val="32"/>
          <w:highlight w:val="none"/>
          <w:lang w:val="en-US" w:eastAsia="zh-CN"/>
        </w:rPr>
        <w:t>仅对原有设备进行功能整合、低效设备淘汰和铸锭设备规格替换</w:t>
      </w:r>
      <w:r>
        <w:rPr>
          <w:rFonts w:hint="eastAsia"/>
          <w:snapToGrid w:val="0"/>
          <w:color w:val="0000FF"/>
          <w:sz w:val="24"/>
          <w:szCs w:val="32"/>
          <w:lang w:val="en-US" w:eastAsia="zh-CN"/>
        </w:rPr>
        <w:t>（不涉及设备数量大幅增加、生产能力显著扩大、生产工艺发生根本性改变），升级后设备的生产规模、产品方案、污染物产生环节及产生量均未发生实质性变化，未达到《清单》中关于生产设备重大变动的认定条件；废气处理设施的升级更新，主要为现有处理设施的升级改造、效率提升，未改变废气处理工艺类型、处理规模，未降低废气处理效率，更新后废气污染物排放量均未发生改变，亦未达到《清单》中关于废气处理设施重大变动的认定标准。</w:t>
      </w:r>
    </w:p>
    <w:p w14:paraId="04BB0922">
      <w:pPr>
        <w:adjustRightInd w:val="0"/>
        <w:snapToGrid w:val="0"/>
        <w:spacing w:line="360" w:lineRule="auto"/>
        <w:ind w:firstLine="480" w:firstLineChars="200"/>
        <w:rPr>
          <w:snapToGrid w:val="0"/>
          <w:color w:val="auto"/>
          <w:sz w:val="24"/>
          <w:szCs w:val="32"/>
        </w:rPr>
      </w:pPr>
      <w:r>
        <w:rPr>
          <w:snapToGrid w:val="0"/>
          <w:color w:val="auto"/>
          <w:sz w:val="24"/>
          <w:szCs w:val="32"/>
        </w:rPr>
        <w:t>依据《中华人民共和国环境影响评价法》第二十七条及《建设项目环境影响后评价管理办法（试行）》的相关规定，</w:t>
      </w:r>
      <w:r>
        <w:rPr>
          <w:rFonts w:hint="eastAsia"/>
          <w:snapToGrid w:val="0"/>
          <w:color w:val="auto"/>
          <w:sz w:val="24"/>
          <w:szCs w:val="32"/>
        </w:rPr>
        <w:t>公司结合实际变化情况依法组织开展环境影响后评价，委托安徽善宇环保科技有限公司开展环境影响后评价工作。</w:t>
      </w:r>
    </w:p>
    <w:p w14:paraId="1E802066">
      <w:pPr>
        <w:adjustRightInd w:val="0"/>
        <w:snapToGrid w:val="0"/>
        <w:spacing w:line="360" w:lineRule="auto"/>
        <w:ind w:firstLine="480" w:firstLineChars="200"/>
        <w:rPr>
          <w:color w:val="auto"/>
          <w:sz w:val="24"/>
          <w:szCs w:val="32"/>
        </w:rPr>
      </w:pPr>
      <w:r>
        <w:rPr>
          <w:color w:val="auto"/>
          <w:sz w:val="24"/>
          <w:szCs w:val="32"/>
        </w:rPr>
        <w:t>安徽善宇环保科技有限公司技术人员在现场踏勘和完成资料收集的基础上，根据项目所在地的环境特点和工程建设、运行可能对环境造成的影响和范围，依据国家和地方有关环保法规及评价技术规定，编制完成本环境影响后评价报告，上报生态环境主管部门备案。</w:t>
      </w:r>
    </w:p>
    <w:p w14:paraId="3467A659">
      <w:pPr>
        <w:adjustRightInd w:val="0"/>
        <w:snapToGrid w:val="0"/>
        <w:spacing w:line="360" w:lineRule="auto"/>
        <w:outlineLvl w:val="1"/>
        <w:rPr>
          <w:b/>
          <w:bCs/>
          <w:color w:val="auto"/>
          <w:sz w:val="28"/>
          <w:szCs w:val="36"/>
        </w:rPr>
      </w:pPr>
      <w:bookmarkStart w:id="39" w:name="_Toc26544"/>
      <w:r>
        <w:rPr>
          <w:b/>
          <w:bCs/>
          <w:color w:val="auto"/>
          <w:sz w:val="28"/>
          <w:szCs w:val="36"/>
        </w:rPr>
        <w:t>1.2 评价目的</w:t>
      </w:r>
      <w:bookmarkEnd w:id="39"/>
    </w:p>
    <w:p w14:paraId="07656E24">
      <w:pPr>
        <w:adjustRightInd w:val="0"/>
        <w:snapToGrid w:val="0"/>
        <w:spacing w:line="360" w:lineRule="auto"/>
        <w:ind w:firstLine="480" w:firstLineChars="200"/>
        <w:rPr>
          <w:color w:val="auto"/>
          <w:sz w:val="24"/>
          <w:szCs w:val="32"/>
        </w:rPr>
      </w:pPr>
      <w:r>
        <w:rPr>
          <w:color w:val="auto"/>
          <w:sz w:val="24"/>
          <w:szCs w:val="32"/>
        </w:rPr>
        <w:t>本次评价的目的是依据该项目原环境影响报告书、环评批复、竣工环境保护验收监测报告和竣工环保验收意见等，通过收集资料和必要的对比分析，对项目建设变动内容实际产生的环境影响以及污染防治、生态保护和风险防范措施的有效性进行跟踪监测和验证评价，并提出补救方案或者改进措施，为项目的完善、优化和环境管理决策提供技术支持。</w:t>
      </w:r>
    </w:p>
    <w:p w14:paraId="593F0B55">
      <w:pPr>
        <w:adjustRightInd w:val="0"/>
        <w:snapToGrid w:val="0"/>
        <w:spacing w:line="360" w:lineRule="auto"/>
        <w:outlineLvl w:val="2"/>
        <w:rPr>
          <w:b/>
          <w:bCs/>
          <w:color w:val="auto"/>
          <w:sz w:val="24"/>
          <w:szCs w:val="32"/>
        </w:rPr>
      </w:pPr>
      <w:r>
        <w:rPr>
          <w:b/>
          <w:bCs/>
          <w:color w:val="auto"/>
          <w:sz w:val="24"/>
          <w:szCs w:val="32"/>
        </w:rPr>
        <w:t>1.2.1国家法律法规</w:t>
      </w:r>
    </w:p>
    <w:p w14:paraId="62A294D1">
      <w:pPr>
        <w:adjustRightInd w:val="0"/>
        <w:snapToGrid w:val="0"/>
        <w:spacing w:line="360" w:lineRule="auto"/>
        <w:ind w:firstLine="240" w:firstLineChars="100"/>
        <w:rPr>
          <w:color w:val="auto"/>
          <w:sz w:val="24"/>
          <w:szCs w:val="32"/>
        </w:rPr>
      </w:pPr>
      <w:bookmarkStart w:id="40" w:name="_Toc32398"/>
      <w:bookmarkStart w:id="41" w:name="_Toc18911"/>
      <w:bookmarkStart w:id="42" w:name="_Toc30485"/>
      <w:bookmarkStart w:id="43" w:name="_Toc20564"/>
      <w:r>
        <w:rPr>
          <w:color w:val="auto"/>
          <w:sz w:val="24"/>
          <w:szCs w:val="32"/>
        </w:rPr>
        <w:t>1、《中华人民共和国环境保护法》，2015年1月1日；</w:t>
      </w:r>
      <w:bookmarkEnd w:id="40"/>
      <w:bookmarkEnd w:id="41"/>
      <w:bookmarkEnd w:id="42"/>
      <w:bookmarkEnd w:id="43"/>
    </w:p>
    <w:p w14:paraId="12340712">
      <w:pPr>
        <w:adjustRightInd w:val="0"/>
        <w:snapToGrid w:val="0"/>
        <w:spacing w:line="360" w:lineRule="auto"/>
        <w:ind w:firstLine="240" w:firstLineChars="100"/>
        <w:rPr>
          <w:color w:val="auto"/>
          <w:sz w:val="24"/>
          <w:szCs w:val="32"/>
        </w:rPr>
      </w:pPr>
      <w:r>
        <w:rPr>
          <w:color w:val="auto"/>
          <w:sz w:val="24"/>
          <w:szCs w:val="32"/>
        </w:rPr>
        <w:t>2、《中华人民共和国环境影响评价法》，2016年9月1日施行；</w:t>
      </w:r>
    </w:p>
    <w:p w14:paraId="70FFFBA7">
      <w:pPr>
        <w:adjustRightInd w:val="0"/>
        <w:snapToGrid w:val="0"/>
        <w:spacing w:line="360" w:lineRule="auto"/>
        <w:ind w:firstLine="240" w:firstLineChars="100"/>
        <w:rPr>
          <w:color w:val="auto"/>
          <w:sz w:val="24"/>
          <w:szCs w:val="32"/>
        </w:rPr>
      </w:pPr>
      <w:bookmarkStart w:id="44" w:name="_Toc23842"/>
      <w:bookmarkStart w:id="45" w:name="_Toc15174"/>
      <w:bookmarkStart w:id="46" w:name="_Toc26293"/>
      <w:bookmarkStart w:id="47" w:name="_Toc25417"/>
      <w:r>
        <w:rPr>
          <w:color w:val="auto"/>
          <w:sz w:val="24"/>
          <w:szCs w:val="32"/>
        </w:rPr>
        <w:t>3、《中华人民共和国水污染防治法》，2018年1月1日施行；</w:t>
      </w:r>
      <w:bookmarkEnd w:id="44"/>
      <w:bookmarkEnd w:id="45"/>
      <w:bookmarkEnd w:id="46"/>
      <w:bookmarkEnd w:id="47"/>
    </w:p>
    <w:p w14:paraId="276625C3">
      <w:pPr>
        <w:adjustRightInd w:val="0"/>
        <w:snapToGrid w:val="0"/>
        <w:spacing w:line="360" w:lineRule="auto"/>
        <w:ind w:firstLine="240" w:firstLineChars="100"/>
        <w:rPr>
          <w:color w:val="auto"/>
          <w:sz w:val="24"/>
        </w:rPr>
      </w:pPr>
      <w:r>
        <w:rPr>
          <w:color w:val="auto"/>
          <w:sz w:val="24"/>
          <w:szCs w:val="32"/>
        </w:rPr>
        <w:t>4、</w:t>
      </w:r>
      <w:r>
        <w:rPr>
          <w:color w:val="auto"/>
          <w:sz w:val="24"/>
        </w:rPr>
        <w:t>《</w:t>
      </w:r>
      <w:r>
        <w:rPr>
          <w:rFonts w:hint="eastAsia"/>
          <w:color w:val="auto"/>
          <w:sz w:val="24"/>
        </w:rPr>
        <w:t>中华人民共和国环境噪声污染防治法</w:t>
      </w:r>
      <w:r>
        <w:rPr>
          <w:color w:val="auto"/>
          <w:sz w:val="24"/>
        </w:rPr>
        <w:t>》，2022年6月5日施行；</w:t>
      </w:r>
    </w:p>
    <w:p w14:paraId="14C3797E">
      <w:pPr>
        <w:adjustRightInd w:val="0"/>
        <w:snapToGrid w:val="0"/>
        <w:spacing w:line="360" w:lineRule="auto"/>
        <w:ind w:firstLine="240" w:firstLineChars="100"/>
        <w:rPr>
          <w:color w:val="auto"/>
          <w:sz w:val="24"/>
          <w:szCs w:val="32"/>
        </w:rPr>
      </w:pPr>
      <w:r>
        <w:rPr>
          <w:color w:val="auto"/>
          <w:sz w:val="24"/>
          <w:szCs w:val="32"/>
        </w:rPr>
        <w:t>5、《中华人民共和国固体废物污染环境防治法》，2020年9月1日施行；</w:t>
      </w:r>
    </w:p>
    <w:p w14:paraId="0AF8255D">
      <w:pPr>
        <w:adjustRightInd w:val="0"/>
        <w:snapToGrid w:val="0"/>
        <w:spacing w:line="360" w:lineRule="auto"/>
        <w:ind w:firstLine="240" w:firstLineChars="100"/>
        <w:rPr>
          <w:color w:val="auto"/>
          <w:sz w:val="24"/>
          <w:szCs w:val="32"/>
        </w:rPr>
      </w:pPr>
      <w:r>
        <w:rPr>
          <w:rFonts w:hint="eastAsia"/>
          <w:color w:val="auto"/>
          <w:sz w:val="24"/>
          <w:szCs w:val="32"/>
          <w:lang w:val="en-US" w:eastAsia="zh-CN"/>
        </w:rPr>
        <w:t>6</w:t>
      </w:r>
      <w:r>
        <w:rPr>
          <w:color w:val="auto"/>
          <w:sz w:val="24"/>
          <w:szCs w:val="32"/>
        </w:rPr>
        <w:t>、《中华人民共和国土壤污染防治法》，2019年1月1日实施；</w:t>
      </w:r>
    </w:p>
    <w:p w14:paraId="6CBE226C">
      <w:pPr>
        <w:adjustRightInd w:val="0"/>
        <w:snapToGrid w:val="0"/>
        <w:spacing w:line="360" w:lineRule="auto"/>
        <w:ind w:firstLine="240" w:firstLineChars="100"/>
        <w:rPr>
          <w:color w:val="auto"/>
          <w:sz w:val="24"/>
          <w:szCs w:val="32"/>
        </w:rPr>
      </w:pPr>
      <w:r>
        <w:rPr>
          <w:rFonts w:hint="eastAsia"/>
          <w:color w:val="auto"/>
          <w:sz w:val="24"/>
          <w:szCs w:val="32"/>
          <w:lang w:val="en-US" w:eastAsia="zh-CN"/>
        </w:rPr>
        <w:t>7</w:t>
      </w:r>
      <w:r>
        <w:rPr>
          <w:color w:val="auto"/>
          <w:sz w:val="24"/>
          <w:szCs w:val="32"/>
        </w:rPr>
        <w:t>、《中华人民共和国大气污染防治法》，2018年10月26日修订；</w:t>
      </w:r>
    </w:p>
    <w:p w14:paraId="553B6791">
      <w:pPr>
        <w:adjustRightInd w:val="0"/>
        <w:snapToGrid w:val="0"/>
        <w:spacing w:line="360" w:lineRule="auto"/>
        <w:ind w:firstLine="240" w:firstLineChars="100"/>
        <w:rPr>
          <w:color w:val="auto"/>
          <w:sz w:val="24"/>
          <w:szCs w:val="32"/>
        </w:rPr>
      </w:pPr>
      <w:bookmarkStart w:id="48" w:name="_Toc11085"/>
      <w:bookmarkStart w:id="49" w:name="_Toc19432"/>
      <w:bookmarkStart w:id="50" w:name="_Toc13970"/>
      <w:bookmarkStart w:id="51" w:name="_Toc2706"/>
      <w:r>
        <w:rPr>
          <w:rFonts w:hint="eastAsia"/>
          <w:color w:val="auto"/>
          <w:sz w:val="24"/>
          <w:szCs w:val="32"/>
          <w:lang w:val="en-US" w:eastAsia="zh-CN"/>
        </w:rPr>
        <w:t>8</w:t>
      </w:r>
      <w:r>
        <w:rPr>
          <w:color w:val="auto"/>
          <w:sz w:val="24"/>
          <w:szCs w:val="32"/>
        </w:rPr>
        <w:t>、《中华人民共和国清洁生产促进法》，2016年修订；</w:t>
      </w:r>
      <w:bookmarkEnd w:id="48"/>
      <w:bookmarkEnd w:id="49"/>
      <w:bookmarkEnd w:id="50"/>
      <w:bookmarkEnd w:id="51"/>
    </w:p>
    <w:p w14:paraId="630119E3">
      <w:pPr>
        <w:adjustRightInd w:val="0"/>
        <w:snapToGrid w:val="0"/>
        <w:spacing w:line="360" w:lineRule="auto"/>
        <w:ind w:firstLine="240" w:firstLineChars="100"/>
        <w:rPr>
          <w:color w:val="auto"/>
          <w:sz w:val="24"/>
          <w:szCs w:val="32"/>
        </w:rPr>
      </w:pPr>
      <w:r>
        <w:rPr>
          <w:rFonts w:hint="eastAsia"/>
          <w:color w:val="auto"/>
          <w:sz w:val="24"/>
          <w:szCs w:val="32"/>
          <w:lang w:val="en-US" w:eastAsia="zh-CN"/>
        </w:rPr>
        <w:t>9</w:t>
      </w:r>
      <w:r>
        <w:rPr>
          <w:color w:val="auto"/>
          <w:sz w:val="24"/>
          <w:szCs w:val="32"/>
        </w:rPr>
        <w:t>、《中华人民共和国循环经济促进法》，2018年10月26日修订；</w:t>
      </w:r>
    </w:p>
    <w:p w14:paraId="3C4B0F1A">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0</w:t>
      </w:r>
      <w:r>
        <w:rPr>
          <w:color w:val="auto"/>
          <w:sz w:val="24"/>
          <w:szCs w:val="32"/>
        </w:rPr>
        <w:t>、《建设项目环境保护管理条例》（修订）2017年10月1日施行；</w:t>
      </w:r>
    </w:p>
    <w:p w14:paraId="5F8BA08D">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1</w:t>
      </w:r>
      <w:r>
        <w:rPr>
          <w:color w:val="auto"/>
          <w:sz w:val="24"/>
          <w:szCs w:val="32"/>
        </w:rPr>
        <w:t>、《国务院关于印发水污染防治行动计划的通知》国发[2015]17号文，2015年4月2日；</w:t>
      </w:r>
    </w:p>
    <w:p w14:paraId="0A9B275A">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2</w:t>
      </w:r>
      <w:r>
        <w:rPr>
          <w:color w:val="auto"/>
          <w:sz w:val="24"/>
          <w:szCs w:val="32"/>
        </w:rPr>
        <w:t>、《国务院关于印发土壤污染防治行动计划的通知》国发[2016]31号文，2016年5月28日；</w:t>
      </w:r>
    </w:p>
    <w:p w14:paraId="7D417145">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3</w:t>
      </w:r>
      <w:r>
        <w:rPr>
          <w:color w:val="auto"/>
          <w:sz w:val="24"/>
          <w:szCs w:val="32"/>
        </w:rPr>
        <w:t>、国务院645号令《危险化学品安全管理条例》（2013年修正本），2013年12月7日；</w:t>
      </w:r>
    </w:p>
    <w:p w14:paraId="52A37281">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4</w:t>
      </w:r>
      <w:r>
        <w:rPr>
          <w:color w:val="auto"/>
          <w:sz w:val="24"/>
          <w:szCs w:val="32"/>
        </w:rPr>
        <w:t>、中共中央国务院关于深入打好污染防治</w:t>
      </w:r>
      <w:r>
        <w:rPr>
          <w:rFonts w:hint="eastAsia"/>
          <w:color w:val="auto"/>
          <w:sz w:val="24"/>
          <w:szCs w:val="32"/>
          <w:lang w:eastAsia="zh-CN"/>
        </w:rPr>
        <w:t>攻坚战</w:t>
      </w:r>
      <w:r>
        <w:rPr>
          <w:color w:val="auto"/>
          <w:sz w:val="24"/>
          <w:szCs w:val="32"/>
        </w:rPr>
        <w:t>的意见，2021年11月2日；</w:t>
      </w:r>
    </w:p>
    <w:p w14:paraId="636CA43D">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5</w:t>
      </w:r>
      <w:r>
        <w:rPr>
          <w:color w:val="auto"/>
          <w:sz w:val="24"/>
          <w:szCs w:val="32"/>
        </w:rPr>
        <w:t>、</w:t>
      </w:r>
      <w:r>
        <w:rPr>
          <w:rFonts w:hint="eastAsia"/>
          <w:color w:val="auto"/>
          <w:sz w:val="24"/>
          <w:szCs w:val="32"/>
        </w:rPr>
        <w:t>中华人民共和国国家发展和改革委员会令第7号（《产业结构调整指导目录（2024年本）》）</w:t>
      </w:r>
      <w:r>
        <w:rPr>
          <w:color w:val="auto"/>
          <w:sz w:val="24"/>
          <w:szCs w:val="32"/>
        </w:rPr>
        <w:t>；</w:t>
      </w:r>
    </w:p>
    <w:p w14:paraId="59E5AF25">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6</w:t>
      </w:r>
      <w:r>
        <w:rPr>
          <w:color w:val="auto"/>
          <w:sz w:val="24"/>
          <w:szCs w:val="32"/>
        </w:rPr>
        <w:t>、生态环境部令第16号《建设项目环境影响评价分类管理名录（2021版）》</w:t>
      </w:r>
      <w:r>
        <w:rPr>
          <w:rFonts w:hint="eastAsia"/>
          <w:color w:val="auto"/>
          <w:sz w:val="24"/>
          <w:szCs w:val="32"/>
          <w:lang w:eastAsia="zh-CN"/>
        </w:rPr>
        <w:t>，</w:t>
      </w:r>
      <w:r>
        <w:rPr>
          <w:rFonts w:hint="eastAsia"/>
          <w:color w:val="auto"/>
          <w:sz w:val="24"/>
          <w:szCs w:val="32"/>
        </w:rPr>
        <w:t>2021年1月1日</w:t>
      </w:r>
      <w:r>
        <w:rPr>
          <w:color w:val="auto"/>
          <w:sz w:val="24"/>
          <w:szCs w:val="32"/>
        </w:rPr>
        <w:t>；</w:t>
      </w:r>
    </w:p>
    <w:p w14:paraId="5B7D095D">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7</w:t>
      </w:r>
      <w:r>
        <w:rPr>
          <w:color w:val="auto"/>
          <w:sz w:val="24"/>
          <w:szCs w:val="32"/>
        </w:rPr>
        <w:t>、《环境影响评价公众参与办法》，生态环境部令第4号以及关于发布《环境影响评价公众参与办法》配套文件的公告，生态环境部公告 2018年第48号；</w:t>
      </w:r>
    </w:p>
    <w:p w14:paraId="01712765">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18</w:t>
      </w:r>
      <w:r>
        <w:rPr>
          <w:color w:val="auto"/>
          <w:sz w:val="24"/>
          <w:szCs w:val="32"/>
        </w:rPr>
        <w:t>、</w:t>
      </w:r>
      <w:r>
        <w:rPr>
          <w:rFonts w:hint="eastAsia"/>
          <w:color w:val="auto"/>
          <w:sz w:val="24"/>
          <w:szCs w:val="32"/>
        </w:rPr>
        <w:t>生态环境部令</w:t>
      </w:r>
      <w:r>
        <w:rPr>
          <w:rFonts w:hint="eastAsia"/>
          <w:color w:val="auto"/>
          <w:sz w:val="24"/>
          <w:szCs w:val="32"/>
          <w:lang w:val="en-US" w:eastAsia="zh-CN"/>
        </w:rPr>
        <w:t>15</w:t>
      </w:r>
      <w:r>
        <w:rPr>
          <w:rFonts w:hint="eastAsia"/>
          <w:color w:val="auto"/>
          <w:sz w:val="24"/>
          <w:szCs w:val="32"/>
        </w:rPr>
        <w:t>号《国家危险废物名录（202</w:t>
      </w:r>
      <w:r>
        <w:rPr>
          <w:rFonts w:hint="eastAsia"/>
          <w:color w:val="auto"/>
          <w:sz w:val="24"/>
          <w:szCs w:val="32"/>
          <w:lang w:val="en-US" w:eastAsia="zh-CN"/>
        </w:rPr>
        <w:t>5</w:t>
      </w:r>
      <w:r>
        <w:rPr>
          <w:rFonts w:hint="eastAsia"/>
          <w:color w:val="auto"/>
          <w:sz w:val="24"/>
          <w:szCs w:val="32"/>
        </w:rPr>
        <w:t>年版）》</w:t>
      </w:r>
      <w:r>
        <w:rPr>
          <w:rFonts w:hint="eastAsia"/>
          <w:color w:val="auto"/>
          <w:sz w:val="24"/>
          <w:szCs w:val="32"/>
          <w:lang w:eastAsia="zh-CN"/>
        </w:rPr>
        <w:t>；</w:t>
      </w:r>
    </w:p>
    <w:p w14:paraId="5C514C60">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19</w:t>
      </w:r>
      <w:r>
        <w:rPr>
          <w:color w:val="auto"/>
          <w:sz w:val="24"/>
          <w:szCs w:val="32"/>
        </w:rPr>
        <w:t>、《关于加强建设项目环境影响评价事中事后监管的实施意见》（环环评[2018]11号），2018年1月25日</w:t>
      </w:r>
      <w:r>
        <w:rPr>
          <w:rFonts w:hint="eastAsia"/>
          <w:color w:val="auto"/>
          <w:sz w:val="24"/>
          <w:szCs w:val="32"/>
          <w:lang w:eastAsia="zh-CN"/>
        </w:rPr>
        <w:t>；</w:t>
      </w:r>
    </w:p>
    <w:p w14:paraId="382FC4C0">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20</w:t>
      </w:r>
      <w:r>
        <w:rPr>
          <w:color w:val="auto"/>
          <w:sz w:val="24"/>
          <w:szCs w:val="32"/>
        </w:rPr>
        <w:t>、中华人民共和国生态环境部环办环评（2020）36号文《关于加强重点行业建设项目区域削减措施监督管理的通知》，2020年12月30日</w:t>
      </w:r>
      <w:r>
        <w:rPr>
          <w:rFonts w:hint="eastAsia"/>
          <w:color w:val="auto"/>
          <w:sz w:val="24"/>
          <w:szCs w:val="32"/>
          <w:lang w:eastAsia="zh-CN"/>
        </w:rPr>
        <w:t>；</w:t>
      </w:r>
    </w:p>
    <w:p w14:paraId="1B9BD1CB">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21</w:t>
      </w:r>
      <w:r>
        <w:rPr>
          <w:color w:val="auto"/>
          <w:sz w:val="24"/>
          <w:szCs w:val="32"/>
        </w:rPr>
        <w:t>、环境保护部令[2015]第37号令《建设项目环境影响后评价管理办法（试行）》，2015年12月10日</w:t>
      </w:r>
      <w:r>
        <w:rPr>
          <w:rFonts w:hint="eastAsia"/>
          <w:color w:val="auto"/>
          <w:sz w:val="24"/>
          <w:szCs w:val="32"/>
          <w:lang w:eastAsia="zh-CN"/>
        </w:rPr>
        <w:t>。</w:t>
      </w:r>
    </w:p>
    <w:p w14:paraId="43CC1CA2">
      <w:pPr>
        <w:adjustRightInd w:val="0"/>
        <w:snapToGrid w:val="0"/>
        <w:spacing w:line="360" w:lineRule="auto"/>
        <w:outlineLvl w:val="2"/>
        <w:rPr>
          <w:b/>
          <w:bCs/>
          <w:color w:val="auto"/>
          <w:sz w:val="24"/>
          <w:szCs w:val="32"/>
        </w:rPr>
      </w:pPr>
      <w:bookmarkStart w:id="52" w:name="_Toc16069"/>
      <w:bookmarkStart w:id="53" w:name="_Toc8661"/>
      <w:r>
        <w:rPr>
          <w:b/>
          <w:bCs/>
          <w:color w:val="auto"/>
          <w:sz w:val="24"/>
          <w:szCs w:val="32"/>
        </w:rPr>
        <w:t>1.2.2 地方法规政策</w:t>
      </w:r>
      <w:bookmarkEnd w:id="52"/>
      <w:bookmarkEnd w:id="53"/>
    </w:p>
    <w:p w14:paraId="08733C0F">
      <w:pPr>
        <w:adjustRightInd w:val="0"/>
        <w:snapToGrid w:val="0"/>
        <w:spacing w:line="360" w:lineRule="auto"/>
        <w:ind w:firstLine="480" w:firstLineChars="200"/>
        <w:rPr>
          <w:color w:val="auto"/>
          <w:sz w:val="24"/>
          <w:szCs w:val="32"/>
        </w:rPr>
      </w:pPr>
      <w:r>
        <w:rPr>
          <w:color w:val="auto"/>
          <w:sz w:val="24"/>
          <w:szCs w:val="32"/>
        </w:rPr>
        <w:t>1、《安徽省环境保护条例》，2010年11月1日施行；</w:t>
      </w:r>
    </w:p>
    <w:p w14:paraId="47D3D0AF">
      <w:pPr>
        <w:adjustRightInd w:val="0"/>
        <w:snapToGrid w:val="0"/>
        <w:spacing w:line="360" w:lineRule="auto"/>
        <w:ind w:firstLine="480" w:firstLineChars="200"/>
        <w:rPr>
          <w:color w:val="auto"/>
          <w:sz w:val="24"/>
          <w:szCs w:val="32"/>
        </w:rPr>
      </w:pPr>
      <w:r>
        <w:rPr>
          <w:color w:val="auto"/>
          <w:sz w:val="24"/>
          <w:szCs w:val="32"/>
        </w:rPr>
        <w:t>2、《安徽省大气污染防治条例》，安徽省人民代表大会常务委员会，2015年3月1日施行；</w:t>
      </w:r>
    </w:p>
    <w:p w14:paraId="23F99D1F">
      <w:pPr>
        <w:adjustRightInd w:val="0"/>
        <w:snapToGrid w:val="0"/>
        <w:spacing w:line="360" w:lineRule="auto"/>
        <w:ind w:firstLine="480" w:firstLineChars="200"/>
        <w:rPr>
          <w:color w:val="auto"/>
          <w:sz w:val="24"/>
          <w:szCs w:val="32"/>
        </w:rPr>
      </w:pPr>
      <w:r>
        <w:rPr>
          <w:color w:val="auto"/>
          <w:sz w:val="24"/>
          <w:szCs w:val="32"/>
        </w:rPr>
        <w:t>3、安徽省人民政府办公厅《安徽省人民政府办公厅关于加强建设项目环境影响评价工作的通知》(皖政办[2011]27号，2011年4月)；</w:t>
      </w:r>
    </w:p>
    <w:p w14:paraId="3A0D760B">
      <w:pPr>
        <w:adjustRightInd w:val="0"/>
        <w:snapToGrid w:val="0"/>
        <w:spacing w:line="360" w:lineRule="auto"/>
        <w:ind w:firstLine="480" w:firstLineChars="200"/>
        <w:rPr>
          <w:color w:val="auto"/>
          <w:sz w:val="24"/>
          <w:szCs w:val="32"/>
        </w:rPr>
      </w:pPr>
      <w:r>
        <w:rPr>
          <w:color w:val="auto"/>
          <w:sz w:val="24"/>
          <w:szCs w:val="32"/>
        </w:rPr>
        <w:t>4、安徽省人民政府办公厅《关于促进我省化工产业健康发展的意见》（皖政办[2012]57号文），2012年10月10日；</w:t>
      </w:r>
    </w:p>
    <w:p w14:paraId="39F821FF">
      <w:pPr>
        <w:adjustRightInd w:val="0"/>
        <w:snapToGrid w:val="0"/>
        <w:spacing w:line="360" w:lineRule="auto"/>
        <w:ind w:firstLine="480" w:firstLineChars="200"/>
        <w:rPr>
          <w:color w:val="auto"/>
          <w:sz w:val="24"/>
          <w:szCs w:val="32"/>
        </w:rPr>
      </w:pPr>
      <w:r>
        <w:rPr>
          <w:rFonts w:hint="eastAsia"/>
          <w:color w:val="auto"/>
          <w:sz w:val="24"/>
          <w:szCs w:val="32"/>
          <w:lang w:val="en-US" w:eastAsia="zh-CN"/>
        </w:rPr>
        <w:t>5</w:t>
      </w:r>
      <w:r>
        <w:rPr>
          <w:color w:val="auto"/>
          <w:sz w:val="24"/>
          <w:szCs w:val="32"/>
        </w:rPr>
        <w:t>、安徽省环保厅环评函[2012]946号文《关于进一步加强建设项目影响评价公众参与工作的通知》；</w:t>
      </w:r>
    </w:p>
    <w:p w14:paraId="7F3D109F">
      <w:pPr>
        <w:adjustRightInd w:val="0"/>
        <w:snapToGrid w:val="0"/>
        <w:spacing w:line="360" w:lineRule="auto"/>
        <w:ind w:firstLine="480" w:firstLineChars="200"/>
        <w:rPr>
          <w:rFonts w:hint="eastAsia" w:eastAsia="宋体"/>
          <w:color w:val="auto"/>
          <w:sz w:val="24"/>
          <w:szCs w:val="32"/>
          <w:lang w:eastAsia="zh-CN"/>
        </w:rPr>
      </w:pPr>
      <w:r>
        <w:rPr>
          <w:rFonts w:hint="eastAsia"/>
          <w:color w:val="auto"/>
          <w:sz w:val="24"/>
          <w:szCs w:val="32"/>
          <w:lang w:val="en-US" w:eastAsia="zh-CN"/>
        </w:rPr>
        <w:t>6</w:t>
      </w:r>
      <w:r>
        <w:rPr>
          <w:color w:val="auto"/>
          <w:sz w:val="24"/>
          <w:szCs w:val="32"/>
        </w:rPr>
        <w:t>、</w:t>
      </w:r>
      <w:r>
        <w:rPr>
          <w:rFonts w:hint="eastAsia"/>
          <w:color w:val="auto"/>
          <w:sz w:val="24"/>
          <w:szCs w:val="32"/>
        </w:rPr>
        <w:t>生态环境部《环境影响评价公众参与办法》（部令第4号）</w:t>
      </w:r>
      <w:r>
        <w:rPr>
          <w:rFonts w:hint="eastAsia"/>
          <w:color w:val="auto"/>
          <w:sz w:val="24"/>
          <w:szCs w:val="32"/>
          <w:lang w:eastAsia="zh-CN"/>
        </w:rPr>
        <w:t>，</w:t>
      </w:r>
      <w:r>
        <w:rPr>
          <w:rFonts w:hint="eastAsia"/>
          <w:color w:val="auto"/>
          <w:sz w:val="24"/>
          <w:szCs w:val="32"/>
        </w:rPr>
        <w:t>2019年1月1日施行</w:t>
      </w:r>
      <w:r>
        <w:rPr>
          <w:rFonts w:hint="eastAsia"/>
          <w:color w:val="auto"/>
          <w:sz w:val="24"/>
          <w:szCs w:val="32"/>
          <w:lang w:eastAsia="zh-CN"/>
        </w:rPr>
        <w:t>；</w:t>
      </w:r>
    </w:p>
    <w:p w14:paraId="574A9312">
      <w:pPr>
        <w:adjustRightInd w:val="0"/>
        <w:snapToGrid w:val="0"/>
        <w:spacing w:line="360" w:lineRule="auto"/>
        <w:ind w:firstLine="480" w:firstLineChars="200"/>
        <w:rPr>
          <w:color w:val="auto"/>
          <w:sz w:val="24"/>
          <w:szCs w:val="32"/>
        </w:rPr>
      </w:pPr>
      <w:r>
        <w:rPr>
          <w:rFonts w:hint="eastAsia"/>
          <w:color w:val="auto"/>
          <w:sz w:val="24"/>
          <w:szCs w:val="32"/>
          <w:lang w:val="en-US" w:eastAsia="zh-CN"/>
        </w:rPr>
        <w:t>7</w:t>
      </w:r>
      <w:r>
        <w:rPr>
          <w:color w:val="auto"/>
          <w:sz w:val="24"/>
          <w:szCs w:val="32"/>
        </w:rPr>
        <w:t>、《安徽省生态环境厅关于全面执行大气污染物特别排放限值的通知》，安徽省生态环境厅 皖环函〔2019〕1120号，2019年12月24日；</w:t>
      </w:r>
    </w:p>
    <w:p w14:paraId="64C4BBF1">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8</w:t>
      </w:r>
      <w:r>
        <w:rPr>
          <w:color w:val="auto"/>
          <w:sz w:val="24"/>
          <w:szCs w:val="32"/>
        </w:rPr>
        <w:t>、淮北市人民政府关于印发淮北市大气污染防治行动计划的通知</w:t>
      </w:r>
      <w:r>
        <w:rPr>
          <w:rFonts w:hint="eastAsia"/>
          <w:color w:val="auto"/>
          <w:sz w:val="24"/>
          <w:szCs w:val="32"/>
          <w:lang w:eastAsia="zh-CN"/>
        </w:rPr>
        <w:t>；</w:t>
      </w:r>
    </w:p>
    <w:p w14:paraId="72CE129F">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9、《淮北市水生态环境保护“十四五”规划》（2022年6月2日）；</w:t>
      </w:r>
    </w:p>
    <w:p w14:paraId="027A0106">
      <w:pPr>
        <w:adjustRightInd w:val="0"/>
        <w:snapToGrid w:val="0"/>
        <w:spacing w:line="360" w:lineRule="auto"/>
        <w:ind w:firstLine="480" w:firstLineChars="200"/>
        <w:rPr>
          <w:color w:val="auto"/>
          <w:sz w:val="24"/>
          <w:szCs w:val="32"/>
        </w:rPr>
      </w:pPr>
      <w:r>
        <w:rPr>
          <w:rFonts w:hint="eastAsia"/>
          <w:color w:val="auto"/>
          <w:sz w:val="24"/>
          <w:szCs w:val="32"/>
          <w:lang w:val="en-US" w:eastAsia="zh-CN"/>
        </w:rPr>
        <w:t>10、《淮北市重点建设用地土壤污染状况调查实施细则（试行）》（2022年9月22日）</w:t>
      </w:r>
      <w:r>
        <w:rPr>
          <w:color w:val="auto"/>
          <w:sz w:val="24"/>
          <w:szCs w:val="32"/>
        </w:rPr>
        <w:t>。</w:t>
      </w:r>
    </w:p>
    <w:p w14:paraId="1D85FFA6">
      <w:pPr>
        <w:adjustRightInd w:val="0"/>
        <w:snapToGrid w:val="0"/>
        <w:spacing w:line="360" w:lineRule="auto"/>
        <w:outlineLvl w:val="2"/>
        <w:rPr>
          <w:b/>
          <w:bCs/>
          <w:color w:val="auto"/>
          <w:sz w:val="24"/>
          <w:szCs w:val="32"/>
        </w:rPr>
      </w:pPr>
      <w:bookmarkStart w:id="54" w:name="_Toc19878"/>
      <w:bookmarkStart w:id="55" w:name="_Toc13313"/>
      <w:r>
        <w:rPr>
          <w:b/>
          <w:bCs/>
          <w:color w:val="auto"/>
          <w:sz w:val="24"/>
          <w:szCs w:val="32"/>
        </w:rPr>
        <w:t>1.2.3 技术导则及技术规范</w:t>
      </w:r>
      <w:bookmarkEnd w:id="54"/>
      <w:bookmarkEnd w:id="55"/>
    </w:p>
    <w:p w14:paraId="38AD4D30">
      <w:pPr>
        <w:adjustRightInd w:val="0"/>
        <w:snapToGrid w:val="0"/>
        <w:spacing w:line="360" w:lineRule="auto"/>
        <w:ind w:firstLine="480" w:firstLineChars="200"/>
        <w:rPr>
          <w:color w:val="auto"/>
          <w:sz w:val="24"/>
          <w:szCs w:val="32"/>
        </w:rPr>
      </w:pPr>
      <w:r>
        <w:rPr>
          <w:color w:val="auto"/>
          <w:sz w:val="24"/>
          <w:szCs w:val="32"/>
        </w:rPr>
        <w:t>1、《建设项目环境影响评价技术导则  总纲》（HJ2.1-2016）；</w:t>
      </w:r>
    </w:p>
    <w:p w14:paraId="6B76F8A9">
      <w:pPr>
        <w:adjustRightInd w:val="0"/>
        <w:snapToGrid w:val="0"/>
        <w:spacing w:line="360" w:lineRule="auto"/>
        <w:ind w:firstLine="480" w:firstLineChars="200"/>
        <w:rPr>
          <w:color w:val="auto"/>
          <w:sz w:val="24"/>
          <w:szCs w:val="32"/>
        </w:rPr>
      </w:pPr>
      <w:r>
        <w:rPr>
          <w:color w:val="auto"/>
          <w:sz w:val="24"/>
          <w:szCs w:val="32"/>
        </w:rPr>
        <w:t>2、《环境影响评价技术导则  大气环境》（HJ2.2-2018）；</w:t>
      </w:r>
    </w:p>
    <w:p w14:paraId="4E2E5D83">
      <w:pPr>
        <w:adjustRightInd w:val="0"/>
        <w:snapToGrid w:val="0"/>
        <w:spacing w:line="360" w:lineRule="auto"/>
        <w:ind w:firstLine="480" w:firstLineChars="200"/>
        <w:rPr>
          <w:color w:val="auto"/>
          <w:sz w:val="24"/>
          <w:szCs w:val="32"/>
        </w:rPr>
      </w:pPr>
      <w:r>
        <w:rPr>
          <w:color w:val="auto"/>
          <w:sz w:val="24"/>
          <w:szCs w:val="32"/>
        </w:rPr>
        <w:t>3、《环境影响评价技术导则  声环境》（HJ2.4-2021）；</w:t>
      </w:r>
    </w:p>
    <w:p w14:paraId="63C636A4">
      <w:pPr>
        <w:adjustRightInd w:val="0"/>
        <w:snapToGrid w:val="0"/>
        <w:spacing w:line="360" w:lineRule="auto"/>
        <w:ind w:firstLine="480" w:firstLineChars="200"/>
        <w:rPr>
          <w:color w:val="auto"/>
          <w:sz w:val="24"/>
          <w:szCs w:val="32"/>
        </w:rPr>
      </w:pPr>
      <w:r>
        <w:rPr>
          <w:color w:val="auto"/>
          <w:sz w:val="24"/>
          <w:szCs w:val="32"/>
        </w:rPr>
        <w:t>4、《环境影响评价技术导则  地下水环境》（HJ610-2016）；</w:t>
      </w:r>
    </w:p>
    <w:p w14:paraId="462B196E">
      <w:pPr>
        <w:adjustRightInd w:val="0"/>
        <w:snapToGrid w:val="0"/>
        <w:spacing w:line="360" w:lineRule="auto"/>
        <w:ind w:firstLine="480" w:firstLineChars="200"/>
        <w:rPr>
          <w:color w:val="auto"/>
          <w:sz w:val="24"/>
          <w:szCs w:val="32"/>
        </w:rPr>
      </w:pPr>
      <w:r>
        <w:rPr>
          <w:color w:val="auto"/>
          <w:sz w:val="24"/>
          <w:szCs w:val="32"/>
        </w:rPr>
        <w:t>5、《环境影响评价技术导则  地表水环境》（HJ2.3-2018）；</w:t>
      </w:r>
    </w:p>
    <w:p w14:paraId="7E7B615B">
      <w:pPr>
        <w:adjustRightInd w:val="0"/>
        <w:snapToGrid w:val="0"/>
        <w:spacing w:line="360" w:lineRule="auto"/>
        <w:ind w:firstLine="480" w:firstLineChars="200"/>
        <w:rPr>
          <w:color w:val="auto"/>
          <w:sz w:val="24"/>
          <w:szCs w:val="32"/>
        </w:rPr>
      </w:pPr>
      <w:r>
        <w:rPr>
          <w:color w:val="auto"/>
          <w:sz w:val="24"/>
          <w:szCs w:val="32"/>
        </w:rPr>
        <w:t>6、《建设项目环境风险评价技术导则》（HJ169-201</w:t>
      </w:r>
      <w:r>
        <w:rPr>
          <w:rFonts w:hint="eastAsia"/>
          <w:color w:val="auto"/>
          <w:sz w:val="24"/>
          <w:szCs w:val="32"/>
          <w:lang w:val="en-US" w:eastAsia="zh-CN"/>
        </w:rPr>
        <w:t>8</w:t>
      </w:r>
      <w:r>
        <w:rPr>
          <w:color w:val="auto"/>
          <w:sz w:val="24"/>
          <w:szCs w:val="32"/>
        </w:rPr>
        <w:t>）；</w:t>
      </w:r>
    </w:p>
    <w:p w14:paraId="3D6E000E">
      <w:pPr>
        <w:adjustRightInd w:val="0"/>
        <w:snapToGrid w:val="0"/>
        <w:spacing w:line="360" w:lineRule="auto"/>
        <w:ind w:firstLine="480" w:firstLineChars="200"/>
        <w:rPr>
          <w:color w:val="auto"/>
          <w:sz w:val="24"/>
          <w:szCs w:val="32"/>
        </w:rPr>
      </w:pPr>
      <w:r>
        <w:rPr>
          <w:color w:val="auto"/>
          <w:sz w:val="24"/>
          <w:szCs w:val="32"/>
        </w:rPr>
        <w:t>7、</w:t>
      </w:r>
      <w:r>
        <w:rPr>
          <w:rFonts w:hint="eastAsia"/>
          <w:color w:val="auto"/>
          <w:sz w:val="24"/>
          <w:szCs w:val="32"/>
        </w:rPr>
        <w:t>《危险废物收集 贮存 运输技术规范》（HJ 2025-2012）</w:t>
      </w:r>
      <w:r>
        <w:rPr>
          <w:color w:val="auto"/>
          <w:sz w:val="24"/>
          <w:szCs w:val="32"/>
        </w:rPr>
        <w:t>；</w:t>
      </w:r>
    </w:p>
    <w:p w14:paraId="4004FA91">
      <w:pPr>
        <w:adjustRightInd w:val="0"/>
        <w:snapToGrid w:val="0"/>
        <w:spacing w:line="360" w:lineRule="auto"/>
        <w:ind w:firstLine="480" w:firstLineChars="200"/>
        <w:rPr>
          <w:color w:val="auto"/>
          <w:sz w:val="24"/>
          <w:szCs w:val="32"/>
        </w:rPr>
      </w:pPr>
      <w:r>
        <w:rPr>
          <w:rFonts w:hint="eastAsia"/>
          <w:color w:val="auto"/>
          <w:sz w:val="24"/>
          <w:szCs w:val="32"/>
          <w:lang w:val="en-US" w:eastAsia="zh-CN"/>
        </w:rPr>
        <w:t>8</w:t>
      </w:r>
      <w:r>
        <w:rPr>
          <w:color w:val="auto"/>
          <w:sz w:val="24"/>
          <w:szCs w:val="32"/>
        </w:rPr>
        <w:t>、《危险废物贮存污染控制标准》（GB18597-2023）；</w:t>
      </w:r>
    </w:p>
    <w:p w14:paraId="296F350B">
      <w:pPr>
        <w:adjustRightInd w:val="0"/>
        <w:snapToGrid w:val="0"/>
        <w:spacing w:line="360" w:lineRule="auto"/>
        <w:ind w:firstLine="480" w:firstLineChars="200"/>
        <w:rPr>
          <w:rFonts w:hint="eastAsia"/>
          <w:color w:val="auto"/>
          <w:sz w:val="24"/>
          <w:lang w:val="en-US" w:eastAsia="zh-CN"/>
        </w:rPr>
      </w:pPr>
      <w:r>
        <w:rPr>
          <w:rFonts w:hint="eastAsia"/>
          <w:color w:val="auto"/>
          <w:sz w:val="24"/>
          <w:szCs w:val="32"/>
          <w:lang w:val="en-US" w:eastAsia="zh-CN"/>
        </w:rPr>
        <w:t>9</w:t>
      </w:r>
      <w:r>
        <w:rPr>
          <w:color w:val="auto"/>
          <w:sz w:val="24"/>
          <w:szCs w:val="32"/>
        </w:rPr>
        <w:t>、</w:t>
      </w:r>
      <w:r>
        <w:rPr>
          <w:rFonts w:hint="eastAsia"/>
          <w:color w:val="auto"/>
          <w:sz w:val="24"/>
          <w:lang w:val="en-US" w:eastAsia="zh-CN"/>
        </w:rPr>
        <w:t>《一般工业固体废物贮存和填埋污染控制标准》（GB18599-2020）</w:t>
      </w:r>
    </w:p>
    <w:p w14:paraId="7CB61A3E">
      <w:pPr>
        <w:spacing w:line="360" w:lineRule="auto"/>
        <w:ind w:firstLine="480" w:firstLineChars="200"/>
        <w:jc w:val="left"/>
        <w:rPr>
          <w:rFonts w:hint="eastAsia" w:ascii="Times New Roman" w:hAnsi="Times New Roman" w:eastAsia="宋体" w:cs="Times New Roman"/>
          <w:b w:val="0"/>
          <w:bCs w:val="0"/>
          <w:color w:val="auto"/>
          <w:sz w:val="24"/>
          <w:szCs w:val="24"/>
          <w:highlight w:val="none"/>
          <w:lang w:val="en-US" w:eastAsia="zh-CN"/>
        </w:rPr>
      </w:pPr>
      <w:r>
        <w:rPr>
          <w:rFonts w:hint="eastAsia"/>
          <w:color w:val="auto"/>
          <w:sz w:val="24"/>
          <w:lang w:val="en-US" w:eastAsia="zh-CN"/>
        </w:rPr>
        <w:t>10、</w:t>
      </w:r>
      <w:r>
        <w:rPr>
          <w:rFonts w:hint="eastAsia" w:ascii="Times New Roman" w:hAnsi="Times New Roman" w:eastAsia="宋体" w:cs="Times New Roman"/>
          <w:b w:val="0"/>
          <w:bCs w:val="0"/>
          <w:color w:val="auto"/>
          <w:sz w:val="24"/>
          <w:szCs w:val="24"/>
          <w:lang w:val="en-US" w:eastAsia="zh-CN"/>
        </w:rPr>
        <w:t>《排污许可证申请与核发技术规范 总则》（HJ942-2018）</w:t>
      </w:r>
      <w:r>
        <w:rPr>
          <w:rFonts w:hint="eastAsia" w:ascii="Times New Roman" w:hAnsi="Times New Roman" w:eastAsia="宋体" w:cs="Times New Roman"/>
          <w:b w:val="0"/>
          <w:bCs w:val="0"/>
          <w:color w:val="auto"/>
          <w:sz w:val="24"/>
          <w:szCs w:val="24"/>
          <w:highlight w:val="none"/>
          <w:lang w:val="en-US" w:eastAsia="zh-CN"/>
        </w:rPr>
        <w:t>；</w:t>
      </w:r>
    </w:p>
    <w:p w14:paraId="10F172CF">
      <w:pPr>
        <w:adjustRightInd w:val="0"/>
        <w:snapToGrid w:val="0"/>
        <w:spacing w:line="360" w:lineRule="auto"/>
        <w:ind w:firstLine="480" w:firstLineChars="200"/>
        <w:rPr>
          <w:color w:val="auto"/>
          <w:sz w:val="24"/>
          <w:szCs w:val="32"/>
        </w:rPr>
      </w:pPr>
      <w:r>
        <w:rPr>
          <w:rFonts w:hint="eastAsia" w:cs="Times New Roman"/>
          <w:b w:val="0"/>
          <w:bCs w:val="0"/>
          <w:color w:val="auto"/>
          <w:sz w:val="24"/>
          <w:szCs w:val="24"/>
          <w:highlight w:val="none"/>
          <w:lang w:val="en-US" w:eastAsia="zh-CN"/>
        </w:rPr>
        <w:t>11、</w:t>
      </w:r>
      <w:r>
        <w:rPr>
          <w:rFonts w:hint="eastAsia" w:ascii="Times New Roman" w:hAnsi="Times New Roman" w:eastAsia="宋体" w:cs="Times New Roman"/>
          <w:b w:val="0"/>
          <w:bCs w:val="0"/>
          <w:color w:val="auto"/>
          <w:sz w:val="24"/>
          <w:szCs w:val="24"/>
          <w:highlight w:val="none"/>
          <w:lang w:val="en-US" w:eastAsia="zh-CN"/>
        </w:rPr>
        <w:t>《排污许可证申请与核发技术规范 有色金属工业—再生金属》（ HJ863.4-2018）</w:t>
      </w:r>
      <w:r>
        <w:rPr>
          <w:color w:val="auto"/>
          <w:sz w:val="24"/>
          <w:szCs w:val="32"/>
        </w:rPr>
        <w:t>。</w:t>
      </w:r>
    </w:p>
    <w:p w14:paraId="19CE16EA">
      <w:pPr>
        <w:adjustRightInd w:val="0"/>
        <w:snapToGrid w:val="0"/>
        <w:spacing w:line="360" w:lineRule="auto"/>
        <w:outlineLvl w:val="2"/>
        <w:rPr>
          <w:b/>
          <w:bCs/>
          <w:color w:val="auto"/>
          <w:sz w:val="24"/>
          <w:szCs w:val="32"/>
        </w:rPr>
      </w:pPr>
      <w:bookmarkStart w:id="56" w:name="_Toc15251"/>
      <w:bookmarkStart w:id="57" w:name="_Toc32594"/>
      <w:r>
        <w:rPr>
          <w:b/>
          <w:bCs/>
          <w:color w:val="auto"/>
          <w:sz w:val="24"/>
          <w:szCs w:val="32"/>
        </w:rPr>
        <w:t>1.2.4项目依据</w:t>
      </w:r>
      <w:bookmarkEnd w:id="56"/>
      <w:bookmarkEnd w:id="57"/>
    </w:p>
    <w:p w14:paraId="45010FF3">
      <w:pPr>
        <w:adjustRightInd w:val="0"/>
        <w:snapToGrid w:val="0"/>
        <w:spacing w:line="360" w:lineRule="auto"/>
        <w:ind w:firstLine="480" w:firstLineChars="200"/>
        <w:rPr>
          <w:rFonts w:hint="eastAsia" w:eastAsia="宋体"/>
          <w:color w:val="auto"/>
          <w:sz w:val="24"/>
          <w:szCs w:val="32"/>
          <w:lang w:eastAsia="zh-CN"/>
        </w:rPr>
      </w:pPr>
      <w:r>
        <w:rPr>
          <w:color w:val="auto"/>
          <w:sz w:val="24"/>
          <w:szCs w:val="32"/>
        </w:rPr>
        <w:t>1、</w:t>
      </w:r>
      <w:r>
        <w:rPr>
          <w:rFonts w:hint="eastAsia"/>
          <w:color w:val="auto"/>
          <w:sz w:val="24"/>
          <w:szCs w:val="32"/>
          <w:lang w:val="en-US" w:eastAsia="zh-CN"/>
        </w:rPr>
        <w:t>《安徽濉溪经济开发区总体发展规划（2023-2035年）环境影响报告书》及审查意见（皖环函[</w:t>
      </w:r>
      <w:r>
        <w:rPr>
          <w:rFonts w:hint="default"/>
          <w:color w:val="auto"/>
          <w:sz w:val="24"/>
          <w:szCs w:val="32"/>
          <w:lang w:val="en-US" w:eastAsia="zh-CN"/>
        </w:rPr>
        <w:t>20</w:t>
      </w:r>
      <w:r>
        <w:rPr>
          <w:rFonts w:hint="eastAsia"/>
          <w:color w:val="auto"/>
          <w:sz w:val="24"/>
          <w:szCs w:val="32"/>
          <w:lang w:val="en-US" w:eastAsia="zh-CN"/>
        </w:rPr>
        <w:t>23]1028号）</w:t>
      </w:r>
      <w:r>
        <w:rPr>
          <w:rFonts w:hint="eastAsia" w:cs="Times New Roman"/>
          <w:color w:val="auto"/>
          <w:sz w:val="24"/>
          <w:szCs w:val="20"/>
          <w:lang w:eastAsia="zh-CN"/>
        </w:rPr>
        <w:t>；</w:t>
      </w:r>
    </w:p>
    <w:p w14:paraId="1766E2CC">
      <w:pPr>
        <w:adjustRightInd w:val="0"/>
        <w:snapToGrid w:val="0"/>
        <w:spacing w:line="360" w:lineRule="auto"/>
        <w:ind w:firstLine="480" w:firstLineChars="200"/>
        <w:rPr>
          <w:rFonts w:hint="eastAsia" w:eastAsia="宋体"/>
          <w:color w:val="auto"/>
          <w:sz w:val="24"/>
          <w:szCs w:val="32"/>
          <w:lang w:eastAsia="zh-CN"/>
        </w:rPr>
      </w:pPr>
      <w:r>
        <w:rPr>
          <w:color w:val="auto"/>
          <w:sz w:val="24"/>
          <w:szCs w:val="32"/>
        </w:rPr>
        <w:t>2、</w:t>
      </w:r>
      <w:r>
        <w:rPr>
          <w:rFonts w:hint="default"/>
          <w:color w:val="auto"/>
          <w:sz w:val="24"/>
          <w:szCs w:val="32"/>
        </w:rPr>
        <w:t>《安徽濉溪经济开发区扩展区总体规划（2020-2035）</w:t>
      </w:r>
      <w:r>
        <w:rPr>
          <w:rFonts w:hint="eastAsia"/>
          <w:color w:val="auto"/>
          <w:sz w:val="24"/>
          <w:szCs w:val="32"/>
          <w:lang w:val="en-US" w:eastAsia="zh-CN"/>
        </w:rPr>
        <w:t>环境影响报告书</w:t>
      </w:r>
      <w:r>
        <w:rPr>
          <w:rFonts w:hint="default"/>
          <w:color w:val="auto"/>
          <w:sz w:val="24"/>
          <w:szCs w:val="32"/>
        </w:rPr>
        <w:t>》</w:t>
      </w:r>
      <w:r>
        <w:rPr>
          <w:rFonts w:hint="eastAsia"/>
          <w:color w:val="auto"/>
          <w:sz w:val="24"/>
          <w:szCs w:val="32"/>
          <w:lang w:val="en-US" w:eastAsia="zh-CN"/>
        </w:rPr>
        <w:t>及审查意见</w:t>
      </w:r>
      <w:r>
        <w:rPr>
          <w:color w:val="auto"/>
          <w:sz w:val="24"/>
          <w:szCs w:val="32"/>
        </w:rPr>
        <w:t>；</w:t>
      </w:r>
    </w:p>
    <w:p w14:paraId="672B8EDF">
      <w:pPr>
        <w:adjustRightInd w:val="0"/>
        <w:snapToGrid w:val="0"/>
        <w:spacing w:line="360" w:lineRule="auto"/>
        <w:ind w:firstLine="480" w:firstLineChars="200"/>
        <w:rPr>
          <w:color w:val="auto"/>
          <w:sz w:val="24"/>
          <w:szCs w:val="32"/>
        </w:rPr>
      </w:pPr>
      <w:r>
        <w:rPr>
          <w:rFonts w:hint="eastAsia"/>
          <w:color w:val="auto"/>
          <w:sz w:val="24"/>
          <w:szCs w:val="32"/>
          <w:lang w:val="en-US" w:eastAsia="zh-CN"/>
        </w:rPr>
        <w:t>3、《安徽华中天力铝业有限公司年产11万吨再生铝建设项目环境影响报告书》，中冶华天工程技术有限公司，2016年2月；</w:t>
      </w:r>
    </w:p>
    <w:p w14:paraId="0D14E126">
      <w:pPr>
        <w:adjustRightInd w:val="0"/>
        <w:snapToGrid w:val="0"/>
        <w:spacing w:line="360" w:lineRule="auto"/>
        <w:ind w:firstLine="480" w:firstLineChars="200"/>
        <w:rPr>
          <w:color w:val="auto"/>
          <w:sz w:val="24"/>
          <w:szCs w:val="32"/>
        </w:rPr>
      </w:pPr>
      <w:r>
        <w:rPr>
          <w:color w:val="auto"/>
          <w:sz w:val="24"/>
          <w:szCs w:val="32"/>
        </w:rPr>
        <w:t>3、《</w:t>
      </w:r>
      <w:r>
        <w:rPr>
          <w:rFonts w:hint="eastAsia"/>
          <w:color w:val="auto"/>
          <w:sz w:val="24"/>
          <w:szCs w:val="32"/>
          <w:lang w:val="en-US" w:eastAsia="zh-CN"/>
        </w:rPr>
        <w:t>安徽华中天力铝业有限公司年产11万吨再生铝建设项目</w:t>
      </w:r>
      <w:r>
        <w:rPr>
          <w:color w:val="auto"/>
          <w:sz w:val="24"/>
          <w:szCs w:val="32"/>
        </w:rPr>
        <w:t>环境影响报告书的批复》，淮环行[201</w:t>
      </w:r>
      <w:r>
        <w:rPr>
          <w:rFonts w:hint="eastAsia"/>
          <w:color w:val="auto"/>
          <w:sz w:val="24"/>
          <w:szCs w:val="32"/>
          <w:lang w:val="en-US" w:eastAsia="zh-CN"/>
        </w:rPr>
        <w:t>6</w:t>
      </w:r>
      <w:r>
        <w:rPr>
          <w:color w:val="auto"/>
          <w:sz w:val="24"/>
          <w:szCs w:val="32"/>
        </w:rPr>
        <w:t>]</w:t>
      </w:r>
      <w:r>
        <w:rPr>
          <w:rFonts w:hint="eastAsia"/>
          <w:color w:val="auto"/>
          <w:sz w:val="24"/>
          <w:szCs w:val="32"/>
          <w:lang w:val="en-US" w:eastAsia="zh-CN"/>
        </w:rPr>
        <w:t>27</w:t>
      </w:r>
      <w:r>
        <w:rPr>
          <w:color w:val="auto"/>
          <w:sz w:val="24"/>
          <w:szCs w:val="32"/>
        </w:rPr>
        <w:t>号，20</w:t>
      </w:r>
      <w:r>
        <w:rPr>
          <w:rFonts w:hint="eastAsia"/>
          <w:color w:val="auto"/>
          <w:sz w:val="24"/>
          <w:szCs w:val="32"/>
          <w:lang w:val="en-US" w:eastAsia="zh-CN"/>
        </w:rPr>
        <w:t>16</w:t>
      </w:r>
      <w:r>
        <w:rPr>
          <w:color w:val="auto"/>
          <w:sz w:val="24"/>
          <w:szCs w:val="32"/>
        </w:rPr>
        <w:t>年</w:t>
      </w:r>
      <w:r>
        <w:rPr>
          <w:rFonts w:hint="eastAsia"/>
          <w:color w:val="auto"/>
          <w:sz w:val="24"/>
          <w:szCs w:val="32"/>
          <w:lang w:val="en-US" w:eastAsia="zh-CN"/>
        </w:rPr>
        <w:t>6</w:t>
      </w:r>
      <w:r>
        <w:rPr>
          <w:color w:val="auto"/>
          <w:sz w:val="24"/>
          <w:szCs w:val="32"/>
        </w:rPr>
        <w:t>月</w:t>
      </w:r>
      <w:r>
        <w:rPr>
          <w:rFonts w:hint="eastAsia"/>
          <w:color w:val="auto"/>
          <w:sz w:val="24"/>
          <w:szCs w:val="32"/>
          <w:lang w:val="en-US" w:eastAsia="zh-CN"/>
        </w:rPr>
        <w:t>30</w:t>
      </w:r>
      <w:r>
        <w:rPr>
          <w:color w:val="auto"/>
          <w:sz w:val="24"/>
          <w:szCs w:val="32"/>
        </w:rPr>
        <w:t>日；</w:t>
      </w:r>
    </w:p>
    <w:p w14:paraId="750E2400">
      <w:pPr>
        <w:adjustRightInd w:val="0"/>
        <w:snapToGrid w:val="0"/>
        <w:spacing w:line="360" w:lineRule="auto"/>
        <w:ind w:firstLine="480" w:firstLineChars="200"/>
        <w:rPr>
          <w:color w:val="auto"/>
          <w:sz w:val="24"/>
          <w:szCs w:val="32"/>
        </w:rPr>
      </w:pPr>
      <w:r>
        <w:rPr>
          <w:color w:val="auto"/>
          <w:sz w:val="24"/>
          <w:szCs w:val="32"/>
        </w:rPr>
        <w:t>4、《</w:t>
      </w:r>
      <w:r>
        <w:rPr>
          <w:rFonts w:hint="eastAsia"/>
          <w:color w:val="auto"/>
          <w:sz w:val="24"/>
          <w:szCs w:val="32"/>
          <w:lang w:val="en-US" w:eastAsia="zh-CN"/>
        </w:rPr>
        <w:t>安徽华中天力铝业有限公司年产11万吨再生铝建设项目竣工环境保护(阶段性)验收监测报告</w:t>
      </w:r>
      <w:r>
        <w:rPr>
          <w:color w:val="auto"/>
          <w:sz w:val="24"/>
          <w:szCs w:val="32"/>
        </w:rPr>
        <w:t>》，202</w:t>
      </w:r>
      <w:r>
        <w:rPr>
          <w:rFonts w:hint="eastAsia"/>
          <w:color w:val="auto"/>
          <w:sz w:val="24"/>
          <w:szCs w:val="32"/>
          <w:lang w:val="en-US" w:eastAsia="zh-CN"/>
        </w:rPr>
        <w:t>1</w:t>
      </w:r>
      <w:r>
        <w:rPr>
          <w:color w:val="auto"/>
          <w:sz w:val="24"/>
          <w:szCs w:val="32"/>
        </w:rPr>
        <w:t>年</w:t>
      </w:r>
      <w:r>
        <w:rPr>
          <w:rFonts w:hint="eastAsia"/>
          <w:color w:val="auto"/>
          <w:sz w:val="24"/>
          <w:szCs w:val="32"/>
          <w:lang w:val="en-US" w:eastAsia="zh-CN"/>
        </w:rPr>
        <w:t>9</w:t>
      </w:r>
      <w:r>
        <w:rPr>
          <w:color w:val="auto"/>
          <w:sz w:val="24"/>
          <w:szCs w:val="32"/>
        </w:rPr>
        <w:t>月；</w:t>
      </w:r>
    </w:p>
    <w:p w14:paraId="3A8812D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color w:val="auto"/>
          <w:sz w:val="24"/>
          <w:szCs w:val="32"/>
        </w:rPr>
      </w:pPr>
      <w:r>
        <w:rPr>
          <w:rFonts w:hint="eastAsia"/>
          <w:color w:val="auto"/>
          <w:sz w:val="24"/>
          <w:szCs w:val="32"/>
          <w:lang w:val="en-US" w:eastAsia="zh-CN"/>
        </w:rPr>
        <w:t>5</w:t>
      </w:r>
      <w:r>
        <w:rPr>
          <w:color w:val="auto"/>
          <w:sz w:val="24"/>
          <w:szCs w:val="32"/>
        </w:rPr>
        <w:t>、</w:t>
      </w:r>
      <w:r>
        <w:rPr>
          <w:rFonts w:hint="eastAsia"/>
          <w:color w:val="auto"/>
          <w:sz w:val="24"/>
          <w:szCs w:val="32"/>
        </w:rPr>
        <w:t>安徽瑞瑟科金属材料有限公司</w:t>
      </w:r>
      <w:r>
        <w:rPr>
          <w:rFonts w:hint="eastAsia"/>
          <w:color w:val="auto"/>
          <w:sz w:val="24"/>
          <w:szCs w:val="32"/>
          <w:lang w:eastAsia="zh-CN"/>
        </w:rPr>
        <w:t>（</w:t>
      </w:r>
      <w:r>
        <w:rPr>
          <w:rFonts w:hint="eastAsia"/>
          <w:color w:val="auto"/>
          <w:sz w:val="24"/>
          <w:szCs w:val="32"/>
        </w:rPr>
        <w:t>原安徽华中天力铝业有限公司</w:t>
      </w:r>
      <w:r>
        <w:rPr>
          <w:rFonts w:hint="eastAsia"/>
          <w:color w:val="auto"/>
          <w:sz w:val="24"/>
          <w:szCs w:val="32"/>
          <w:lang w:eastAsia="zh-CN"/>
        </w:rPr>
        <w:t>）</w:t>
      </w:r>
      <w:r>
        <w:rPr>
          <w:rFonts w:hint="eastAsia"/>
          <w:color w:val="auto"/>
          <w:sz w:val="24"/>
          <w:szCs w:val="32"/>
        </w:rPr>
        <w:t>年产11万吨再生铝建设项目</w:t>
      </w:r>
      <w:r>
        <w:rPr>
          <w:color w:val="auto"/>
          <w:sz w:val="24"/>
          <w:szCs w:val="32"/>
        </w:rPr>
        <w:t>环境影响后评价</w:t>
      </w:r>
      <w:r>
        <w:rPr>
          <w:rFonts w:hint="eastAsia"/>
          <w:color w:val="auto"/>
          <w:sz w:val="24"/>
          <w:szCs w:val="32"/>
          <w:lang w:val="en-US" w:eastAsia="zh-CN"/>
        </w:rPr>
        <w:t>现状监测报告</w:t>
      </w:r>
      <w:r>
        <w:rPr>
          <w:color w:val="auto"/>
          <w:sz w:val="24"/>
          <w:szCs w:val="32"/>
        </w:rPr>
        <w:t>，</w:t>
      </w:r>
      <w:bookmarkStart w:id="58" w:name="_Toc7995"/>
      <w:bookmarkStart w:id="59" w:name="_Toc7889"/>
      <w:bookmarkStart w:id="60" w:name="_Toc32461"/>
      <w:r>
        <w:rPr>
          <w:rFonts w:hint="eastAsia"/>
          <w:color w:val="auto"/>
          <w:sz w:val="24"/>
          <w:szCs w:val="32"/>
        </w:rPr>
        <w:t>安徽圆规检测技术有限公司</w:t>
      </w:r>
      <w:r>
        <w:rPr>
          <w:color w:val="auto"/>
          <w:sz w:val="24"/>
          <w:szCs w:val="32"/>
        </w:rPr>
        <w:t>；</w:t>
      </w:r>
    </w:p>
    <w:p w14:paraId="114822F8">
      <w:pPr>
        <w:adjustRightInd w:val="0"/>
        <w:snapToGrid w:val="0"/>
        <w:spacing w:line="360" w:lineRule="auto"/>
        <w:ind w:firstLine="480" w:firstLineChars="200"/>
        <w:rPr>
          <w:color w:val="auto"/>
          <w:sz w:val="24"/>
          <w:szCs w:val="32"/>
        </w:rPr>
      </w:pPr>
      <w:bookmarkStart w:id="61" w:name="_Toc10167"/>
      <w:r>
        <w:rPr>
          <w:rFonts w:hint="eastAsia"/>
          <w:color w:val="auto"/>
          <w:sz w:val="24"/>
          <w:szCs w:val="32"/>
          <w:lang w:val="en-US" w:eastAsia="zh-CN"/>
        </w:rPr>
        <w:t>6</w:t>
      </w:r>
      <w:r>
        <w:rPr>
          <w:color w:val="auto"/>
          <w:sz w:val="24"/>
          <w:szCs w:val="32"/>
        </w:rPr>
        <w:t>、有关工程基础资料。</w:t>
      </w:r>
      <w:bookmarkEnd w:id="58"/>
      <w:bookmarkEnd w:id="59"/>
      <w:bookmarkEnd w:id="60"/>
      <w:bookmarkEnd w:id="61"/>
      <w:bookmarkStart w:id="62" w:name="_Toc449101411"/>
      <w:bookmarkStart w:id="63" w:name="_Toc406680655"/>
    </w:p>
    <w:p w14:paraId="17723B8B">
      <w:pPr>
        <w:adjustRightInd w:val="0"/>
        <w:snapToGrid w:val="0"/>
        <w:spacing w:line="360" w:lineRule="auto"/>
        <w:outlineLvl w:val="1"/>
        <w:rPr>
          <w:b/>
          <w:bCs/>
          <w:color w:val="auto"/>
          <w:sz w:val="28"/>
          <w:szCs w:val="36"/>
        </w:rPr>
      </w:pPr>
      <w:bookmarkStart w:id="64" w:name="_Toc30057"/>
      <w:r>
        <w:rPr>
          <w:b/>
          <w:bCs/>
          <w:color w:val="auto"/>
          <w:sz w:val="28"/>
          <w:szCs w:val="36"/>
        </w:rPr>
        <w:t>1.3评价内容</w:t>
      </w:r>
      <w:bookmarkEnd w:id="62"/>
      <w:bookmarkEnd w:id="63"/>
      <w:bookmarkEnd w:id="64"/>
    </w:p>
    <w:p w14:paraId="146306DC">
      <w:pPr>
        <w:adjustRightInd w:val="0"/>
        <w:snapToGrid w:val="0"/>
        <w:spacing w:line="360" w:lineRule="auto"/>
        <w:ind w:firstLine="480" w:firstLineChars="200"/>
        <w:rPr>
          <w:color w:val="auto"/>
          <w:sz w:val="24"/>
          <w:szCs w:val="32"/>
        </w:rPr>
      </w:pPr>
      <w:r>
        <w:rPr>
          <w:color w:val="auto"/>
          <w:sz w:val="24"/>
          <w:szCs w:val="32"/>
        </w:rPr>
        <w:t>本次评价内容如下：</w:t>
      </w:r>
      <w:bookmarkStart w:id="65" w:name="_Toc12157"/>
      <w:bookmarkStart w:id="66" w:name="_Toc406680656"/>
      <w:bookmarkStart w:id="67" w:name="_Toc449101412"/>
    </w:p>
    <w:p w14:paraId="360AE4B6">
      <w:pPr>
        <w:adjustRightInd w:val="0"/>
        <w:snapToGrid w:val="0"/>
        <w:spacing w:line="360" w:lineRule="auto"/>
        <w:ind w:firstLine="480" w:firstLineChars="200"/>
        <w:rPr>
          <w:color w:val="auto"/>
          <w:sz w:val="24"/>
          <w:szCs w:val="32"/>
        </w:rPr>
      </w:pPr>
      <w:bookmarkStart w:id="68" w:name="_Toc18827"/>
      <w:r>
        <w:rPr>
          <w:color w:val="auto"/>
          <w:sz w:val="24"/>
          <w:szCs w:val="32"/>
        </w:rPr>
        <w:t>（1）建设项目过程回顾</w:t>
      </w:r>
      <w:bookmarkEnd w:id="65"/>
      <w:bookmarkEnd w:id="68"/>
    </w:p>
    <w:p w14:paraId="5AF4FC32">
      <w:pPr>
        <w:adjustRightInd w:val="0"/>
        <w:snapToGrid w:val="0"/>
        <w:spacing w:line="360" w:lineRule="auto"/>
        <w:ind w:firstLine="480" w:firstLineChars="200"/>
        <w:rPr>
          <w:color w:val="auto"/>
          <w:sz w:val="24"/>
          <w:szCs w:val="32"/>
        </w:rPr>
      </w:pPr>
      <w:r>
        <w:rPr>
          <w:color w:val="auto"/>
          <w:sz w:val="24"/>
          <w:szCs w:val="32"/>
        </w:rPr>
        <w:t>包括环境影响评价、环境保护措施落实、环境保护措施竣工验收、环境监测情况，以及公众意见收集调查情况等。</w:t>
      </w:r>
    </w:p>
    <w:p w14:paraId="037C0174">
      <w:pPr>
        <w:adjustRightInd w:val="0"/>
        <w:snapToGrid w:val="0"/>
        <w:spacing w:line="360" w:lineRule="auto"/>
        <w:ind w:firstLine="480" w:firstLineChars="200"/>
        <w:rPr>
          <w:color w:val="auto"/>
          <w:sz w:val="24"/>
          <w:szCs w:val="32"/>
        </w:rPr>
      </w:pPr>
      <w:r>
        <w:rPr>
          <w:color w:val="auto"/>
          <w:sz w:val="24"/>
          <w:szCs w:val="32"/>
        </w:rPr>
        <w:t>环境影响评价回顾：回顾项目建设历程，工程内容变化过程及具体变化内容，各类工程内容变化是否履行了相关环保手续，各环境影响评价文件主要结论和批复要求。</w:t>
      </w:r>
    </w:p>
    <w:p w14:paraId="47507936">
      <w:pPr>
        <w:adjustRightInd w:val="0"/>
        <w:snapToGrid w:val="0"/>
        <w:spacing w:line="360" w:lineRule="auto"/>
        <w:ind w:firstLine="480" w:firstLineChars="200"/>
        <w:rPr>
          <w:color w:val="auto"/>
          <w:sz w:val="24"/>
          <w:szCs w:val="32"/>
        </w:rPr>
      </w:pPr>
      <w:r>
        <w:rPr>
          <w:color w:val="auto"/>
          <w:sz w:val="24"/>
          <w:szCs w:val="32"/>
        </w:rPr>
        <w:t xml:space="preserve">环境保护措施落实回顾：以环境影响评价文件、环境影响评价批复文件及环境保护设计文件为依据，全面、深入回顾环境保护措施的建设落实情况，并注意调查新增的环境保护措施。    </w:t>
      </w:r>
    </w:p>
    <w:p w14:paraId="7546DDB0">
      <w:pPr>
        <w:adjustRightInd w:val="0"/>
        <w:snapToGrid w:val="0"/>
        <w:spacing w:line="360" w:lineRule="auto"/>
        <w:ind w:firstLine="480" w:firstLineChars="200"/>
        <w:rPr>
          <w:color w:val="auto"/>
          <w:sz w:val="24"/>
          <w:szCs w:val="32"/>
        </w:rPr>
      </w:pPr>
      <w:r>
        <w:rPr>
          <w:color w:val="auto"/>
          <w:sz w:val="24"/>
          <w:szCs w:val="32"/>
        </w:rPr>
        <w:t>环境保护措施竣工验收回顾：回顾建设项目是否已进行了竣工环境保护验收，验收内容是否全面、程序是否合法合规，并给出竣工环境保护验收主要结论、有关遗留问题的整改情况。</w:t>
      </w:r>
    </w:p>
    <w:p w14:paraId="3AB3974F">
      <w:pPr>
        <w:adjustRightInd w:val="0"/>
        <w:snapToGrid w:val="0"/>
        <w:spacing w:line="360" w:lineRule="auto"/>
        <w:ind w:firstLine="480" w:firstLineChars="200"/>
        <w:rPr>
          <w:color w:val="auto"/>
          <w:sz w:val="24"/>
          <w:szCs w:val="32"/>
        </w:rPr>
      </w:pPr>
      <w:r>
        <w:rPr>
          <w:color w:val="auto"/>
          <w:sz w:val="24"/>
          <w:szCs w:val="32"/>
        </w:rPr>
        <w:t>环境监测情况回顾：回顾环境影响评价文件和竣工环保设施验收文件中要求的环境监测计划的落实情况。对工程有关突发性环境事件，应回顾跟踪监测调查情况。</w:t>
      </w:r>
    </w:p>
    <w:p w14:paraId="16C07A9B">
      <w:pPr>
        <w:adjustRightInd w:val="0"/>
        <w:snapToGrid w:val="0"/>
        <w:spacing w:line="360" w:lineRule="auto"/>
        <w:ind w:firstLine="480" w:firstLineChars="200"/>
        <w:rPr>
          <w:color w:val="auto"/>
          <w:sz w:val="24"/>
          <w:szCs w:val="32"/>
        </w:rPr>
      </w:pPr>
      <w:r>
        <w:rPr>
          <w:color w:val="auto"/>
          <w:sz w:val="24"/>
          <w:szCs w:val="32"/>
        </w:rPr>
        <w:t>公众意见收集调查回顾：回顾环境影响评价文件公众意见处理情况；回顾环保投诉及处理情况。</w:t>
      </w:r>
      <w:bookmarkStart w:id="69" w:name="_Toc29650"/>
    </w:p>
    <w:p w14:paraId="712C5C08">
      <w:pPr>
        <w:adjustRightInd w:val="0"/>
        <w:snapToGrid w:val="0"/>
        <w:spacing w:line="360" w:lineRule="auto"/>
        <w:ind w:firstLine="480" w:firstLineChars="200"/>
        <w:rPr>
          <w:color w:val="auto"/>
          <w:sz w:val="24"/>
          <w:szCs w:val="32"/>
        </w:rPr>
      </w:pPr>
      <w:bookmarkStart w:id="70" w:name="_Toc12114"/>
      <w:r>
        <w:rPr>
          <w:color w:val="auto"/>
          <w:sz w:val="24"/>
          <w:szCs w:val="32"/>
        </w:rPr>
        <w:t>（2）建设项目工程评价</w:t>
      </w:r>
      <w:bookmarkEnd w:id="69"/>
      <w:bookmarkEnd w:id="70"/>
    </w:p>
    <w:p w14:paraId="4DD382EF">
      <w:pPr>
        <w:adjustRightInd w:val="0"/>
        <w:snapToGrid w:val="0"/>
        <w:spacing w:line="360" w:lineRule="auto"/>
        <w:ind w:firstLine="480" w:firstLineChars="200"/>
        <w:rPr>
          <w:color w:val="auto"/>
          <w:sz w:val="24"/>
          <w:szCs w:val="32"/>
        </w:rPr>
      </w:pPr>
      <w:r>
        <w:rPr>
          <w:color w:val="auto"/>
          <w:sz w:val="24"/>
          <w:szCs w:val="32"/>
        </w:rPr>
        <w:t>项目基本情况：地理位置、企业概况、建设规模、总平面布置等；按主体工程、辅助工程、储运工程、公用工程、环保工程分别列出实际工程建设内容，对照环境影响评价文件及其批复文件，竣工环境保护验收及批复文件说明项目变更及实施情况。</w:t>
      </w:r>
    </w:p>
    <w:p w14:paraId="4652F78C">
      <w:pPr>
        <w:adjustRightInd w:val="0"/>
        <w:snapToGrid w:val="0"/>
        <w:spacing w:line="360" w:lineRule="auto"/>
        <w:ind w:firstLine="480" w:firstLineChars="200"/>
        <w:rPr>
          <w:color w:val="auto"/>
          <w:sz w:val="24"/>
          <w:szCs w:val="32"/>
        </w:rPr>
      </w:pPr>
      <w:r>
        <w:rPr>
          <w:color w:val="auto"/>
          <w:sz w:val="24"/>
          <w:szCs w:val="32"/>
        </w:rPr>
        <w:t>环保措施建设及运行情况：给出工程运行环境影响工艺环节及实际环境影响评价范围；分析建设项目污染防治设施建设及运行情况、生态恢复治理措施情况、地下水环境保护措施情况；核算污染物“三废”排放，并分析是否满足污染物排放总量指标要求。</w:t>
      </w:r>
      <w:bookmarkStart w:id="71" w:name="_Toc5593"/>
    </w:p>
    <w:p w14:paraId="77EF7ED6">
      <w:pPr>
        <w:adjustRightInd w:val="0"/>
        <w:snapToGrid w:val="0"/>
        <w:spacing w:line="360" w:lineRule="auto"/>
        <w:ind w:firstLine="480" w:firstLineChars="200"/>
        <w:rPr>
          <w:color w:val="auto"/>
          <w:sz w:val="24"/>
          <w:szCs w:val="32"/>
        </w:rPr>
      </w:pPr>
      <w:bookmarkStart w:id="72" w:name="_Toc18918"/>
      <w:r>
        <w:rPr>
          <w:color w:val="auto"/>
          <w:sz w:val="24"/>
          <w:szCs w:val="32"/>
        </w:rPr>
        <w:t>（3）区域环境变化评价</w:t>
      </w:r>
      <w:bookmarkEnd w:id="71"/>
      <w:bookmarkEnd w:id="72"/>
    </w:p>
    <w:p w14:paraId="39E1D4CC">
      <w:pPr>
        <w:adjustRightInd w:val="0"/>
        <w:snapToGrid w:val="0"/>
        <w:spacing w:line="360" w:lineRule="auto"/>
        <w:ind w:firstLine="480" w:firstLineChars="200"/>
        <w:rPr>
          <w:color w:val="auto"/>
          <w:sz w:val="24"/>
          <w:szCs w:val="32"/>
        </w:rPr>
      </w:pPr>
      <w:r>
        <w:rPr>
          <w:color w:val="auto"/>
          <w:sz w:val="24"/>
          <w:szCs w:val="32"/>
        </w:rPr>
        <w:t>包括建设项目周围区域环境敏感目标变化、污染源或者其他影响源变化、环境质量现状和变化趋势分析等。</w:t>
      </w:r>
    </w:p>
    <w:p w14:paraId="27AD7618">
      <w:pPr>
        <w:adjustRightInd w:val="0"/>
        <w:snapToGrid w:val="0"/>
        <w:spacing w:line="360" w:lineRule="auto"/>
        <w:ind w:firstLine="480" w:firstLineChars="200"/>
        <w:rPr>
          <w:color w:val="auto"/>
          <w:sz w:val="24"/>
          <w:szCs w:val="32"/>
        </w:rPr>
      </w:pPr>
      <w:r>
        <w:rPr>
          <w:color w:val="auto"/>
          <w:sz w:val="24"/>
          <w:szCs w:val="32"/>
        </w:rPr>
        <w:t>环境保护目标变化：利用现场调查、资料收集等方法，分析项目评价范围内的环境保护目标分布，并与环境影响评价文件和竣工环境保护验收时相比，说明评价范围内环境保护目标的变化情况及采取的保护措施。</w:t>
      </w:r>
    </w:p>
    <w:p w14:paraId="44984458">
      <w:pPr>
        <w:adjustRightInd w:val="0"/>
        <w:snapToGrid w:val="0"/>
        <w:spacing w:line="360" w:lineRule="auto"/>
        <w:ind w:firstLine="480" w:firstLineChars="200"/>
        <w:rPr>
          <w:color w:val="auto"/>
          <w:sz w:val="24"/>
          <w:szCs w:val="32"/>
        </w:rPr>
      </w:pPr>
      <w:r>
        <w:rPr>
          <w:color w:val="auto"/>
          <w:sz w:val="24"/>
          <w:szCs w:val="32"/>
        </w:rPr>
        <w:t>污染源或者其他影响源变化：利用现场调查、资料收集等方法，分析项目评价范围内的污染源分布，并与环境影响评价文件和竣工环境保护验收文件相比，说明评价范围内污染源、其它影响源的变化情况及防治措施。</w:t>
      </w:r>
    </w:p>
    <w:p w14:paraId="2082C4B4">
      <w:pPr>
        <w:adjustRightInd w:val="0"/>
        <w:snapToGrid w:val="0"/>
        <w:spacing w:line="360" w:lineRule="auto"/>
        <w:ind w:firstLine="480" w:firstLineChars="200"/>
        <w:rPr>
          <w:color w:val="auto"/>
          <w:sz w:val="24"/>
          <w:szCs w:val="32"/>
        </w:rPr>
      </w:pPr>
      <w:r>
        <w:rPr>
          <w:color w:val="auto"/>
          <w:sz w:val="24"/>
          <w:szCs w:val="32"/>
        </w:rPr>
        <w:t>环境质量现状和变化趋势分析：区域环境质量现状及变化趋势分析对象包括地下水环境、地表水环境、大气环境、声环境和其它环境等，环境要素的调查内容及方法应符合HJ2.1、HJ619等相关规定。</w:t>
      </w:r>
      <w:bookmarkStart w:id="73" w:name="_Toc26722"/>
    </w:p>
    <w:p w14:paraId="53C0F3F9">
      <w:pPr>
        <w:adjustRightInd w:val="0"/>
        <w:snapToGrid w:val="0"/>
        <w:spacing w:line="360" w:lineRule="auto"/>
        <w:ind w:firstLine="480" w:firstLineChars="200"/>
        <w:rPr>
          <w:color w:val="auto"/>
          <w:sz w:val="24"/>
          <w:szCs w:val="32"/>
        </w:rPr>
      </w:pPr>
      <w:bookmarkStart w:id="74" w:name="_Toc19939"/>
      <w:r>
        <w:rPr>
          <w:color w:val="auto"/>
          <w:sz w:val="24"/>
          <w:szCs w:val="32"/>
        </w:rPr>
        <w:t>（4）环境保护措施有效性评估及影响预测验证</w:t>
      </w:r>
      <w:bookmarkEnd w:id="73"/>
      <w:bookmarkEnd w:id="74"/>
    </w:p>
    <w:p w14:paraId="2C5C7558">
      <w:pPr>
        <w:adjustRightInd w:val="0"/>
        <w:snapToGrid w:val="0"/>
        <w:spacing w:line="360" w:lineRule="auto"/>
        <w:ind w:firstLine="480" w:firstLineChars="200"/>
        <w:rPr>
          <w:color w:val="auto"/>
          <w:sz w:val="24"/>
          <w:szCs w:val="32"/>
        </w:rPr>
      </w:pPr>
      <w:r>
        <w:rPr>
          <w:color w:val="auto"/>
          <w:sz w:val="24"/>
          <w:szCs w:val="32"/>
        </w:rPr>
        <w:t>环境保护措施有效性评估：包括环境影响报告书规定的污染防治、生态保护和风险防范措施是否适用、有效，能否达到国家或者地方相关法律、法规、标准的要求等。环境影响预测验证：包括主要环境要素的预测影响与实际影响差异，原环境影响报告书内容和结论有无重大漏项或者明显错误，持久性、累积性和不确定性环境影响的表现等。</w:t>
      </w:r>
      <w:bookmarkStart w:id="75" w:name="_Toc30170"/>
    </w:p>
    <w:p w14:paraId="720E7B4B">
      <w:pPr>
        <w:adjustRightInd w:val="0"/>
        <w:snapToGrid w:val="0"/>
        <w:spacing w:line="360" w:lineRule="auto"/>
        <w:ind w:firstLine="480" w:firstLineChars="200"/>
        <w:rPr>
          <w:color w:val="auto"/>
          <w:sz w:val="24"/>
          <w:szCs w:val="32"/>
        </w:rPr>
      </w:pPr>
      <w:bookmarkStart w:id="76" w:name="_Toc24684"/>
      <w:r>
        <w:rPr>
          <w:color w:val="auto"/>
          <w:sz w:val="24"/>
          <w:szCs w:val="32"/>
        </w:rPr>
        <w:t>（5）环境保护补救方案和改进措施</w:t>
      </w:r>
      <w:bookmarkEnd w:id="75"/>
      <w:bookmarkEnd w:id="76"/>
    </w:p>
    <w:p w14:paraId="309CF3A5">
      <w:pPr>
        <w:adjustRightInd w:val="0"/>
        <w:snapToGrid w:val="0"/>
        <w:spacing w:line="360" w:lineRule="auto"/>
        <w:ind w:firstLine="480" w:firstLineChars="200"/>
        <w:rPr>
          <w:color w:val="auto"/>
          <w:sz w:val="24"/>
          <w:szCs w:val="32"/>
        </w:rPr>
      </w:pPr>
      <w:r>
        <w:rPr>
          <w:color w:val="auto"/>
          <w:sz w:val="24"/>
          <w:szCs w:val="32"/>
        </w:rPr>
        <w:t>根据建设项目运行后环境影响和环境保护措施有效性评价结果，以区域环境质量改善为目标，提出环境保护补救方案和改进措施。补救方案或改进措施应包括生态保护、地下水保护、水污染防治、大气污染防治、噪声污染防治、固体废物污染防治、环境风险防范等，并满足现行环境保护管理要求，技术、经济可行。明确补救方案或改进措施的实施进度安排、投资估算和环境保护效果等。</w:t>
      </w:r>
    </w:p>
    <w:p w14:paraId="103BBD1D">
      <w:pPr>
        <w:adjustRightInd w:val="0"/>
        <w:snapToGrid w:val="0"/>
        <w:spacing w:line="360" w:lineRule="auto"/>
        <w:outlineLvl w:val="1"/>
        <w:rPr>
          <w:b/>
          <w:bCs/>
          <w:color w:val="auto"/>
          <w:sz w:val="28"/>
          <w:szCs w:val="36"/>
        </w:rPr>
      </w:pPr>
      <w:bookmarkStart w:id="77" w:name="_Toc9104"/>
      <w:r>
        <w:rPr>
          <w:b/>
          <w:bCs/>
          <w:color w:val="auto"/>
          <w:sz w:val="28"/>
          <w:szCs w:val="36"/>
        </w:rPr>
        <w:t>1.4评价重点</w:t>
      </w:r>
      <w:bookmarkEnd w:id="66"/>
      <w:bookmarkEnd w:id="67"/>
      <w:bookmarkEnd w:id="77"/>
    </w:p>
    <w:p w14:paraId="5ED2AF8A">
      <w:pPr>
        <w:adjustRightInd w:val="0"/>
        <w:snapToGrid w:val="0"/>
        <w:spacing w:line="360" w:lineRule="auto"/>
        <w:ind w:firstLine="480" w:firstLineChars="200"/>
        <w:rPr>
          <w:color w:val="auto"/>
          <w:sz w:val="24"/>
          <w:szCs w:val="32"/>
        </w:rPr>
      </w:pPr>
      <w:r>
        <w:rPr>
          <w:color w:val="auto"/>
          <w:sz w:val="24"/>
          <w:szCs w:val="32"/>
        </w:rPr>
        <w:t>（1）项目建设及运行现状调查；</w:t>
      </w:r>
    </w:p>
    <w:p w14:paraId="53A52F34">
      <w:pPr>
        <w:adjustRightInd w:val="0"/>
        <w:snapToGrid w:val="0"/>
        <w:spacing w:line="360" w:lineRule="auto"/>
        <w:ind w:firstLine="480" w:firstLineChars="200"/>
        <w:rPr>
          <w:color w:val="auto"/>
          <w:sz w:val="24"/>
          <w:szCs w:val="32"/>
        </w:rPr>
      </w:pPr>
      <w:r>
        <w:rPr>
          <w:color w:val="auto"/>
          <w:sz w:val="24"/>
          <w:szCs w:val="32"/>
        </w:rPr>
        <w:t>（2）工程建设内容与项目环评批复相符性评价；</w:t>
      </w:r>
    </w:p>
    <w:p w14:paraId="0310B137">
      <w:pPr>
        <w:adjustRightInd w:val="0"/>
        <w:snapToGrid w:val="0"/>
        <w:spacing w:line="360" w:lineRule="auto"/>
        <w:ind w:firstLine="480" w:firstLineChars="200"/>
        <w:rPr>
          <w:color w:val="auto"/>
          <w:sz w:val="24"/>
          <w:szCs w:val="32"/>
        </w:rPr>
      </w:pPr>
      <w:r>
        <w:rPr>
          <w:color w:val="auto"/>
          <w:sz w:val="24"/>
          <w:szCs w:val="32"/>
        </w:rPr>
        <w:t>（3）分析已建环保措施有效性和存在的主要环境问题；</w:t>
      </w:r>
    </w:p>
    <w:p w14:paraId="326B3DDC">
      <w:pPr>
        <w:adjustRightInd w:val="0"/>
        <w:snapToGrid w:val="0"/>
        <w:spacing w:line="360" w:lineRule="auto"/>
        <w:ind w:firstLine="480" w:firstLineChars="200"/>
        <w:rPr>
          <w:color w:val="auto"/>
          <w:sz w:val="24"/>
          <w:szCs w:val="32"/>
        </w:rPr>
      </w:pPr>
      <w:r>
        <w:rPr>
          <w:color w:val="auto"/>
          <w:sz w:val="24"/>
          <w:szCs w:val="32"/>
        </w:rPr>
        <w:t>（4）对项目运行中存在的环境问题提出切实可行的补救或整改措施并分析其可行性。</w:t>
      </w:r>
    </w:p>
    <w:p w14:paraId="5730E136">
      <w:pPr>
        <w:adjustRightInd w:val="0"/>
        <w:snapToGrid w:val="0"/>
        <w:spacing w:line="360" w:lineRule="auto"/>
        <w:outlineLvl w:val="1"/>
        <w:rPr>
          <w:b/>
          <w:bCs/>
          <w:color w:val="auto"/>
          <w:sz w:val="28"/>
          <w:szCs w:val="36"/>
        </w:rPr>
      </w:pPr>
      <w:bookmarkStart w:id="78" w:name="_Toc426556291"/>
      <w:bookmarkStart w:id="79" w:name="_Toc449101413"/>
      <w:bookmarkStart w:id="80" w:name="_Toc5271"/>
      <w:bookmarkStart w:id="81" w:name="_Toc421106908"/>
      <w:bookmarkStart w:id="82" w:name="_Toc421106907"/>
      <w:r>
        <w:rPr>
          <w:b/>
          <w:bCs/>
          <w:color w:val="auto"/>
          <w:sz w:val="28"/>
          <w:szCs w:val="36"/>
        </w:rPr>
        <w:t>1.5 评价因子</w:t>
      </w:r>
      <w:bookmarkEnd w:id="78"/>
      <w:bookmarkEnd w:id="79"/>
      <w:bookmarkEnd w:id="80"/>
      <w:bookmarkEnd w:id="81"/>
    </w:p>
    <w:p w14:paraId="093CBF9E">
      <w:pPr>
        <w:adjustRightInd w:val="0"/>
        <w:snapToGrid w:val="0"/>
        <w:spacing w:line="360" w:lineRule="auto"/>
        <w:outlineLvl w:val="2"/>
        <w:rPr>
          <w:b/>
          <w:bCs/>
          <w:color w:val="auto"/>
          <w:sz w:val="24"/>
          <w:szCs w:val="32"/>
        </w:rPr>
      </w:pPr>
      <w:r>
        <w:rPr>
          <w:b/>
          <w:bCs/>
          <w:color w:val="auto"/>
          <w:sz w:val="24"/>
          <w:szCs w:val="32"/>
        </w:rPr>
        <w:t>1.5.1 大气评价因子</w:t>
      </w:r>
    </w:p>
    <w:p w14:paraId="7A8FD28F">
      <w:pPr>
        <w:adjustRightInd w:val="0"/>
        <w:snapToGrid w:val="0"/>
        <w:spacing w:line="360" w:lineRule="auto"/>
        <w:ind w:firstLine="480" w:firstLineChars="200"/>
        <w:rPr>
          <w:rFonts w:hint="eastAsia" w:eastAsia="宋体"/>
          <w:color w:val="auto"/>
          <w:sz w:val="24"/>
          <w:szCs w:val="32"/>
          <w:lang w:val="en-US" w:eastAsia="zh-CN"/>
        </w:rPr>
      </w:pPr>
      <w:r>
        <w:rPr>
          <w:color w:val="auto"/>
          <w:sz w:val="24"/>
          <w:szCs w:val="32"/>
        </w:rPr>
        <w:t>现状评价因子为：SO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 xml:space="preserve"> 、PM</w:t>
      </w:r>
      <w:r>
        <w:rPr>
          <w:color w:val="auto"/>
          <w:sz w:val="24"/>
          <w:szCs w:val="32"/>
          <w:vertAlign w:val="subscript"/>
        </w:rPr>
        <w:t>10</w:t>
      </w:r>
      <w:r>
        <w:rPr>
          <w:color w:val="auto"/>
          <w:sz w:val="24"/>
          <w:szCs w:val="32"/>
        </w:rPr>
        <w:t>、氟化物、HCl、二噁英类</w:t>
      </w:r>
      <w:r>
        <w:rPr>
          <w:rFonts w:hint="eastAsia"/>
          <w:color w:val="auto"/>
          <w:sz w:val="24"/>
          <w:szCs w:val="32"/>
          <w:lang w:eastAsia="zh-CN"/>
        </w:rPr>
        <w:t>。</w:t>
      </w:r>
    </w:p>
    <w:p w14:paraId="7A8DA0B2">
      <w:pPr>
        <w:adjustRightInd w:val="0"/>
        <w:snapToGrid w:val="0"/>
        <w:spacing w:line="360" w:lineRule="auto"/>
        <w:outlineLvl w:val="2"/>
        <w:rPr>
          <w:b/>
          <w:bCs/>
          <w:color w:val="auto"/>
          <w:sz w:val="24"/>
          <w:szCs w:val="32"/>
        </w:rPr>
      </w:pPr>
      <w:r>
        <w:rPr>
          <w:b/>
          <w:bCs/>
          <w:color w:val="auto"/>
          <w:sz w:val="24"/>
          <w:szCs w:val="32"/>
        </w:rPr>
        <w:t>1.5.2 地表水评价因子</w:t>
      </w:r>
    </w:p>
    <w:p w14:paraId="265ACA78">
      <w:pPr>
        <w:adjustRightInd w:val="0"/>
        <w:snapToGrid w:val="0"/>
        <w:spacing w:line="360" w:lineRule="auto"/>
        <w:ind w:firstLine="480" w:firstLineChars="200"/>
        <w:rPr>
          <w:color w:val="auto"/>
          <w:sz w:val="24"/>
          <w:szCs w:val="32"/>
        </w:rPr>
      </w:pPr>
      <w:r>
        <w:rPr>
          <w:color w:val="auto"/>
          <w:sz w:val="24"/>
          <w:szCs w:val="32"/>
        </w:rPr>
        <w:t>现状评价因子为：</w:t>
      </w:r>
      <w:r>
        <w:rPr>
          <w:color w:val="auto"/>
          <w:sz w:val="24"/>
          <w:szCs w:val="21"/>
        </w:rPr>
        <w:t>pH、DO、COD、BOD</w:t>
      </w:r>
      <w:r>
        <w:rPr>
          <w:color w:val="auto"/>
          <w:sz w:val="24"/>
          <w:szCs w:val="21"/>
          <w:vertAlign w:val="subscript"/>
        </w:rPr>
        <w:t>5</w:t>
      </w:r>
      <w:r>
        <w:rPr>
          <w:color w:val="auto"/>
          <w:sz w:val="24"/>
          <w:szCs w:val="21"/>
        </w:rPr>
        <w:t>、NH</w:t>
      </w:r>
      <w:r>
        <w:rPr>
          <w:color w:val="auto"/>
          <w:sz w:val="24"/>
          <w:szCs w:val="21"/>
          <w:vertAlign w:val="subscript"/>
        </w:rPr>
        <w:t>3</w:t>
      </w:r>
      <w:r>
        <w:rPr>
          <w:color w:val="auto"/>
          <w:sz w:val="24"/>
          <w:szCs w:val="21"/>
        </w:rPr>
        <w:t>-N、TP</w:t>
      </w:r>
      <w:r>
        <w:rPr>
          <w:color w:val="auto"/>
          <w:sz w:val="24"/>
          <w:szCs w:val="32"/>
        </w:rPr>
        <w:t>。</w:t>
      </w:r>
    </w:p>
    <w:p w14:paraId="0416368A">
      <w:pPr>
        <w:adjustRightInd w:val="0"/>
        <w:snapToGrid w:val="0"/>
        <w:spacing w:line="360" w:lineRule="auto"/>
        <w:outlineLvl w:val="2"/>
        <w:rPr>
          <w:b/>
          <w:bCs/>
          <w:color w:val="auto"/>
          <w:sz w:val="24"/>
          <w:szCs w:val="32"/>
        </w:rPr>
      </w:pPr>
      <w:r>
        <w:rPr>
          <w:b/>
          <w:bCs/>
          <w:color w:val="auto"/>
          <w:sz w:val="24"/>
          <w:szCs w:val="32"/>
        </w:rPr>
        <w:t>1.5.3 地下水评价因子</w:t>
      </w:r>
    </w:p>
    <w:p w14:paraId="4DB70F56">
      <w:pPr>
        <w:adjustRightInd w:val="0"/>
        <w:snapToGrid w:val="0"/>
        <w:spacing w:line="360" w:lineRule="auto"/>
        <w:ind w:firstLine="480" w:firstLineChars="200"/>
        <w:rPr>
          <w:color w:val="auto"/>
          <w:sz w:val="24"/>
          <w:szCs w:val="32"/>
        </w:rPr>
      </w:pPr>
      <w:r>
        <w:rPr>
          <w:color w:val="auto"/>
          <w:sz w:val="24"/>
          <w:szCs w:val="32"/>
        </w:rPr>
        <w:t>现状评价因子为：pH、氟化物、氯化物、高锰酸盐指数、硬度、溶解性总固体、铅、铬、砷、汞。</w:t>
      </w:r>
    </w:p>
    <w:p w14:paraId="02D44657">
      <w:pPr>
        <w:adjustRightInd w:val="0"/>
        <w:snapToGrid w:val="0"/>
        <w:spacing w:line="360" w:lineRule="auto"/>
        <w:outlineLvl w:val="2"/>
        <w:rPr>
          <w:b/>
          <w:bCs/>
          <w:color w:val="auto"/>
          <w:sz w:val="24"/>
          <w:szCs w:val="32"/>
        </w:rPr>
      </w:pPr>
      <w:r>
        <w:rPr>
          <w:b/>
          <w:bCs/>
          <w:color w:val="auto"/>
          <w:sz w:val="24"/>
          <w:szCs w:val="32"/>
        </w:rPr>
        <w:t>1.5.4 噪声评价因子</w:t>
      </w:r>
    </w:p>
    <w:p w14:paraId="249B20E5">
      <w:pPr>
        <w:adjustRightInd w:val="0"/>
        <w:snapToGrid w:val="0"/>
        <w:spacing w:line="360" w:lineRule="auto"/>
        <w:ind w:firstLine="480" w:firstLineChars="200"/>
        <w:rPr>
          <w:color w:val="auto"/>
          <w:sz w:val="24"/>
          <w:szCs w:val="32"/>
        </w:rPr>
      </w:pPr>
      <w:r>
        <w:rPr>
          <w:color w:val="auto"/>
          <w:sz w:val="24"/>
          <w:szCs w:val="32"/>
        </w:rPr>
        <w:t>现状评价因子为：等效连续A声级Leq dB（A）；</w:t>
      </w:r>
    </w:p>
    <w:p w14:paraId="081457BC">
      <w:pPr>
        <w:adjustRightInd w:val="0"/>
        <w:snapToGrid w:val="0"/>
        <w:spacing w:line="360" w:lineRule="auto"/>
        <w:outlineLvl w:val="1"/>
        <w:rPr>
          <w:b/>
          <w:bCs/>
          <w:color w:val="auto"/>
          <w:sz w:val="28"/>
          <w:szCs w:val="36"/>
        </w:rPr>
      </w:pPr>
      <w:bookmarkStart w:id="83" w:name="_Toc426556292"/>
      <w:bookmarkStart w:id="84" w:name="_Toc2750"/>
      <w:bookmarkStart w:id="85" w:name="_Toc421106909"/>
      <w:r>
        <w:rPr>
          <w:b/>
          <w:bCs/>
          <w:color w:val="auto"/>
          <w:sz w:val="28"/>
          <w:szCs w:val="36"/>
        </w:rPr>
        <w:t>1.6 评价标准</w:t>
      </w:r>
      <w:bookmarkEnd w:id="83"/>
      <w:bookmarkEnd w:id="84"/>
      <w:bookmarkEnd w:id="85"/>
    </w:p>
    <w:p w14:paraId="54A3D6B2">
      <w:pPr>
        <w:adjustRightInd w:val="0"/>
        <w:snapToGrid w:val="0"/>
        <w:spacing w:line="360" w:lineRule="auto"/>
        <w:outlineLvl w:val="2"/>
        <w:rPr>
          <w:b/>
          <w:bCs/>
          <w:color w:val="auto"/>
          <w:sz w:val="24"/>
          <w:szCs w:val="32"/>
        </w:rPr>
      </w:pPr>
      <w:r>
        <w:rPr>
          <w:b/>
          <w:bCs/>
          <w:color w:val="auto"/>
          <w:sz w:val="24"/>
          <w:szCs w:val="32"/>
        </w:rPr>
        <w:t>1.5.5 土壤评价因子</w:t>
      </w:r>
    </w:p>
    <w:p w14:paraId="5795483B">
      <w:pPr>
        <w:adjustRightInd w:val="0"/>
        <w:snapToGrid w:val="0"/>
        <w:spacing w:line="360" w:lineRule="auto"/>
        <w:ind w:firstLine="480" w:firstLineChars="200"/>
        <w:rPr>
          <w:color w:val="auto"/>
          <w:sz w:val="24"/>
          <w:szCs w:val="32"/>
        </w:rPr>
      </w:pPr>
      <w:r>
        <w:rPr>
          <w:color w:val="auto"/>
          <w:sz w:val="24"/>
          <w:szCs w:val="32"/>
        </w:rPr>
        <w:t>现状评价因子为：</w:t>
      </w:r>
      <w:r>
        <w:rPr>
          <w:color w:val="auto"/>
          <w:sz w:val="24"/>
        </w:rPr>
        <w:t>pH、镉、铅、铬、砷、汞、二噁英</w:t>
      </w:r>
      <w:r>
        <w:rPr>
          <w:color w:val="auto"/>
          <w:sz w:val="24"/>
          <w:szCs w:val="32"/>
        </w:rPr>
        <w:t>。</w:t>
      </w:r>
    </w:p>
    <w:p w14:paraId="0F768019">
      <w:pPr>
        <w:adjustRightInd w:val="0"/>
        <w:snapToGrid w:val="0"/>
        <w:spacing w:line="360" w:lineRule="auto"/>
        <w:outlineLvl w:val="2"/>
        <w:rPr>
          <w:b/>
          <w:bCs/>
          <w:color w:val="auto"/>
          <w:sz w:val="24"/>
          <w:szCs w:val="32"/>
        </w:rPr>
      </w:pPr>
      <w:r>
        <w:rPr>
          <w:b/>
          <w:bCs/>
          <w:color w:val="auto"/>
          <w:sz w:val="24"/>
          <w:szCs w:val="32"/>
        </w:rPr>
        <w:t>1.6.1 环境质量标准</w:t>
      </w:r>
    </w:p>
    <w:p w14:paraId="501CE66B">
      <w:pPr>
        <w:adjustRightInd w:val="0"/>
        <w:snapToGrid w:val="0"/>
        <w:spacing w:line="360" w:lineRule="auto"/>
        <w:ind w:firstLine="480" w:firstLineChars="200"/>
        <w:rPr>
          <w:color w:val="auto"/>
          <w:sz w:val="24"/>
          <w:szCs w:val="32"/>
        </w:rPr>
      </w:pPr>
      <w:r>
        <w:rPr>
          <w:color w:val="auto"/>
          <w:sz w:val="24"/>
          <w:szCs w:val="32"/>
        </w:rPr>
        <w:t>环境质量标准内容本评价分为原环评评价阶段执行的环境质量标准和后评价阶段执行的环境质量标准。</w:t>
      </w:r>
    </w:p>
    <w:p w14:paraId="7FC07E91">
      <w:pPr>
        <w:adjustRightInd w:val="0"/>
        <w:snapToGrid w:val="0"/>
        <w:spacing w:line="360" w:lineRule="auto"/>
        <w:ind w:firstLine="480" w:firstLineChars="200"/>
        <w:rPr>
          <w:color w:val="auto"/>
          <w:sz w:val="24"/>
          <w:szCs w:val="32"/>
        </w:rPr>
      </w:pPr>
      <w:bookmarkStart w:id="86" w:name="_Toc9795"/>
      <w:bookmarkStart w:id="87" w:name="_Toc23407"/>
      <w:bookmarkStart w:id="88" w:name="_Toc26993"/>
      <w:bookmarkStart w:id="89" w:name="_Toc23672"/>
      <w:r>
        <w:rPr>
          <w:color w:val="auto"/>
          <w:sz w:val="24"/>
          <w:szCs w:val="32"/>
        </w:rPr>
        <w:t>1、大气环境质量评价标准</w:t>
      </w:r>
      <w:bookmarkEnd w:id="86"/>
      <w:bookmarkEnd w:id="87"/>
      <w:bookmarkEnd w:id="88"/>
      <w:bookmarkEnd w:id="89"/>
    </w:p>
    <w:p w14:paraId="16C48FDE">
      <w:pPr>
        <w:adjustRightInd w:val="0"/>
        <w:snapToGrid w:val="0"/>
        <w:spacing w:line="360" w:lineRule="auto"/>
        <w:ind w:firstLine="482" w:firstLineChars="200"/>
        <w:rPr>
          <w:color w:val="auto"/>
          <w:sz w:val="24"/>
          <w:szCs w:val="32"/>
        </w:rPr>
      </w:pPr>
      <w:r>
        <w:rPr>
          <w:b/>
          <w:bCs/>
          <w:color w:val="auto"/>
          <w:sz w:val="24"/>
        </w:rPr>
        <w:t>原环评评价阶段：</w:t>
      </w:r>
      <w:r>
        <w:rPr>
          <w:color w:val="auto"/>
          <w:sz w:val="24"/>
          <w:szCs w:val="32"/>
        </w:rPr>
        <w:t>项目区域环境空气质量SO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w:t>
      </w:r>
      <w:r>
        <w:rPr>
          <w:rFonts w:hint="eastAsia"/>
          <w:color w:val="auto"/>
          <w:sz w:val="24"/>
          <w:szCs w:val="32"/>
          <w:lang w:val="en-US" w:eastAsia="zh-CN"/>
        </w:rPr>
        <w:t>氟化物</w:t>
      </w:r>
      <w:r>
        <w:rPr>
          <w:color w:val="auto"/>
          <w:sz w:val="24"/>
          <w:szCs w:val="32"/>
        </w:rPr>
        <w:t>执行《环境空气质量标准》（GB3095－2012）中二级标准；</w:t>
      </w:r>
      <w:r>
        <w:rPr>
          <w:rFonts w:hint="eastAsia"/>
          <w:color w:val="auto"/>
          <w:sz w:val="24"/>
          <w:szCs w:val="32"/>
          <w:lang w:val="en-US" w:eastAsia="zh-CN"/>
        </w:rPr>
        <w:t>氯化氢执行《工业企业设计卫生标准》（TJ36-79）；二噁英参照执行《日本环境厅中央环境审议会制定的环境标准》。</w:t>
      </w:r>
      <w:r>
        <w:rPr>
          <w:color w:val="auto"/>
          <w:sz w:val="24"/>
          <w:szCs w:val="32"/>
        </w:rPr>
        <w:t>具体限值详见下表：</w:t>
      </w:r>
    </w:p>
    <w:p w14:paraId="10627DD6">
      <w:pPr>
        <w:adjustRightInd w:val="0"/>
        <w:snapToGrid w:val="0"/>
        <w:spacing w:line="360" w:lineRule="auto"/>
        <w:jc w:val="center"/>
        <w:rPr>
          <w:b/>
          <w:bCs/>
          <w:color w:val="auto"/>
          <w:sz w:val="24"/>
          <w:szCs w:val="32"/>
        </w:rPr>
      </w:pPr>
      <w:r>
        <w:rPr>
          <w:b/>
          <w:bCs/>
          <w:color w:val="auto"/>
          <w:sz w:val="24"/>
          <w:szCs w:val="32"/>
        </w:rPr>
        <w:t>表1-1</w:t>
      </w:r>
      <w:r>
        <w:rPr>
          <w:b/>
          <w:bCs/>
          <w:color w:val="auto"/>
          <w:sz w:val="24"/>
        </w:rPr>
        <w:t>原环评评价阶段</w:t>
      </w:r>
      <w:r>
        <w:rPr>
          <w:b/>
          <w:bCs/>
          <w:color w:val="auto"/>
          <w:sz w:val="24"/>
          <w:szCs w:val="32"/>
        </w:rPr>
        <w:t>环境空气质量标准一览表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219"/>
        <w:gridCol w:w="1896"/>
        <w:gridCol w:w="3359"/>
        <w:gridCol w:w="3488"/>
      </w:tblGrid>
      <w:tr w14:paraId="1AF2F1D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49" w:hRule="atLeast"/>
          <w:tblHeader/>
        </w:trPr>
        <w:tc>
          <w:tcPr>
            <w:tcW w:w="612" w:type="pct"/>
            <w:vMerge w:val="restart"/>
            <w:tcBorders>
              <w:tl2br w:val="nil"/>
              <w:tr2bl w:val="nil"/>
            </w:tcBorders>
            <w:shd w:val="clear" w:color="auto" w:fill="auto"/>
            <w:noWrap w:val="0"/>
            <w:vAlign w:val="center"/>
          </w:tcPr>
          <w:p w14:paraId="3A944D1B">
            <w:pPr>
              <w:spacing w:before="31" w:beforeLines="10" w:line="264" w:lineRule="auto"/>
              <w:jc w:val="center"/>
              <w:rPr>
                <w:b/>
                <w:color w:val="auto"/>
              </w:rPr>
            </w:pPr>
            <w:r>
              <w:rPr>
                <w:b/>
                <w:color w:val="auto"/>
              </w:rPr>
              <w:t>污染物</w:t>
            </w:r>
          </w:p>
        </w:tc>
        <w:tc>
          <w:tcPr>
            <w:tcW w:w="951" w:type="pct"/>
            <w:tcBorders>
              <w:tl2br w:val="nil"/>
              <w:tr2bl w:val="nil"/>
            </w:tcBorders>
            <w:shd w:val="clear" w:color="auto" w:fill="auto"/>
            <w:noWrap w:val="0"/>
            <w:vAlign w:val="center"/>
          </w:tcPr>
          <w:p w14:paraId="4EBFD24D">
            <w:pPr>
              <w:spacing w:before="31" w:beforeLines="10" w:line="264" w:lineRule="auto"/>
              <w:jc w:val="center"/>
              <w:rPr>
                <w:b/>
                <w:color w:val="auto"/>
              </w:rPr>
            </w:pPr>
            <w:r>
              <w:rPr>
                <w:b/>
                <w:color w:val="auto"/>
              </w:rPr>
              <w:t>取值时间</w:t>
            </w:r>
          </w:p>
        </w:tc>
        <w:tc>
          <w:tcPr>
            <w:tcW w:w="1685" w:type="pct"/>
            <w:tcBorders>
              <w:tl2br w:val="nil"/>
              <w:tr2bl w:val="nil"/>
            </w:tcBorders>
            <w:shd w:val="clear" w:color="auto" w:fill="auto"/>
            <w:noWrap w:val="0"/>
            <w:vAlign w:val="center"/>
          </w:tcPr>
          <w:p w14:paraId="568D36FB">
            <w:pPr>
              <w:spacing w:before="31" w:beforeLines="10" w:line="264" w:lineRule="auto"/>
              <w:jc w:val="center"/>
              <w:rPr>
                <w:rFonts w:hint="eastAsia" w:eastAsia="宋体"/>
                <w:b/>
                <w:color w:val="auto"/>
                <w:lang w:eastAsia="zh-CN"/>
              </w:rPr>
            </w:pPr>
            <w:r>
              <w:rPr>
                <w:b/>
                <w:color w:val="auto"/>
              </w:rPr>
              <w:t>浓度限值</w:t>
            </w:r>
          </w:p>
        </w:tc>
        <w:tc>
          <w:tcPr>
            <w:tcW w:w="1750" w:type="pct"/>
            <w:vMerge w:val="restart"/>
            <w:tcBorders>
              <w:tl2br w:val="nil"/>
              <w:tr2bl w:val="nil"/>
            </w:tcBorders>
            <w:shd w:val="clear" w:color="auto" w:fill="auto"/>
            <w:noWrap w:val="0"/>
            <w:vAlign w:val="center"/>
          </w:tcPr>
          <w:p w14:paraId="1ABFA988">
            <w:pPr>
              <w:spacing w:before="31" w:beforeLines="10" w:line="264" w:lineRule="auto"/>
              <w:jc w:val="center"/>
              <w:rPr>
                <w:b/>
                <w:color w:val="auto"/>
              </w:rPr>
            </w:pPr>
            <w:r>
              <w:rPr>
                <w:b/>
                <w:color w:val="auto"/>
              </w:rPr>
              <w:t>标准来源</w:t>
            </w:r>
          </w:p>
        </w:tc>
      </w:tr>
      <w:tr w14:paraId="649A4369">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177BBA87">
            <w:pPr>
              <w:spacing w:before="15" w:beforeLines="5" w:line="252" w:lineRule="auto"/>
              <w:jc w:val="center"/>
              <w:rPr>
                <w:color w:val="auto"/>
              </w:rPr>
            </w:pPr>
            <w:r>
              <w:rPr>
                <w:color w:val="auto"/>
              </w:rPr>
              <w:t>PM</w:t>
            </w:r>
            <w:r>
              <w:rPr>
                <w:color w:val="auto"/>
                <w:vertAlign w:val="subscript"/>
              </w:rPr>
              <w:t>10</w:t>
            </w:r>
          </w:p>
        </w:tc>
        <w:tc>
          <w:tcPr>
            <w:tcW w:w="951" w:type="pct"/>
            <w:tcBorders>
              <w:tl2br w:val="nil"/>
              <w:tr2bl w:val="nil"/>
            </w:tcBorders>
            <w:shd w:val="clear" w:color="auto" w:fill="auto"/>
            <w:noWrap w:val="0"/>
            <w:vAlign w:val="center"/>
          </w:tcPr>
          <w:p w14:paraId="0194D005">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1459CE3B">
            <w:pPr>
              <w:spacing w:before="15" w:beforeLines="5" w:line="252" w:lineRule="auto"/>
              <w:jc w:val="center"/>
              <w:rPr>
                <w:color w:val="auto"/>
              </w:rPr>
            </w:pPr>
            <w:r>
              <w:rPr>
                <w:rFonts w:hint="eastAsia"/>
                <w:color w:val="auto"/>
              </w:rPr>
              <w:t>70</w:t>
            </w:r>
          </w:p>
        </w:tc>
        <w:tc>
          <w:tcPr>
            <w:tcW w:w="1750" w:type="pct"/>
            <w:vMerge w:val="restart"/>
            <w:tcBorders>
              <w:tl2br w:val="nil"/>
              <w:tr2bl w:val="nil"/>
            </w:tcBorders>
            <w:shd w:val="clear" w:color="auto" w:fill="auto"/>
            <w:noWrap w:val="0"/>
            <w:vAlign w:val="center"/>
          </w:tcPr>
          <w:p w14:paraId="5C4256D2">
            <w:pPr>
              <w:spacing w:before="15" w:beforeLines="5" w:line="252" w:lineRule="auto"/>
              <w:jc w:val="center"/>
              <w:rPr>
                <w:color w:val="auto"/>
              </w:rPr>
            </w:pPr>
            <w:r>
              <w:rPr>
                <w:color w:val="auto"/>
              </w:rPr>
              <w:t>《环境空气质量标准》（GB3095-2012）</w:t>
            </w:r>
          </w:p>
          <w:p w14:paraId="2A20786D">
            <w:pPr>
              <w:spacing w:before="15" w:beforeLines="5" w:line="252" w:lineRule="auto"/>
              <w:jc w:val="center"/>
              <w:rPr>
                <w:color w:val="auto"/>
              </w:rPr>
            </w:pPr>
            <w:r>
              <w:rPr>
                <w:color w:val="auto"/>
              </w:rPr>
              <w:t>中的二级标准</w:t>
            </w:r>
          </w:p>
        </w:tc>
      </w:tr>
      <w:tr w14:paraId="3C5FF88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000AE26C">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0CC6FCCC">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205888D">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4B044B4A">
            <w:pPr>
              <w:spacing w:before="15" w:beforeLines="5" w:line="252" w:lineRule="auto"/>
              <w:jc w:val="center"/>
              <w:rPr>
                <w:color w:val="auto"/>
              </w:rPr>
            </w:pPr>
          </w:p>
        </w:tc>
      </w:tr>
      <w:tr w14:paraId="1D059CB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33569FA">
            <w:pPr>
              <w:spacing w:before="15" w:beforeLines="5" w:line="252" w:lineRule="auto"/>
              <w:jc w:val="center"/>
              <w:rPr>
                <w:color w:val="auto"/>
              </w:rPr>
            </w:pPr>
            <w:r>
              <w:rPr>
                <w:color w:val="auto"/>
              </w:rPr>
              <w:t>SO</w:t>
            </w:r>
            <w:r>
              <w:rPr>
                <w:color w:val="auto"/>
                <w:vertAlign w:val="subscript"/>
              </w:rPr>
              <w:t>2</w:t>
            </w:r>
          </w:p>
        </w:tc>
        <w:tc>
          <w:tcPr>
            <w:tcW w:w="951" w:type="pct"/>
            <w:tcBorders>
              <w:tl2br w:val="nil"/>
              <w:tr2bl w:val="nil"/>
            </w:tcBorders>
            <w:shd w:val="clear" w:color="auto" w:fill="auto"/>
            <w:noWrap w:val="0"/>
            <w:vAlign w:val="center"/>
          </w:tcPr>
          <w:p w14:paraId="14405067">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0C1F5AFF">
            <w:pPr>
              <w:spacing w:before="15" w:beforeLines="5" w:line="252" w:lineRule="auto"/>
              <w:jc w:val="center"/>
              <w:rPr>
                <w:color w:val="auto"/>
              </w:rPr>
            </w:pPr>
            <w:r>
              <w:rPr>
                <w:rFonts w:hint="eastAsia"/>
                <w:color w:val="auto"/>
              </w:rPr>
              <w:t>60</w:t>
            </w:r>
          </w:p>
        </w:tc>
        <w:tc>
          <w:tcPr>
            <w:tcW w:w="1750" w:type="pct"/>
            <w:vMerge w:val="continue"/>
            <w:tcBorders>
              <w:tl2br w:val="nil"/>
              <w:tr2bl w:val="nil"/>
            </w:tcBorders>
            <w:shd w:val="clear" w:color="auto" w:fill="auto"/>
            <w:noWrap w:val="0"/>
            <w:vAlign w:val="center"/>
          </w:tcPr>
          <w:p w14:paraId="09E34C69">
            <w:pPr>
              <w:spacing w:before="15" w:beforeLines="5" w:line="252" w:lineRule="auto"/>
              <w:jc w:val="center"/>
              <w:rPr>
                <w:color w:val="auto"/>
              </w:rPr>
            </w:pPr>
          </w:p>
        </w:tc>
      </w:tr>
      <w:tr w14:paraId="46F46A2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103E6A9D">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1E8EBB80">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15FF818">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18F2BCB9">
            <w:pPr>
              <w:spacing w:before="15" w:beforeLines="5" w:line="252" w:lineRule="auto"/>
              <w:jc w:val="center"/>
              <w:rPr>
                <w:color w:val="auto"/>
              </w:rPr>
            </w:pPr>
          </w:p>
        </w:tc>
      </w:tr>
      <w:tr w14:paraId="53CA818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6B5AF8A5">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73F43DE">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0BEA2D11">
            <w:pPr>
              <w:spacing w:before="15" w:beforeLines="5" w:line="252" w:lineRule="auto"/>
              <w:jc w:val="center"/>
              <w:rPr>
                <w:color w:val="auto"/>
              </w:rPr>
            </w:pPr>
            <w:r>
              <w:rPr>
                <w:rFonts w:hint="eastAsia"/>
                <w:color w:val="auto"/>
              </w:rPr>
              <w:t>500</w:t>
            </w:r>
          </w:p>
        </w:tc>
        <w:tc>
          <w:tcPr>
            <w:tcW w:w="1750" w:type="pct"/>
            <w:vMerge w:val="continue"/>
            <w:tcBorders>
              <w:tl2br w:val="nil"/>
              <w:tr2bl w:val="nil"/>
            </w:tcBorders>
            <w:shd w:val="clear" w:color="auto" w:fill="auto"/>
            <w:noWrap w:val="0"/>
            <w:vAlign w:val="center"/>
          </w:tcPr>
          <w:p w14:paraId="2859F491">
            <w:pPr>
              <w:spacing w:before="15" w:beforeLines="5" w:line="252" w:lineRule="auto"/>
              <w:jc w:val="center"/>
              <w:rPr>
                <w:color w:val="auto"/>
              </w:rPr>
            </w:pPr>
          </w:p>
        </w:tc>
      </w:tr>
      <w:tr w14:paraId="48D7F89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1FE6A19">
            <w:pPr>
              <w:spacing w:before="15" w:beforeLines="5" w:line="252" w:lineRule="auto"/>
              <w:jc w:val="center"/>
              <w:rPr>
                <w:color w:val="auto"/>
              </w:rPr>
            </w:pPr>
            <w:r>
              <w:rPr>
                <w:color w:val="auto"/>
              </w:rPr>
              <w:t>NO</w:t>
            </w:r>
            <w:r>
              <w:rPr>
                <w:color w:val="auto"/>
                <w:vertAlign w:val="subscript"/>
              </w:rPr>
              <w:t>2</w:t>
            </w:r>
          </w:p>
        </w:tc>
        <w:tc>
          <w:tcPr>
            <w:tcW w:w="951" w:type="pct"/>
            <w:tcBorders>
              <w:tl2br w:val="nil"/>
              <w:tr2bl w:val="nil"/>
            </w:tcBorders>
            <w:shd w:val="clear" w:color="auto" w:fill="auto"/>
            <w:noWrap w:val="0"/>
            <w:vAlign w:val="center"/>
          </w:tcPr>
          <w:p w14:paraId="3C593306">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1E14EA26">
            <w:pPr>
              <w:spacing w:before="15" w:beforeLines="5" w:line="252" w:lineRule="auto"/>
              <w:jc w:val="center"/>
              <w:rPr>
                <w:color w:val="auto"/>
              </w:rPr>
            </w:pPr>
            <w:r>
              <w:rPr>
                <w:rFonts w:hint="eastAsia"/>
                <w:color w:val="auto"/>
              </w:rPr>
              <w:t>40</w:t>
            </w:r>
          </w:p>
        </w:tc>
        <w:tc>
          <w:tcPr>
            <w:tcW w:w="1750" w:type="pct"/>
            <w:vMerge w:val="continue"/>
            <w:tcBorders>
              <w:tl2br w:val="nil"/>
              <w:tr2bl w:val="nil"/>
            </w:tcBorders>
            <w:shd w:val="clear" w:color="auto" w:fill="auto"/>
            <w:noWrap w:val="0"/>
            <w:vAlign w:val="center"/>
          </w:tcPr>
          <w:p w14:paraId="310CC0A2">
            <w:pPr>
              <w:spacing w:before="15" w:beforeLines="5" w:line="252" w:lineRule="auto"/>
              <w:jc w:val="center"/>
              <w:rPr>
                <w:color w:val="auto"/>
              </w:rPr>
            </w:pPr>
          </w:p>
        </w:tc>
      </w:tr>
      <w:tr w14:paraId="518837A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5CE60D15">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235F36EA">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4A539034">
            <w:pPr>
              <w:spacing w:before="15" w:beforeLines="5" w:line="252" w:lineRule="auto"/>
              <w:jc w:val="center"/>
              <w:rPr>
                <w:color w:val="auto"/>
              </w:rPr>
            </w:pPr>
            <w:r>
              <w:rPr>
                <w:rFonts w:hint="eastAsia"/>
                <w:color w:val="auto"/>
              </w:rPr>
              <w:t>80</w:t>
            </w:r>
          </w:p>
        </w:tc>
        <w:tc>
          <w:tcPr>
            <w:tcW w:w="1750" w:type="pct"/>
            <w:vMerge w:val="continue"/>
            <w:tcBorders>
              <w:tl2br w:val="nil"/>
              <w:tr2bl w:val="nil"/>
            </w:tcBorders>
            <w:shd w:val="clear" w:color="auto" w:fill="auto"/>
            <w:noWrap w:val="0"/>
            <w:vAlign w:val="center"/>
          </w:tcPr>
          <w:p w14:paraId="30DFFB1B">
            <w:pPr>
              <w:spacing w:before="15" w:beforeLines="5" w:line="252" w:lineRule="auto"/>
              <w:jc w:val="center"/>
              <w:rPr>
                <w:color w:val="auto"/>
              </w:rPr>
            </w:pPr>
          </w:p>
        </w:tc>
      </w:tr>
      <w:tr w14:paraId="004C344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50BE9FDB">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66CE863">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72EC75F5">
            <w:pPr>
              <w:spacing w:before="15" w:beforeLines="5" w:line="252" w:lineRule="auto"/>
              <w:jc w:val="center"/>
              <w:rPr>
                <w:color w:val="auto"/>
              </w:rPr>
            </w:pPr>
            <w:r>
              <w:rPr>
                <w:rFonts w:hint="eastAsia"/>
                <w:color w:val="auto"/>
              </w:rPr>
              <w:t>200</w:t>
            </w:r>
          </w:p>
        </w:tc>
        <w:tc>
          <w:tcPr>
            <w:tcW w:w="1750" w:type="pct"/>
            <w:vMerge w:val="continue"/>
            <w:tcBorders>
              <w:tl2br w:val="nil"/>
              <w:tr2bl w:val="nil"/>
            </w:tcBorders>
            <w:shd w:val="clear" w:color="auto" w:fill="auto"/>
            <w:noWrap w:val="0"/>
            <w:vAlign w:val="center"/>
          </w:tcPr>
          <w:p w14:paraId="74CF9238">
            <w:pPr>
              <w:spacing w:before="15" w:beforeLines="5" w:line="252" w:lineRule="auto"/>
              <w:jc w:val="center"/>
              <w:rPr>
                <w:color w:val="auto"/>
              </w:rPr>
            </w:pPr>
          </w:p>
        </w:tc>
      </w:tr>
      <w:tr w14:paraId="28F84A5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C5AF784">
            <w:pPr>
              <w:spacing w:before="15" w:beforeLines="5" w:line="252" w:lineRule="auto"/>
              <w:jc w:val="center"/>
              <w:rPr>
                <w:color w:val="auto"/>
              </w:rPr>
            </w:pPr>
            <w:r>
              <w:rPr>
                <w:color w:val="auto"/>
              </w:rPr>
              <w:t>氟化物</w:t>
            </w:r>
          </w:p>
        </w:tc>
        <w:tc>
          <w:tcPr>
            <w:tcW w:w="951" w:type="pct"/>
            <w:tcBorders>
              <w:tl2br w:val="nil"/>
              <w:tr2bl w:val="nil"/>
            </w:tcBorders>
            <w:shd w:val="clear" w:color="auto" w:fill="auto"/>
            <w:noWrap w:val="0"/>
            <w:vAlign w:val="center"/>
          </w:tcPr>
          <w:p w14:paraId="7B202BCF">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753EF176">
            <w:pPr>
              <w:spacing w:before="15" w:beforeLines="5" w:line="252" w:lineRule="auto"/>
              <w:jc w:val="center"/>
              <w:rPr>
                <w:color w:val="auto"/>
              </w:rPr>
            </w:pPr>
            <w:r>
              <w:rPr>
                <w:color w:val="auto"/>
              </w:rPr>
              <w:t>20</w:t>
            </w:r>
          </w:p>
        </w:tc>
        <w:tc>
          <w:tcPr>
            <w:tcW w:w="1750" w:type="pct"/>
            <w:vMerge w:val="continue"/>
            <w:tcBorders>
              <w:tl2br w:val="nil"/>
              <w:tr2bl w:val="nil"/>
            </w:tcBorders>
            <w:shd w:val="clear" w:color="auto" w:fill="auto"/>
            <w:noWrap w:val="0"/>
            <w:vAlign w:val="center"/>
          </w:tcPr>
          <w:p w14:paraId="366D48D9">
            <w:pPr>
              <w:spacing w:before="15" w:beforeLines="5" w:line="252" w:lineRule="auto"/>
              <w:jc w:val="center"/>
              <w:rPr>
                <w:color w:val="auto"/>
              </w:rPr>
            </w:pPr>
          </w:p>
        </w:tc>
      </w:tr>
      <w:tr w14:paraId="4770000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90" w:hRule="atLeast"/>
        </w:trPr>
        <w:tc>
          <w:tcPr>
            <w:tcW w:w="612" w:type="pct"/>
            <w:vMerge w:val="continue"/>
            <w:tcBorders>
              <w:tl2br w:val="nil"/>
              <w:tr2bl w:val="nil"/>
            </w:tcBorders>
            <w:shd w:val="clear" w:color="auto" w:fill="auto"/>
            <w:noWrap w:val="0"/>
            <w:vAlign w:val="center"/>
          </w:tcPr>
          <w:p w14:paraId="4A23702C">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24C5FC6F">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5A7B17F8">
            <w:pPr>
              <w:spacing w:before="15" w:beforeLines="5" w:line="252" w:lineRule="auto"/>
              <w:jc w:val="center"/>
              <w:rPr>
                <w:color w:val="auto"/>
              </w:rPr>
            </w:pPr>
            <w:r>
              <w:rPr>
                <w:color w:val="auto"/>
              </w:rPr>
              <w:t>7</w:t>
            </w:r>
          </w:p>
        </w:tc>
        <w:tc>
          <w:tcPr>
            <w:tcW w:w="1750" w:type="pct"/>
            <w:vMerge w:val="continue"/>
            <w:tcBorders>
              <w:tl2br w:val="nil"/>
              <w:tr2bl w:val="nil"/>
            </w:tcBorders>
            <w:shd w:val="clear" w:color="auto" w:fill="auto"/>
            <w:noWrap w:val="0"/>
            <w:vAlign w:val="center"/>
          </w:tcPr>
          <w:p w14:paraId="7EAFD738">
            <w:pPr>
              <w:spacing w:before="15" w:beforeLines="5" w:line="252" w:lineRule="auto"/>
              <w:jc w:val="center"/>
              <w:rPr>
                <w:color w:val="auto"/>
              </w:rPr>
            </w:pPr>
          </w:p>
        </w:tc>
      </w:tr>
      <w:tr w14:paraId="643FB4B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053B440C">
            <w:pPr>
              <w:spacing w:before="15" w:beforeLines="5" w:line="252" w:lineRule="auto"/>
              <w:jc w:val="center"/>
              <w:rPr>
                <w:color w:val="auto"/>
              </w:rPr>
            </w:pPr>
            <w:r>
              <w:rPr>
                <w:color w:val="auto"/>
              </w:rPr>
              <w:t>HCl</w:t>
            </w:r>
          </w:p>
        </w:tc>
        <w:tc>
          <w:tcPr>
            <w:tcW w:w="951" w:type="pct"/>
            <w:tcBorders>
              <w:tl2br w:val="nil"/>
              <w:tr2bl w:val="nil"/>
            </w:tcBorders>
            <w:shd w:val="clear" w:color="auto" w:fill="auto"/>
            <w:noWrap w:val="0"/>
            <w:vAlign w:val="center"/>
          </w:tcPr>
          <w:p w14:paraId="76F035FE">
            <w:pPr>
              <w:spacing w:before="15" w:beforeLines="5" w:line="252" w:lineRule="auto"/>
              <w:jc w:val="center"/>
              <w:rPr>
                <w:color w:val="auto"/>
              </w:rPr>
            </w:pPr>
            <w:r>
              <w:rPr>
                <w:color w:val="auto"/>
              </w:rPr>
              <w:t>一次值</w:t>
            </w:r>
          </w:p>
        </w:tc>
        <w:tc>
          <w:tcPr>
            <w:tcW w:w="1685" w:type="pct"/>
            <w:tcBorders>
              <w:tl2br w:val="nil"/>
              <w:tr2bl w:val="nil"/>
            </w:tcBorders>
            <w:shd w:val="clear" w:color="auto" w:fill="auto"/>
            <w:noWrap w:val="0"/>
            <w:vAlign w:val="center"/>
          </w:tcPr>
          <w:p w14:paraId="7408DF7D">
            <w:pPr>
              <w:spacing w:before="15" w:beforeLines="5" w:line="252" w:lineRule="auto"/>
              <w:jc w:val="center"/>
              <w:rPr>
                <w:color w:val="auto"/>
              </w:rPr>
            </w:pPr>
            <w:r>
              <w:rPr>
                <w:rFonts w:hint="eastAsia"/>
                <w:color w:val="auto"/>
              </w:rPr>
              <w:t>50</w:t>
            </w:r>
          </w:p>
        </w:tc>
        <w:tc>
          <w:tcPr>
            <w:tcW w:w="1750" w:type="pct"/>
            <w:vMerge w:val="restart"/>
            <w:tcBorders>
              <w:tl2br w:val="nil"/>
              <w:tr2bl w:val="nil"/>
            </w:tcBorders>
            <w:shd w:val="clear" w:color="auto" w:fill="auto"/>
            <w:noWrap w:val="0"/>
            <w:vAlign w:val="center"/>
          </w:tcPr>
          <w:p w14:paraId="0CF065F0">
            <w:pPr>
              <w:spacing w:before="15" w:beforeLines="5" w:line="252" w:lineRule="auto"/>
              <w:jc w:val="center"/>
              <w:rPr>
                <w:color w:val="auto"/>
              </w:rPr>
            </w:pPr>
            <w:r>
              <w:rPr>
                <w:color w:val="auto"/>
              </w:rPr>
              <w:t>《工业企业设计卫生标准》（TJ36-79）</w:t>
            </w:r>
          </w:p>
        </w:tc>
      </w:tr>
      <w:tr w14:paraId="4378592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70D0534E">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599780D4">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080E606D">
            <w:pPr>
              <w:spacing w:before="15" w:beforeLines="5" w:line="252" w:lineRule="auto"/>
              <w:jc w:val="center"/>
              <w:rPr>
                <w:color w:val="auto"/>
              </w:rPr>
            </w:pPr>
            <w:r>
              <w:rPr>
                <w:rFonts w:hint="eastAsia"/>
                <w:color w:val="auto"/>
              </w:rPr>
              <w:t>15</w:t>
            </w:r>
          </w:p>
        </w:tc>
        <w:tc>
          <w:tcPr>
            <w:tcW w:w="1750" w:type="pct"/>
            <w:vMerge w:val="continue"/>
            <w:tcBorders>
              <w:tl2br w:val="nil"/>
              <w:tr2bl w:val="nil"/>
            </w:tcBorders>
            <w:shd w:val="clear" w:color="auto" w:fill="auto"/>
            <w:noWrap w:val="0"/>
            <w:vAlign w:val="center"/>
          </w:tcPr>
          <w:p w14:paraId="11790D26">
            <w:pPr>
              <w:spacing w:before="15" w:beforeLines="5" w:line="252" w:lineRule="auto"/>
              <w:jc w:val="center"/>
              <w:rPr>
                <w:color w:val="auto"/>
              </w:rPr>
            </w:pPr>
          </w:p>
        </w:tc>
      </w:tr>
      <w:tr w14:paraId="166AD97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tcBorders>
              <w:tl2br w:val="nil"/>
              <w:tr2bl w:val="nil"/>
            </w:tcBorders>
            <w:shd w:val="clear" w:color="auto" w:fill="auto"/>
            <w:noWrap w:val="0"/>
            <w:vAlign w:val="center"/>
          </w:tcPr>
          <w:p w14:paraId="4573476A">
            <w:pPr>
              <w:spacing w:before="31" w:beforeLines="10" w:line="264" w:lineRule="auto"/>
              <w:jc w:val="center"/>
              <w:rPr>
                <w:color w:val="auto"/>
              </w:rPr>
            </w:pPr>
            <w:r>
              <w:rPr>
                <w:color w:val="auto"/>
              </w:rPr>
              <w:t>二噁英类</w:t>
            </w:r>
          </w:p>
        </w:tc>
        <w:tc>
          <w:tcPr>
            <w:tcW w:w="951" w:type="pct"/>
            <w:tcBorders>
              <w:tl2br w:val="nil"/>
              <w:tr2bl w:val="nil"/>
            </w:tcBorders>
            <w:shd w:val="clear" w:color="auto" w:fill="auto"/>
            <w:noWrap w:val="0"/>
            <w:vAlign w:val="center"/>
          </w:tcPr>
          <w:p w14:paraId="67E7834F">
            <w:pPr>
              <w:spacing w:before="31" w:beforeLines="10" w:line="264"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6529369F">
            <w:pPr>
              <w:spacing w:before="31" w:beforeLines="10" w:line="264" w:lineRule="auto"/>
              <w:jc w:val="center"/>
              <w:rPr>
                <w:color w:val="auto"/>
              </w:rPr>
            </w:pPr>
            <w:r>
              <w:rPr>
                <w:color w:val="auto"/>
              </w:rPr>
              <w:t>0.6（pg-</w:t>
            </w:r>
            <w:r>
              <w:rPr>
                <w:color w:val="auto"/>
                <w:sz w:val="24"/>
              </w:rPr>
              <w:t>TEQ</w:t>
            </w:r>
            <w:r>
              <w:rPr>
                <w:color w:val="auto"/>
              </w:rPr>
              <w:t>/m</w:t>
            </w:r>
            <w:r>
              <w:rPr>
                <w:color w:val="auto"/>
                <w:vertAlign w:val="superscript"/>
              </w:rPr>
              <w:t>3</w:t>
            </w:r>
            <w:r>
              <w:rPr>
                <w:color w:val="auto"/>
              </w:rPr>
              <w:t>）</w:t>
            </w:r>
          </w:p>
        </w:tc>
        <w:tc>
          <w:tcPr>
            <w:tcW w:w="1750" w:type="pct"/>
            <w:tcBorders>
              <w:tl2br w:val="nil"/>
              <w:tr2bl w:val="nil"/>
            </w:tcBorders>
            <w:shd w:val="clear" w:color="auto" w:fill="auto"/>
            <w:noWrap w:val="0"/>
            <w:vAlign w:val="center"/>
          </w:tcPr>
          <w:p w14:paraId="79B098BF">
            <w:pPr>
              <w:spacing w:before="31" w:beforeLines="10" w:line="264" w:lineRule="auto"/>
              <w:jc w:val="center"/>
              <w:rPr>
                <w:color w:val="auto"/>
              </w:rPr>
            </w:pPr>
            <w:r>
              <w:rPr>
                <w:color w:val="auto"/>
              </w:rPr>
              <w:t>日本环境厅中央环境审议会制定</w:t>
            </w:r>
          </w:p>
          <w:p w14:paraId="10B3DC49">
            <w:pPr>
              <w:spacing w:before="31" w:beforeLines="10" w:line="264" w:lineRule="auto"/>
              <w:jc w:val="center"/>
              <w:rPr>
                <w:color w:val="auto"/>
              </w:rPr>
            </w:pPr>
            <w:r>
              <w:rPr>
                <w:color w:val="auto"/>
              </w:rPr>
              <w:t>的环境标准</w:t>
            </w:r>
          </w:p>
        </w:tc>
      </w:tr>
    </w:tbl>
    <w:p w14:paraId="02EB2CBB">
      <w:pPr>
        <w:adjustRightInd w:val="0"/>
        <w:snapToGrid w:val="0"/>
        <w:spacing w:line="360" w:lineRule="auto"/>
        <w:ind w:firstLine="420" w:firstLineChars="200"/>
        <w:rPr>
          <w:b/>
          <w:bCs/>
          <w:color w:val="auto"/>
          <w:sz w:val="24"/>
        </w:rPr>
      </w:pPr>
      <w:r>
        <w:rPr>
          <w:rFonts w:hint="eastAsia"/>
          <w:b w:val="0"/>
          <w:bCs w:val="0"/>
          <w:color w:val="auto"/>
          <w:sz w:val="21"/>
          <w:szCs w:val="24"/>
          <w:lang w:val="en-US" w:eastAsia="zh-CN"/>
        </w:rPr>
        <w:t>注：</w:t>
      </w:r>
      <w:r>
        <w:rPr>
          <w:rFonts w:hint="default" w:ascii="Times New Roman" w:hAnsi="Times New Roman" w:cs="Times New Roman"/>
          <w:color w:val="auto"/>
          <w:szCs w:val="21"/>
        </w:rPr>
        <w:t>二噁英类小时、日均浓度标准按照《环境影响评价技术导则 大气环境》日均、年均浓度值按 0.33:0.12比例换算，日均浓度取1.65 pg-TEQ/m</w:t>
      </w:r>
      <w:r>
        <w:rPr>
          <w:rFonts w:hint="default" w:ascii="Times New Roman" w:hAnsi="Times New Roman" w:cs="Times New Roman"/>
          <w:color w:val="auto"/>
          <w:szCs w:val="21"/>
          <w:vertAlign w:val="superscript"/>
        </w:rPr>
        <w:t>3</w:t>
      </w:r>
      <w:r>
        <w:rPr>
          <w:rFonts w:hint="default" w:ascii="Times New Roman" w:hAnsi="Times New Roman" w:cs="Times New Roman"/>
          <w:color w:val="auto"/>
          <w:szCs w:val="21"/>
        </w:rPr>
        <w:t>。</w:t>
      </w:r>
    </w:p>
    <w:p w14:paraId="5FAA81C8">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本项目位于</w:t>
      </w:r>
      <w:r>
        <w:rPr>
          <w:rFonts w:hint="eastAsia"/>
          <w:color w:val="auto"/>
          <w:sz w:val="24"/>
          <w:szCs w:val="32"/>
          <w:lang w:val="en-US" w:eastAsia="zh-CN"/>
        </w:rPr>
        <w:t>安徽濉溪经济开发区</w:t>
      </w:r>
      <w:r>
        <w:rPr>
          <w:color w:val="auto"/>
          <w:sz w:val="24"/>
          <w:szCs w:val="32"/>
        </w:rPr>
        <w:t>内，</w:t>
      </w:r>
      <w:r>
        <w:rPr>
          <w:rFonts w:hint="eastAsia"/>
          <w:color w:val="auto"/>
          <w:sz w:val="24"/>
          <w:szCs w:val="32"/>
        </w:rPr>
        <w:t>环境空气功能区划为二类环境空气质量功能区</w:t>
      </w:r>
      <w:r>
        <w:rPr>
          <w:color w:val="auto"/>
          <w:sz w:val="24"/>
          <w:szCs w:val="32"/>
        </w:rPr>
        <w:t>。项目区域环境空气功能区划未发生改变，仍为二类区，因此</w:t>
      </w:r>
      <w:bookmarkStart w:id="90" w:name="OLE_LINK438"/>
      <w:r>
        <w:rPr>
          <w:rFonts w:hint="eastAsia" w:ascii="Times New Roman" w:hAnsi="Times New Roman" w:eastAsia="宋体" w:cs="Times New Roman"/>
          <w:b w:val="0"/>
          <w:bCs w:val="0"/>
          <w:color w:val="auto"/>
          <w:sz w:val="24"/>
          <w:szCs w:val="24"/>
          <w:lang w:val="en-US" w:eastAsia="zh-CN"/>
        </w:rPr>
        <w:t>SO</w:t>
      </w:r>
      <w:r>
        <w:rPr>
          <w:rFonts w:hint="eastAsia" w:ascii="Times New Roman" w:hAnsi="Times New Roman" w:eastAsia="宋体" w:cs="Times New Roman"/>
          <w:b w:val="0"/>
          <w:bCs w:val="0"/>
          <w:color w:val="auto"/>
          <w:sz w:val="24"/>
          <w:szCs w:val="24"/>
          <w:vertAlign w:val="subscript"/>
          <w:lang w:val="en-US" w:eastAsia="zh-CN"/>
        </w:rPr>
        <w:t>2</w:t>
      </w:r>
      <w:r>
        <w:rPr>
          <w:rFonts w:hint="eastAsia" w:ascii="Times New Roman" w:hAnsi="Times New Roman" w:eastAsia="宋体" w:cs="Times New Roman"/>
          <w:b w:val="0"/>
          <w:bCs w:val="0"/>
          <w:color w:val="auto"/>
          <w:sz w:val="24"/>
          <w:szCs w:val="24"/>
          <w:lang w:val="en-US" w:eastAsia="zh-CN"/>
        </w:rPr>
        <w:t>、NO</w:t>
      </w:r>
      <w:r>
        <w:rPr>
          <w:rFonts w:hint="eastAsia" w:ascii="Times New Roman" w:hAnsi="Times New Roman" w:eastAsia="宋体" w:cs="Times New Roman"/>
          <w:b w:val="0"/>
          <w:bCs w:val="0"/>
          <w:color w:val="auto"/>
          <w:sz w:val="24"/>
          <w:szCs w:val="24"/>
          <w:vertAlign w:val="subscript"/>
          <w:lang w:val="en-US" w:eastAsia="zh-CN"/>
        </w:rPr>
        <w:t>2</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10</w:t>
      </w:r>
      <w:r>
        <w:rPr>
          <w:rFonts w:hint="eastAsia" w:ascii="Times New Roman" w:hAnsi="Times New Roman" w:eastAsia="宋体" w:cs="Times New Roman"/>
          <w:b w:val="0"/>
          <w:bCs w:val="0"/>
          <w:color w:val="auto"/>
          <w:sz w:val="24"/>
          <w:szCs w:val="24"/>
          <w:lang w:val="en-US" w:eastAsia="zh-CN"/>
        </w:rPr>
        <w:t>、CO、O</w:t>
      </w:r>
      <w:r>
        <w:rPr>
          <w:rFonts w:hint="eastAsia" w:ascii="Times New Roman" w:hAnsi="Times New Roman" w:eastAsia="宋体" w:cs="Times New Roman"/>
          <w:b w:val="0"/>
          <w:bCs w:val="0"/>
          <w:color w:val="auto"/>
          <w:sz w:val="24"/>
          <w:szCs w:val="24"/>
          <w:vertAlign w:val="subscript"/>
          <w:lang w:val="en-US" w:eastAsia="zh-CN"/>
        </w:rPr>
        <w:t>3</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2.5</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10</w:t>
      </w:r>
      <w:r>
        <w:rPr>
          <w:rFonts w:hint="eastAsia" w:ascii="Times New Roman" w:hAnsi="Times New Roman" w:eastAsia="宋体" w:cs="Times New Roman"/>
          <w:b w:val="0"/>
          <w:bCs w:val="0"/>
          <w:color w:val="auto"/>
          <w:sz w:val="24"/>
          <w:szCs w:val="24"/>
          <w:lang w:val="en-US" w:eastAsia="zh-CN"/>
        </w:rPr>
        <w:t>、TSP、铅</w:t>
      </w:r>
      <w:bookmarkEnd w:id="90"/>
      <w:r>
        <w:rPr>
          <w:rFonts w:hint="eastAsia" w:ascii="Times New Roman" w:hAnsi="Times New Roman" w:eastAsia="宋体" w:cs="Times New Roman"/>
          <w:b w:val="0"/>
          <w:bCs w:val="0"/>
          <w:color w:val="auto"/>
          <w:sz w:val="24"/>
          <w:szCs w:val="24"/>
          <w:lang w:val="en-US" w:eastAsia="zh-CN"/>
        </w:rPr>
        <w:t>浓度限值执行《环境空气质量标准》（GB3095-20</w:t>
      </w:r>
      <w:r>
        <w:rPr>
          <w:rFonts w:hint="eastAsia" w:cs="Times New Roman"/>
          <w:b w:val="0"/>
          <w:bCs w:val="0"/>
          <w:color w:val="auto"/>
          <w:sz w:val="24"/>
          <w:szCs w:val="24"/>
          <w:lang w:val="en-US" w:eastAsia="zh-CN"/>
        </w:rPr>
        <w:t>26</w:t>
      </w:r>
      <w:r>
        <w:rPr>
          <w:rFonts w:hint="eastAsia" w:ascii="Times New Roman" w:hAnsi="Times New Roman" w:eastAsia="宋体" w:cs="Times New Roman"/>
          <w:b w:val="0"/>
          <w:bCs w:val="0"/>
          <w:color w:val="auto"/>
          <w:sz w:val="24"/>
          <w:szCs w:val="24"/>
          <w:lang w:val="en-US" w:eastAsia="zh-CN"/>
        </w:rPr>
        <w:t>）中的二级标准；</w:t>
      </w:r>
      <w:bookmarkStart w:id="91" w:name="OLE_LINK468"/>
      <w:r>
        <w:rPr>
          <w:rFonts w:hint="eastAsia" w:ascii="Times New Roman" w:hAnsi="Times New Roman" w:eastAsia="宋体" w:cs="Times New Roman"/>
          <w:b w:val="0"/>
          <w:bCs w:val="0"/>
          <w:color w:val="auto"/>
          <w:sz w:val="24"/>
          <w:szCs w:val="24"/>
          <w:lang w:val="en-US" w:eastAsia="zh-CN"/>
        </w:rPr>
        <w:t>氯化氢</w:t>
      </w:r>
      <w:bookmarkEnd w:id="91"/>
      <w:r>
        <w:rPr>
          <w:rFonts w:hint="eastAsia" w:cs="Times New Roman"/>
          <w:b w:val="0"/>
          <w:bCs w:val="0"/>
          <w:color w:val="auto"/>
          <w:sz w:val="24"/>
          <w:szCs w:val="24"/>
          <w:lang w:val="en-US" w:eastAsia="zh-CN"/>
        </w:rPr>
        <w:t>、氨</w:t>
      </w:r>
      <w:r>
        <w:rPr>
          <w:rFonts w:hint="eastAsia" w:ascii="Times New Roman" w:hAnsi="Times New Roman" w:eastAsia="宋体" w:cs="Times New Roman"/>
          <w:b w:val="0"/>
          <w:bCs w:val="0"/>
          <w:color w:val="auto"/>
          <w:sz w:val="24"/>
          <w:szCs w:val="24"/>
          <w:lang w:val="en-US" w:eastAsia="zh-CN"/>
        </w:rPr>
        <w:t>执行《环境影响评价技术导则 大气环境》（HJ 2.2-2018）“表D. 1其他污染物空气质量浓度参考限值”；砷、铬（六价）、镉、氟化物浓度限值执行</w:t>
      </w:r>
      <w:bookmarkStart w:id="92" w:name="OLE_LINK469"/>
      <w:r>
        <w:rPr>
          <w:rFonts w:hint="eastAsia" w:ascii="Times New Roman" w:hAnsi="Times New Roman" w:eastAsia="宋体" w:cs="Times New Roman"/>
          <w:b w:val="0"/>
          <w:bCs w:val="0"/>
          <w:color w:val="auto"/>
          <w:sz w:val="24"/>
          <w:szCs w:val="24"/>
          <w:lang w:val="en-US" w:eastAsia="zh-CN"/>
        </w:rPr>
        <w:t>《环境空气质量标准》（GB3095-20</w:t>
      </w:r>
      <w:r>
        <w:rPr>
          <w:rFonts w:hint="eastAsia" w:cs="Times New Roman"/>
          <w:b w:val="0"/>
          <w:bCs w:val="0"/>
          <w:color w:val="auto"/>
          <w:sz w:val="24"/>
          <w:szCs w:val="24"/>
          <w:lang w:val="en-US" w:eastAsia="zh-CN"/>
        </w:rPr>
        <w:t>26</w:t>
      </w:r>
      <w:r>
        <w:rPr>
          <w:rFonts w:hint="eastAsia" w:ascii="Times New Roman" w:hAnsi="Times New Roman" w:eastAsia="宋体" w:cs="Times New Roman"/>
          <w:b w:val="0"/>
          <w:bCs w:val="0"/>
          <w:color w:val="auto"/>
          <w:sz w:val="24"/>
          <w:szCs w:val="24"/>
          <w:lang w:val="en-US" w:eastAsia="zh-CN"/>
        </w:rPr>
        <w:t>）附录A 标准</w:t>
      </w:r>
      <w:bookmarkEnd w:id="92"/>
      <w:r>
        <w:rPr>
          <w:rFonts w:hint="eastAsia" w:ascii="Times New Roman" w:hAnsi="Times New Roman" w:eastAsia="宋体" w:cs="Times New Roman"/>
          <w:b w:val="0"/>
          <w:bCs w:val="0"/>
          <w:color w:val="auto"/>
          <w:sz w:val="24"/>
          <w:szCs w:val="24"/>
          <w:lang w:val="en-US" w:eastAsia="zh-CN"/>
        </w:rPr>
        <w:t>；二噁英类参照执行</w:t>
      </w:r>
      <w:bookmarkStart w:id="93" w:name="OLE_LINK486"/>
      <w:r>
        <w:rPr>
          <w:rFonts w:hint="eastAsia" w:ascii="Times New Roman" w:hAnsi="Times New Roman" w:eastAsia="宋体" w:cs="Times New Roman"/>
          <w:b w:val="0"/>
          <w:bCs w:val="0"/>
          <w:color w:val="auto"/>
          <w:sz w:val="24"/>
          <w:szCs w:val="24"/>
          <w:lang w:val="en-US" w:eastAsia="zh-CN"/>
        </w:rPr>
        <w:t>日本环境厅中央环境审议会制定的环境标准</w:t>
      </w:r>
      <w:bookmarkEnd w:id="93"/>
      <w:r>
        <w:rPr>
          <w:rFonts w:hint="eastAsia" w:ascii="Times New Roman" w:hAnsi="Times New Roman" w:eastAsia="宋体" w:cs="Times New Roman"/>
          <w:b w:val="0"/>
          <w:bCs w:val="0"/>
          <w:color w:val="auto"/>
          <w:sz w:val="24"/>
          <w:szCs w:val="24"/>
          <w:lang w:val="en-US" w:eastAsia="zh-CN"/>
        </w:rPr>
        <w:t>。</w:t>
      </w:r>
      <w:r>
        <w:rPr>
          <w:color w:val="auto"/>
          <w:sz w:val="24"/>
          <w:szCs w:val="32"/>
        </w:rPr>
        <w:t>具体限值详见下表：</w:t>
      </w:r>
    </w:p>
    <w:p w14:paraId="2B41B44B">
      <w:pPr>
        <w:adjustRightInd w:val="0"/>
        <w:snapToGrid w:val="0"/>
        <w:spacing w:line="360" w:lineRule="auto"/>
        <w:jc w:val="center"/>
        <w:rPr>
          <w:b/>
          <w:bCs/>
          <w:color w:val="auto"/>
          <w:sz w:val="24"/>
          <w:szCs w:val="32"/>
        </w:rPr>
      </w:pPr>
      <w:r>
        <w:rPr>
          <w:b/>
          <w:bCs/>
          <w:color w:val="auto"/>
          <w:sz w:val="24"/>
          <w:szCs w:val="32"/>
        </w:rPr>
        <w:t xml:space="preserve">表1-2 </w:t>
      </w:r>
      <w:r>
        <w:rPr>
          <w:rFonts w:hint="eastAsia"/>
          <w:b/>
          <w:bCs/>
          <w:color w:val="auto"/>
          <w:sz w:val="24"/>
          <w:szCs w:val="32"/>
          <w:lang w:val="en-US" w:eastAsia="zh-CN"/>
        </w:rPr>
        <w:t>后评价阶段</w:t>
      </w:r>
      <w:r>
        <w:rPr>
          <w:b/>
          <w:bCs/>
          <w:color w:val="auto"/>
          <w:sz w:val="24"/>
          <w:szCs w:val="32"/>
        </w:rPr>
        <w:t>环境空气质量评价标准表</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05"/>
        <w:gridCol w:w="2205"/>
        <w:gridCol w:w="2207"/>
        <w:gridCol w:w="3345"/>
      </w:tblGrid>
      <w:tr w14:paraId="625331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106" w:type="pct"/>
            <w:vAlign w:val="center"/>
          </w:tcPr>
          <w:p w14:paraId="6E085A44">
            <w:pPr>
              <w:bidi w:val="0"/>
              <w:jc w:val="center"/>
              <w:rPr>
                <w:rFonts w:hint="default" w:ascii="Times New Roman" w:hAnsi="Times New Roman" w:eastAsia="宋体" w:cs="Times New Roman"/>
                <w:b/>
                <w:bCs/>
                <w:color w:val="auto"/>
                <w:sz w:val="21"/>
                <w:szCs w:val="21"/>
              </w:rPr>
            </w:pPr>
            <w:bookmarkStart w:id="94" w:name="_Toc28153"/>
            <w:bookmarkStart w:id="95" w:name="_Toc22154"/>
            <w:bookmarkStart w:id="96" w:name="_Toc29049"/>
            <w:bookmarkStart w:id="97" w:name="_Toc23575"/>
            <w:r>
              <w:rPr>
                <w:rFonts w:hint="default" w:ascii="Times New Roman" w:hAnsi="Times New Roman" w:eastAsia="宋体" w:cs="Times New Roman"/>
                <w:b/>
                <w:bCs/>
                <w:color w:val="auto"/>
                <w:sz w:val="21"/>
                <w:szCs w:val="21"/>
              </w:rPr>
              <w:t>评价因子</w:t>
            </w:r>
          </w:p>
        </w:tc>
        <w:tc>
          <w:tcPr>
            <w:tcW w:w="1106" w:type="pct"/>
            <w:vAlign w:val="center"/>
          </w:tcPr>
          <w:p w14:paraId="6A5A716E">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平均时段</w:t>
            </w:r>
          </w:p>
        </w:tc>
        <w:tc>
          <w:tcPr>
            <w:tcW w:w="1107" w:type="pct"/>
            <w:vAlign w:val="center"/>
          </w:tcPr>
          <w:p w14:paraId="2F24623E">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过渡阶段浓度限值</w:t>
            </w:r>
          </w:p>
        </w:tc>
        <w:tc>
          <w:tcPr>
            <w:tcW w:w="1678" w:type="pct"/>
            <w:vAlign w:val="center"/>
          </w:tcPr>
          <w:p w14:paraId="2AE198F4">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058009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21DAA6B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SO</w:t>
            </w:r>
            <w:r>
              <w:rPr>
                <w:rFonts w:hint="default" w:ascii="Times New Roman" w:hAnsi="Times New Roman" w:eastAsia="宋体" w:cs="Times New Roman"/>
                <w:color w:val="auto"/>
                <w:sz w:val="21"/>
                <w:szCs w:val="21"/>
                <w:vertAlign w:val="subscript"/>
              </w:rPr>
              <w:t>2</w:t>
            </w:r>
          </w:p>
        </w:tc>
        <w:tc>
          <w:tcPr>
            <w:tcW w:w="1106" w:type="pct"/>
            <w:vAlign w:val="center"/>
          </w:tcPr>
          <w:p w14:paraId="79CB73A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3D3954A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60μg/Nm</w:t>
            </w:r>
            <w:r>
              <w:rPr>
                <w:rFonts w:hint="default" w:ascii="Times New Roman" w:hAnsi="Times New Roman" w:eastAsia="宋体" w:cs="Times New Roman"/>
                <w:color w:val="auto"/>
                <w:sz w:val="21"/>
                <w:szCs w:val="21"/>
                <w:vertAlign w:val="superscript"/>
              </w:rPr>
              <w:t>3</w:t>
            </w:r>
          </w:p>
        </w:tc>
        <w:tc>
          <w:tcPr>
            <w:tcW w:w="1678" w:type="pct"/>
            <w:vMerge w:val="restart"/>
            <w:vAlign w:val="center"/>
          </w:tcPr>
          <w:p w14:paraId="49FC3B5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《环境空气质量标准》</w:t>
            </w:r>
          </w:p>
          <w:p w14:paraId="61A4465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（GB3095-20</w:t>
            </w:r>
            <w:r>
              <w:rPr>
                <w:rFonts w:hint="eastAsia" w:cs="Times New Roman"/>
                <w:color w:val="auto"/>
                <w:sz w:val="21"/>
                <w:szCs w:val="21"/>
                <w:lang w:val="en-US" w:eastAsia="zh-CN"/>
              </w:rPr>
              <w:t>26</w:t>
            </w:r>
            <w:r>
              <w:rPr>
                <w:rFonts w:hint="default" w:ascii="Times New Roman" w:hAnsi="Times New Roman" w:eastAsia="宋体" w:cs="Times New Roman"/>
                <w:color w:val="auto"/>
                <w:sz w:val="21"/>
                <w:szCs w:val="21"/>
              </w:rPr>
              <w:t>）</w:t>
            </w:r>
          </w:p>
          <w:p w14:paraId="1D5949E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二级标准</w:t>
            </w:r>
          </w:p>
        </w:tc>
      </w:tr>
      <w:tr w14:paraId="624C05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2A6F8654">
            <w:pPr>
              <w:bidi w:val="0"/>
              <w:jc w:val="center"/>
              <w:rPr>
                <w:rFonts w:hint="default" w:ascii="Times New Roman" w:hAnsi="Times New Roman" w:eastAsia="宋体" w:cs="Times New Roman"/>
                <w:color w:val="auto"/>
                <w:sz w:val="21"/>
                <w:szCs w:val="21"/>
              </w:rPr>
            </w:pPr>
          </w:p>
        </w:tc>
        <w:tc>
          <w:tcPr>
            <w:tcW w:w="1106" w:type="pct"/>
            <w:vAlign w:val="center"/>
          </w:tcPr>
          <w:p w14:paraId="0ADD64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521FA9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7DDD9504">
            <w:pPr>
              <w:bidi w:val="0"/>
              <w:jc w:val="center"/>
              <w:rPr>
                <w:rFonts w:hint="default" w:ascii="Times New Roman" w:hAnsi="Times New Roman" w:eastAsia="宋体" w:cs="Times New Roman"/>
                <w:color w:val="auto"/>
                <w:sz w:val="21"/>
                <w:szCs w:val="21"/>
              </w:rPr>
            </w:pPr>
          </w:p>
        </w:tc>
      </w:tr>
      <w:tr w14:paraId="27656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46D88E7C">
            <w:pPr>
              <w:bidi w:val="0"/>
              <w:jc w:val="center"/>
              <w:rPr>
                <w:rFonts w:hint="default" w:ascii="Times New Roman" w:hAnsi="Times New Roman" w:eastAsia="宋体" w:cs="Times New Roman"/>
                <w:color w:val="auto"/>
                <w:sz w:val="21"/>
                <w:szCs w:val="21"/>
              </w:rPr>
            </w:pPr>
          </w:p>
        </w:tc>
        <w:tc>
          <w:tcPr>
            <w:tcW w:w="1106" w:type="pct"/>
            <w:vAlign w:val="center"/>
          </w:tcPr>
          <w:p w14:paraId="543BB6F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2365D69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6E3B34B">
            <w:pPr>
              <w:bidi w:val="0"/>
              <w:jc w:val="center"/>
              <w:rPr>
                <w:rFonts w:hint="default" w:ascii="Times New Roman" w:hAnsi="Times New Roman" w:eastAsia="宋体" w:cs="Times New Roman"/>
                <w:color w:val="auto"/>
                <w:sz w:val="21"/>
                <w:szCs w:val="21"/>
              </w:rPr>
            </w:pPr>
          </w:p>
        </w:tc>
      </w:tr>
      <w:tr w14:paraId="4C7E9B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368EC8A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NO</w:t>
            </w:r>
            <w:r>
              <w:rPr>
                <w:rFonts w:hint="default" w:ascii="Times New Roman" w:hAnsi="Times New Roman" w:eastAsia="宋体" w:cs="Times New Roman"/>
                <w:color w:val="auto"/>
                <w:sz w:val="21"/>
                <w:szCs w:val="21"/>
                <w:vertAlign w:val="subscript"/>
              </w:rPr>
              <w:t>2</w:t>
            </w:r>
          </w:p>
        </w:tc>
        <w:tc>
          <w:tcPr>
            <w:tcW w:w="1106" w:type="pct"/>
            <w:vAlign w:val="center"/>
          </w:tcPr>
          <w:p w14:paraId="058408C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6274E9E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53EC32B">
            <w:pPr>
              <w:bidi w:val="0"/>
              <w:jc w:val="center"/>
              <w:rPr>
                <w:rFonts w:hint="default" w:ascii="Times New Roman" w:hAnsi="Times New Roman" w:eastAsia="宋体" w:cs="Times New Roman"/>
                <w:color w:val="auto"/>
                <w:sz w:val="21"/>
                <w:szCs w:val="21"/>
              </w:rPr>
            </w:pPr>
          </w:p>
        </w:tc>
      </w:tr>
      <w:tr w14:paraId="09A20A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54433178">
            <w:pPr>
              <w:bidi w:val="0"/>
              <w:jc w:val="center"/>
              <w:rPr>
                <w:rFonts w:hint="default" w:ascii="Times New Roman" w:hAnsi="Times New Roman" w:eastAsia="宋体" w:cs="Times New Roman"/>
                <w:color w:val="auto"/>
                <w:sz w:val="21"/>
                <w:szCs w:val="21"/>
              </w:rPr>
            </w:pPr>
          </w:p>
        </w:tc>
        <w:tc>
          <w:tcPr>
            <w:tcW w:w="1106" w:type="pct"/>
            <w:vAlign w:val="center"/>
          </w:tcPr>
          <w:p w14:paraId="53C53E9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428D1A2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A54F82B">
            <w:pPr>
              <w:bidi w:val="0"/>
              <w:jc w:val="center"/>
              <w:rPr>
                <w:rFonts w:hint="default" w:ascii="Times New Roman" w:hAnsi="Times New Roman" w:eastAsia="宋体" w:cs="Times New Roman"/>
                <w:color w:val="auto"/>
                <w:sz w:val="21"/>
                <w:szCs w:val="21"/>
              </w:rPr>
            </w:pPr>
          </w:p>
        </w:tc>
      </w:tr>
      <w:tr w14:paraId="1EB84A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324E4807">
            <w:pPr>
              <w:bidi w:val="0"/>
              <w:jc w:val="center"/>
              <w:rPr>
                <w:rFonts w:hint="default" w:ascii="Times New Roman" w:hAnsi="Times New Roman" w:eastAsia="宋体" w:cs="Times New Roman"/>
                <w:color w:val="auto"/>
                <w:sz w:val="21"/>
                <w:szCs w:val="21"/>
              </w:rPr>
            </w:pPr>
          </w:p>
        </w:tc>
        <w:tc>
          <w:tcPr>
            <w:tcW w:w="1106" w:type="pct"/>
            <w:vAlign w:val="center"/>
          </w:tcPr>
          <w:p w14:paraId="107D00C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29D613F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77E18DEF">
            <w:pPr>
              <w:bidi w:val="0"/>
              <w:jc w:val="center"/>
              <w:rPr>
                <w:rFonts w:hint="default" w:ascii="Times New Roman" w:hAnsi="Times New Roman" w:eastAsia="宋体" w:cs="Times New Roman"/>
                <w:color w:val="auto"/>
                <w:sz w:val="21"/>
                <w:szCs w:val="21"/>
              </w:rPr>
            </w:pPr>
          </w:p>
        </w:tc>
      </w:tr>
      <w:tr w14:paraId="18A962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5C446D0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NOx</w:t>
            </w:r>
          </w:p>
        </w:tc>
        <w:tc>
          <w:tcPr>
            <w:tcW w:w="1106" w:type="pct"/>
            <w:vAlign w:val="center"/>
          </w:tcPr>
          <w:p w14:paraId="425F272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32ABE87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37F2738">
            <w:pPr>
              <w:bidi w:val="0"/>
              <w:jc w:val="center"/>
              <w:rPr>
                <w:rFonts w:hint="default" w:ascii="Times New Roman" w:hAnsi="Times New Roman" w:eastAsia="宋体" w:cs="Times New Roman"/>
                <w:color w:val="auto"/>
                <w:sz w:val="21"/>
                <w:szCs w:val="21"/>
              </w:rPr>
            </w:pPr>
          </w:p>
        </w:tc>
      </w:tr>
      <w:tr w14:paraId="0FE858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1247AFAC">
            <w:pPr>
              <w:bidi w:val="0"/>
              <w:jc w:val="center"/>
              <w:rPr>
                <w:rFonts w:hint="default" w:ascii="Times New Roman" w:hAnsi="Times New Roman" w:eastAsia="宋体" w:cs="Times New Roman"/>
                <w:color w:val="auto"/>
                <w:sz w:val="21"/>
                <w:szCs w:val="21"/>
              </w:rPr>
            </w:pPr>
          </w:p>
        </w:tc>
        <w:tc>
          <w:tcPr>
            <w:tcW w:w="1106" w:type="pct"/>
            <w:vAlign w:val="center"/>
          </w:tcPr>
          <w:p w14:paraId="0FCF311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5FCE7A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76D53025">
            <w:pPr>
              <w:bidi w:val="0"/>
              <w:jc w:val="center"/>
              <w:rPr>
                <w:rFonts w:hint="default" w:ascii="Times New Roman" w:hAnsi="Times New Roman" w:eastAsia="宋体" w:cs="Times New Roman"/>
                <w:color w:val="auto"/>
                <w:sz w:val="21"/>
                <w:szCs w:val="21"/>
              </w:rPr>
            </w:pPr>
          </w:p>
        </w:tc>
      </w:tr>
      <w:tr w14:paraId="5EC852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0BD32183">
            <w:pPr>
              <w:bidi w:val="0"/>
              <w:jc w:val="center"/>
              <w:rPr>
                <w:rFonts w:hint="default" w:ascii="Times New Roman" w:hAnsi="Times New Roman" w:eastAsia="宋体" w:cs="Times New Roman"/>
                <w:color w:val="auto"/>
                <w:sz w:val="21"/>
                <w:szCs w:val="21"/>
              </w:rPr>
            </w:pPr>
          </w:p>
        </w:tc>
        <w:tc>
          <w:tcPr>
            <w:tcW w:w="1106" w:type="pct"/>
            <w:vAlign w:val="center"/>
          </w:tcPr>
          <w:p w14:paraId="4EFBAEA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2DE4E17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A8367D1">
            <w:pPr>
              <w:bidi w:val="0"/>
              <w:jc w:val="center"/>
              <w:rPr>
                <w:rFonts w:hint="default" w:ascii="Times New Roman" w:hAnsi="Times New Roman" w:eastAsia="宋体" w:cs="Times New Roman"/>
                <w:color w:val="auto"/>
                <w:sz w:val="21"/>
                <w:szCs w:val="21"/>
              </w:rPr>
            </w:pPr>
          </w:p>
        </w:tc>
      </w:tr>
      <w:tr w14:paraId="62C392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1F7DA9B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w:t>
            </w:r>
          </w:p>
        </w:tc>
        <w:tc>
          <w:tcPr>
            <w:tcW w:w="1106" w:type="pct"/>
            <w:vAlign w:val="center"/>
          </w:tcPr>
          <w:p w14:paraId="6AA47E5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67D75D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10mg/Nm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2A0CFC10">
            <w:pPr>
              <w:bidi w:val="0"/>
              <w:jc w:val="center"/>
              <w:rPr>
                <w:rFonts w:hint="default" w:ascii="Times New Roman" w:hAnsi="Times New Roman" w:eastAsia="宋体" w:cs="Times New Roman"/>
                <w:color w:val="auto"/>
                <w:sz w:val="21"/>
                <w:szCs w:val="21"/>
              </w:rPr>
            </w:pPr>
          </w:p>
        </w:tc>
      </w:tr>
      <w:tr w14:paraId="159B72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6F6CD9CA">
            <w:pPr>
              <w:bidi w:val="0"/>
              <w:jc w:val="center"/>
              <w:rPr>
                <w:rFonts w:hint="default" w:ascii="Times New Roman" w:hAnsi="Times New Roman" w:eastAsia="宋体" w:cs="Times New Roman"/>
                <w:color w:val="auto"/>
                <w:sz w:val="21"/>
                <w:szCs w:val="21"/>
              </w:rPr>
            </w:pPr>
          </w:p>
        </w:tc>
        <w:tc>
          <w:tcPr>
            <w:tcW w:w="1106" w:type="pct"/>
            <w:vAlign w:val="center"/>
          </w:tcPr>
          <w:p w14:paraId="4CBDEB8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59F33D7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4.0mg/Nm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348AFF16">
            <w:pPr>
              <w:bidi w:val="0"/>
              <w:jc w:val="center"/>
              <w:rPr>
                <w:rFonts w:hint="default" w:ascii="Times New Roman" w:hAnsi="Times New Roman" w:eastAsia="宋体" w:cs="Times New Roman"/>
                <w:color w:val="auto"/>
                <w:sz w:val="21"/>
                <w:szCs w:val="21"/>
              </w:rPr>
            </w:pPr>
          </w:p>
        </w:tc>
      </w:tr>
      <w:tr w14:paraId="60021C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0394A8B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O</w:t>
            </w:r>
            <w:r>
              <w:rPr>
                <w:rFonts w:hint="default" w:ascii="Times New Roman" w:hAnsi="Times New Roman" w:eastAsia="宋体" w:cs="Times New Roman"/>
                <w:color w:val="auto"/>
                <w:sz w:val="21"/>
                <w:szCs w:val="21"/>
                <w:vertAlign w:val="subscript"/>
              </w:rPr>
              <w:t>3</w:t>
            </w:r>
          </w:p>
        </w:tc>
        <w:tc>
          <w:tcPr>
            <w:tcW w:w="1106" w:type="pct"/>
            <w:vAlign w:val="center"/>
          </w:tcPr>
          <w:p w14:paraId="34836BC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日最大8小时平均</w:t>
            </w:r>
          </w:p>
        </w:tc>
        <w:tc>
          <w:tcPr>
            <w:tcW w:w="1107" w:type="pct"/>
            <w:vAlign w:val="center"/>
          </w:tcPr>
          <w:p w14:paraId="4594E85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6663195F">
            <w:pPr>
              <w:bidi w:val="0"/>
              <w:jc w:val="center"/>
              <w:rPr>
                <w:rFonts w:hint="default" w:ascii="Times New Roman" w:hAnsi="Times New Roman" w:eastAsia="宋体" w:cs="Times New Roman"/>
                <w:color w:val="auto"/>
                <w:sz w:val="21"/>
                <w:szCs w:val="21"/>
              </w:rPr>
            </w:pPr>
          </w:p>
        </w:tc>
      </w:tr>
      <w:tr w14:paraId="6BE5F8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44F51376">
            <w:pPr>
              <w:bidi w:val="0"/>
              <w:jc w:val="center"/>
              <w:rPr>
                <w:rFonts w:hint="default" w:ascii="Times New Roman" w:hAnsi="Times New Roman" w:eastAsia="宋体" w:cs="Times New Roman"/>
                <w:color w:val="auto"/>
                <w:sz w:val="21"/>
                <w:szCs w:val="21"/>
              </w:rPr>
            </w:pPr>
          </w:p>
        </w:tc>
        <w:tc>
          <w:tcPr>
            <w:tcW w:w="1106" w:type="pct"/>
            <w:vAlign w:val="center"/>
          </w:tcPr>
          <w:p w14:paraId="790611F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2F9ABF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634EB398">
            <w:pPr>
              <w:bidi w:val="0"/>
              <w:jc w:val="center"/>
              <w:rPr>
                <w:rFonts w:hint="default" w:ascii="Times New Roman" w:hAnsi="Times New Roman" w:eastAsia="宋体" w:cs="Times New Roman"/>
                <w:color w:val="auto"/>
                <w:sz w:val="21"/>
                <w:szCs w:val="21"/>
              </w:rPr>
            </w:pPr>
          </w:p>
        </w:tc>
      </w:tr>
      <w:tr w14:paraId="7D49FE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030F8E0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PM</w:t>
            </w:r>
            <w:r>
              <w:rPr>
                <w:rFonts w:hint="default" w:ascii="Times New Roman" w:hAnsi="Times New Roman" w:eastAsia="宋体" w:cs="Times New Roman"/>
                <w:color w:val="auto"/>
                <w:sz w:val="21"/>
                <w:szCs w:val="21"/>
                <w:vertAlign w:val="subscript"/>
              </w:rPr>
              <w:t>10</w:t>
            </w:r>
          </w:p>
        </w:tc>
        <w:tc>
          <w:tcPr>
            <w:tcW w:w="1106" w:type="pct"/>
            <w:vAlign w:val="center"/>
          </w:tcPr>
          <w:p w14:paraId="1DFB5F6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3B8718D7">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60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06D44EDD">
            <w:pPr>
              <w:bidi w:val="0"/>
              <w:jc w:val="center"/>
              <w:rPr>
                <w:rFonts w:hint="default" w:ascii="Times New Roman" w:hAnsi="Times New Roman" w:eastAsia="宋体" w:cs="Times New Roman"/>
                <w:color w:val="auto"/>
                <w:sz w:val="21"/>
                <w:szCs w:val="21"/>
              </w:rPr>
            </w:pPr>
          </w:p>
        </w:tc>
      </w:tr>
      <w:tr w14:paraId="1B471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12F654AE">
            <w:pPr>
              <w:bidi w:val="0"/>
              <w:jc w:val="center"/>
              <w:rPr>
                <w:rFonts w:hint="default" w:ascii="Times New Roman" w:hAnsi="Times New Roman" w:eastAsia="宋体" w:cs="Times New Roman"/>
                <w:color w:val="auto"/>
                <w:sz w:val="21"/>
                <w:szCs w:val="21"/>
              </w:rPr>
            </w:pPr>
          </w:p>
        </w:tc>
        <w:tc>
          <w:tcPr>
            <w:tcW w:w="1106" w:type="pct"/>
            <w:vAlign w:val="center"/>
          </w:tcPr>
          <w:p w14:paraId="584713F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0BBED46E">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12</w:t>
            </w:r>
            <w:r>
              <w:rPr>
                <w:rFonts w:hint="default" w:ascii="Times New Roman" w:hAnsi="Times New Roman" w:eastAsia="宋体" w:cs="Times New Roman"/>
                <w:color w:val="auto"/>
                <w:sz w:val="21"/>
                <w:szCs w:val="21"/>
              </w:rPr>
              <w:t>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DB2954E">
            <w:pPr>
              <w:bidi w:val="0"/>
              <w:jc w:val="center"/>
              <w:rPr>
                <w:rFonts w:hint="default" w:ascii="Times New Roman" w:hAnsi="Times New Roman" w:eastAsia="宋体" w:cs="Times New Roman"/>
                <w:color w:val="auto"/>
                <w:sz w:val="21"/>
                <w:szCs w:val="21"/>
              </w:rPr>
            </w:pPr>
          </w:p>
        </w:tc>
      </w:tr>
      <w:tr w14:paraId="30A27C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2944A42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PM</w:t>
            </w:r>
            <w:r>
              <w:rPr>
                <w:rFonts w:hint="default" w:ascii="Times New Roman" w:hAnsi="Times New Roman" w:eastAsia="宋体" w:cs="Times New Roman"/>
                <w:color w:val="auto"/>
                <w:sz w:val="21"/>
                <w:szCs w:val="21"/>
                <w:vertAlign w:val="subscript"/>
              </w:rPr>
              <w:t>2.5</w:t>
            </w:r>
          </w:p>
        </w:tc>
        <w:tc>
          <w:tcPr>
            <w:tcW w:w="1106" w:type="pct"/>
            <w:vAlign w:val="center"/>
          </w:tcPr>
          <w:p w14:paraId="6C4D2BA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2B8C60B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r>
              <w:rPr>
                <w:rFonts w:hint="eastAsia" w:cs="Times New Roman"/>
                <w:color w:val="auto"/>
                <w:sz w:val="21"/>
                <w:szCs w:val="21"/>
                <w:lang w:val="en-US" w:eastAsia="zh-CN"/>
              </w:rPr>
              <w:t>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46DF1C3">
            <w:pPr>
              <w:bidi w:val="0"/>
              <w:jc w:val="center"/>
              <w:rPr>
                <w:rFonts w:hint="default" w:ascii="Times New Roman" w:hAnsi="Times New Roman" w:eastAsia="宋体" w:cs="Times New Roman"/>
                <w:color w:val="auto"/>
                <w:sz w:val="21"/>
                <w:szCs w:val="21"/>
              </w:rPr>
            </w:pPr>
          </w:p>
        </w:tc>
      </w:tr>
      <w:tr w14:paraId="41C066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15A2A7B0">
            <w:pPr>
              <w:bidi w:val="0"/>
              <w:jc w:val="center"/>
              <w:rPr>
                <w:rFonts w:hint="default" w:ascii="Times New Roman" w:hAnsi="Times New Roman" w:eastAsia="宋体" w:cs="Times New Roman"/>
                <w:color w:val="auto"/>
                <w:sz w:val="21"/>
                <w:szCs w:val="21"/>
              </w:rPr>
            </w:pPr>
          </w:p>
        </w:tc>
        <w:tc>
          <w:tcPr>
            <w:tcW w:w="1106" w:type="pct"/>
            <w:vAlign w:val="center"/>
          </w:tcPr>
          <w:p w14:paraId="1B933D6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38FA13C6">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60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268168A5">
            <w:pPr>
              <w:bidi w:val="0"/>
              <w:jc w:val="center"/>
              <w:rPr>
                <w:rFonts w:hint="default" w:ascii="Times New Roman" w:hAnsi="Times New Roman" w:eastAsia="宋体" w:cs="Times New Roman"/>
                <w:color w:val="auto"/>
                <w:sz w:val="21"/>
                <w:szCs w:val="21"/>
              </w:rPr>
            </w:pPr>
          </w:p>
        </w:tc>
      </w:tr>
      <w:tr w14:paraId="78EF03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4C887D7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TSP</w:t>
            </w:r>
          </w:p>
        </w:tc>
        <w:tc>
          <w:tcPr>
            <w:tcW w:w="1106" w:type="pct"/>
            <w:vAlign w:val="center"/>
          </w:tcPr>
          <w:p w14:paraId="163D5D6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6586C78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46485F42">
            <w:pPr>
              <w:bidi w:val="0"/>
              <w:jc w:val="center"/>
              <w:rPr>
                <w:rFonts w:hint="default" w:ascii="Times New Roman" w:hAnsi="Times New Roman" w:eastAsia="宋体" w:cs="Times New Roman"/>
                <w:color w:val="auto"/>
                <w:sz w:val="21"/>
                <w:szCs w:val="21"/>
              </w:rPr>
            </w:pPr>
          </w:p>
        </w:tc>
      </w:tr>
      <w:tr w14:paraId="33C472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72E73F82">
            <w:pPr>
              <w:bidi w:val="0"/>
              <w:jc w:val="center"/>
              <w:rPr>
                <w:rFonts w:hint="default" w:ascii="Times New Roman" w:hAnsi="Times New Roman" w:eastAsia="宋体" w:cs="Times New Roman"/>
                <w:color w:val="auto"/>
                <w:sz w:val="21"/>
                <w:szCs w:val="21"/>
              </w:rPr>
            </w:pPr>
          </w:p>
        </w:tc>
        <w:tc>
          <w:tcPr>
            <w:tcW w:w="1106" w:type="pct"/>
            <w:vAlign w:val="center"/>
          </w:tcPr>
          <w:p w14:paraId="4AECD4A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3087D02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40B4EB57">
            <w:pPr>
              <w:bidi w:val="0"/>
              <w:jc w:val="center"/>
              <w:rPr>
                <w:rFonts w:hint="default" w:ascii="Times New Roman" w:hAnsi="Times New Roman" w:eastAsia="宋体" w:cs="Times New Roman"/>
                <w:color w:val="auto"/>
                <w:sz w:val="21"/>
                <w:szCs w:val="21"/>
              </w:rPr>
            </w:pPr>
          </w:p>
        </w:tc>
      </w:tr>
      <w:tr w14:paraId="493D13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0A271D7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w:t>
            </w:r>
          </w:p>
        </w:tc>
        <w:tc>
          <w:tcPr>
            <w:tcW w:w="1106" w:type="pct"/>
            <w:vAlign w:val="center"/>
          </w:tcPr>
          <w:p w14:paraId="140BF39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1F72700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0.5μg/Nm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0769A464">
            <w:pPr>
              <w:bidi w:val="0"/>
              <w:jc w:val="center"/>
              <w:rPr>
                <w:rFonts w:hint="default" w:ascii="Times New Roman" w:hAnsi="Times New Roman" w:eastAsia="宋体" w:cs="Times New Roman"/>
                <w:color w:val="auto"/>
                <w:sz w:val="21"/>
                <w:szCs w:val="21"/>
              </w:rPr>
            </w:pPr>
          </w:p>
        </w:tc>
      </w:tr>
      <w:tr w14:paraId="6E3BF1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48BEB95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w:t>
            </w:r>
          </w:p>
        </w:tc>
        <w:tc>
          <w:tcPr>
            <w:tcW w:w="1106" w:type="pct"/>
            <w:vAlign w:val="center"/>
          </w:tcPr>
          <w:p w14:paraId="65A6C6C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1820D90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 μg/m</w:t>
            </w:r>
            <w:r>
              <w:rPr>
                <w:rFonts w:hint="default" w:ascii="Times New Roman" w:hAnsi="Times New Roman" w:eastAsia="宋体" w:cs="Times New Roman"/>
                <w:color w:val="auto"/>
                <w:sz w:val="21"/>
                <w:szCs w:val="21"/>
                <w:vertAlign w:val="superscript"/>
              </w:rPr>
              <w:t>3</w:t>
            </w:r>
          </w:p>
        </w:tc>
        <w:tc>
          <w:tcPr>
            <w:tcW w:w="1678" w:type="pct"/>
            <w:vMerge w:val="restart"/>
            <w:vAlign w:val="center"/>
          </w:tcPr>
          <w:p w14:paraId="25530AF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《环境空气质量标准》</w:t>
            </w:r>
          </w:p>
          <w:p w14:paraId="0988EB1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（GB3095-20</w:t>
            </w:r>
            <w:r>
              <w:rPr>
                <w:rFonts w:hint="eastAsia" w:cs="Times New Roman"/>
                <w:color w:val="auto"/>
                <w:sz w:val="21"/>
                <w:szCs w:val="21"/>
                <w:lang w:val="en-US" w:eastAsia="zh-CN"/>
              </w:rPr>
              <w:t>26</w:t>
            </w:r>
            <w:r>
              <w:rPr>
                <w:rFonts w:hint="default" w:ascii="Times New Roman" w:hAnsi="Times New Roman" w:eastAsia="宋体" w:cs="Times New Roman"/>
                <w:color w:val="auto"/>
                <w:sz w:val="21"/>
                <w:szCs w:val="21"/>
              </w:rPr>
              <w:t>）</w:t>
            </w:r>
          </w:p>
          <w:p w14:paraId="766532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附录A标准</w:t>
            </w:r>
          </w:p>
        </w:tc>
      </w:tr>
      <w:tr w14:paraId="556B8A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6757E56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w:t>
            </w:r>
          </w:p>
        </w:tc>
        <w:tc>
          <w:tcPr>
            <w:tcW w:w="1106" w:type="pct"/>
            <w:vAlign w:val="center"/>
          </w:tcPr>
          <w:p w14:paraId="4329879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最大一次</w:t>
            </w:r>
          </w:p>
        </w:tc>
        <w:tc>
          <w:tcPr>
            <w:tcW w:w="1107" w:type="pct"/>
            <w:vAlign w:val="center"/>
          </w:tcPr>
          <w:p w14:paraId="392B692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20μg /Nm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6095471D">
            <w:pPr>
              <w:bidi w:val="0"/>
              <w:jc w:val="center"/>
              <w:rPr>
                <w:rFonts w:hint="default" w:ascii="Times New Roman" w:hAnsi="Times New Roman" w:eastAsia="宋体" w:cs="Times New Roman"/>
                <w:color w:val="auto"/>
                <w:sz w:val="21"/>
                <w:szCs w:val="21"/>
              </w:rPr>
            </w:pPr>
          </w:p>
        </w:tc>
      </w:tr>
      <w:tr w14:paraId="2F1D1E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4004E1EA">
            <w:pPr>
              <w:bidi w:val="0"/>
              <w:jc w:val="center"/>
              <w:rPr>
                <w:rFonts w:hint="default" w:ascii="Times New Roman" w:hAnsi="Times New Roman" w:eastAsia="宋体" w:cs="Times New Roman"/>
                <w:color w:val="auto"/>
                <w:sz w:val="21"/>
                <w:szCs w:val="21"/>
              </w:rPr>
            </w:pPr>
          </w:p>
        </w:tc>
        <w:tc>
          <w:tcPr>
            <w:tcW w:w="1106" w:type="pct"/>
            <w:vAlign w:val="center"/>
          </w:tcPr>
          <w:p w14:paraId="3967DEE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昼夜平均</w:t>
            </w:r>
          </w:p>
        </w:tc>
        <w:tc>
          <w:tcPr>
            <w:tcW w:w="1107" w:type="pct"/>
            <w:vAlign w:val="center"/>
          </w:tcPr>
          <w:p w14:paraId="7C66A2F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7μg /Nm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0950F471">
            <w:pPr>
              <w:bidi w:val="0"/>
              <w:jc w:val="center"/>
              <w:rPr>
                <w:rFonts w:hint="default" w:ascii="Times New Roman" w:hAnsi="Times New Roman" w:eastAsia="宋体" w:cs="Times New Roman"/>
                <w:color w:val="auto"/>
                <w:sz w:val="21"/>
                <w:szCs w:val="21"/>
              </w:rPr>
            </w:pPr>
          </w:p>
        </w:tc>
      </w:tr>
      <w:tr w14:paraId="15B07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2782F9B3">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铬</w:t>
            </w:r>
          </w:p>
        </w:tc>
        <w:tc>
          <w:tcPr>
            <w:tcW w:w="1106" w:type="pct"/>
            <w:vAlign w:val="center"/>
          </w:tcPr>
          <w:p w14:paraId="590EC07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1FC4706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0.000025 mg/m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2E593C7">
            <w:pPr>
              <w:bidi w:val="0"/>
              <w:jc w:val="center"/>
              <w:rPr>
                <w:rFonts w:hint="default" w:ascii="Times New Roman" w:hAnsi="Times New Roman" w:eastAsia="宋体" w:cs="Times New Roman"/>
                <w:color w:val="auto"/>
                <w:sz w:val="21"/>
                <w:szCs w:val="21"/>
              </w:rPr>
            </w:pPr>
          </w:p>
        </w:tc>
      </w:tr>
      <w:tr w14:paraId="308AFF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09E14A0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w:t>
            </w:r>
          </w:p>
        </w:tc>
        <w:tc>
          <w:tcPr>
            <w:tcW w:w="1106" w:type="pct"/>
            <w:vAlign w:val="center"/>
          </w:tcPr>
          <w:p w14:paraId="444D09B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52DAE47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0.005μg/m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364B40A8">
            <w:pPr>
              <w:bidi w:val="0"/>
              <w:jc w:val="center"/>
              <w:rPr>
                <w:rFonts w:hint="default" w:ascii="Times New Roman" w:hAnsi="Times New Roman" w:eastAsia="宋体" w:cs="Times New Roman"/>
                <w:color w:val="auto"/>
                <w:sz w:val="21"/>
                <w:szCs w:val="21"/>
              </w:rPr>
            </w:pPr>
          </w:p>
        </w:tc>
      </w:tr>
      <w:tr w14:paraId="66D5DA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19EF997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氯化氢</w:t>
            </w:r>
          </w:p>
        </w:tc>
        <w:tc>
          <w:tcPr>
            <w:tcW w:w="1106" w:type="pct"/>
            <w:vAlign w:val="center"/>
          </w:tcPr>
          <w:p w14:paraId="4997461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 h平均</w:t>
            </w:r>
          </w:p>
        </w:tc>
        <w:tc>
          <w:tcPr>
            <w:tcW w:w="1107" w:type="pct"/>
            <w:vAlign w:val="center"/>
          </w:tcPr>
          <w:p w14:paraId="7723778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50μg/Nm</w:t>
            </w:r>
            <w:r>
              <w:rPr>
                <w:rFonts w:hint="default" w:ascii="Times New Roman" w:hAnsi="Times New Roman" w:eastAsia="宋体" w:cs="Times New Roman"/>
                <w:color w:val="auto"/>
                <w:sz w:val="21"/>
                <w:szCs w:val="21"/>
                <w:vertAlign w:val="superscript"/>
              </w:rPr>
              <w:t>3</w:t>
            </w:r>
          </w:p>
        </w:tc>
        <w:tc>
          <w:tcPr>
            <w:tcW w:w="1678" w:type="pct"/>
            <w:vMerge w:val="restart"/>
            <w:vAlign w:val="center"/>
          </w:tcPr>
          <w:p w14:paraId="40CE9E7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参照《环境影响评价技术导则 大气环境》（HJ 2.2-2018）</w:t>
            </w:r>
            <w:r>
              <w:rPr>
                <w:rFonts w:hint="eastAsia" w:ascii="宋体" w:hAnsi="宋体" w:eastAsia="宋体" w:cs="宋体"/>
                <w:color w:val="auto"/>
                <w:sz w:val="21"/>
                <w:szCs w:val="21"/>
              </w:rPr>
              <w:t>“</w:t>
            </w:r>
            <w:r>
              <w:rPr>
                <w:rFonts w:hint="default" w:ascii="Times New Roman" w:hAnsi="Times New Roman" w:eastAsia="宋体" w:cs="Times New Roman"/>
                <w:color w:val="auto"/>
                <w:sz w:val="21"/>
                <w:szCs w:val="21"/>
              </w:rPr>
              <w:t>表D. 1其他污染物空气质量浓度参考限值</w:t>
            </w:r>
            <w:r>
              <w:rPr>
                <w:rFonts w:hint="eastAsia" w:ascii="宋体" w:hAnsi="宋体" w:eastAsia="宋体" w:cs="宋体"/>
                <w:color w:val="auto"/>
                <w:sz w:val="21"/>
                <w:szCs w:val="21"/>
              </w:rPr>
              <w:t>”</w:t>
            </w:r>
          </w:p>
        </w:tc>
      </w:tr>
      <w:tr w14:paraId="5352CA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7BAF2AE9">
            <w:pPr>
              <w:bidi w:val="0"/>
              <w:jc w:val="center"/>
              <w:rPr>
                <w:rFonts w:hint="default" w:ascii="Times New Roman" w:hAnsi="Times New Roman" w:eastAsia="宋体" w:cs="Times New Roman"/>
                <w:color w:val="auto"/>
                <w:sz w:val="21"/>
                <w:szCs w:val="21"/>
              </w:rPr>
            </w:pPr>
          </w:p>
        </w:tc>
        <w:tc>
          <w:tcPr>
            <w:tcW w:w="1106" w:type="pct"/>
            <w:vAlign w:val="center"/>
          </w:tcPr>
          <w:p w14:paraId="1BA5A52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日平均</w:t>
            </w:r>
          </w:p>
        </w:tc>
        <w:tc>
          <w:tcPr>
            <w:tcW w:w="1107" w:type="pct"/>
            <w:vAlign w:val="center"/>
          </w:tcPr>
          <w:p w14:paraId="16AE219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8851E35">
            <w:pPr>
              <w:bidi w:val="0"/>
              <w:jc w:val="center"/>
              <w:rPr>
                <w:rFonts w:hint="default" w:ascii="Times New Roman" w:hAnsi="Times New Roman" w:eastAsia="宋体" w:cs="Times New Roman"/>
                <w:color w:val="auto"/>
                <w:sz w:val="21"/>
                <w:szCs w:val="21"/>
              </w:rPr>
            </w:pPr>
          </w:p>
        </w:tc>
      </w:tr>
      <w:tr w14:paraId="4D2BD3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06A7BDFC">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氨</w:t>
            </w:r>
          </w:p>
        </w:tc>
        <w:tc>
          <w:tcPr>
            <w:tcW w:w="1106" w:type="pct"/>
            <w:vAlign w:val="center"/>
          </w:tcPr>
          <w:p w14:paraId="63731AD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 h平均</w:t>
            </w:r>
          </w:p>
        </w:tc>
        <w:tc>
          <w:tcPr>
            <w:tcW w:w="2207" w:type="dxa"/>
            <w:vAlign w:val="center"/>
          </w:tcPr>
          <w:p w14:paraId="4B59DB5F">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100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3D481174">
            <w:pPr>
              <w:bidi w:val="0"/>
              <w:jc w:val="center"/>
              <w:rPr>
                <w:rFonts w:hint="default" w:ascii="Times New Roman" w:hAnsi="Times New Roman" w:eastAsia="宋体" w:cs="Times New Roman"/>
                <w:color w:val="auto"/>
                <w:sz w:val="21"/>
                <w:szCs w:val="21"/>
              </w:rPr>
            </w:pPr>
          </w:p>
        </w:tc>
      </w:tr>
      <w:tr w14:paraId="4F57C5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55D62919">
            <w:pPr>
              <w:bidi w:val="0"/>
              <w:jc w:val="center"/>
              <w:rPr>
                <w:rFonts w:hint="eastAsia" w:cs="Times New Roman"/>
                <w:color w:val="auto"/>
                <w:sz w:val="21"/>
                <w:szCs w:val="21"/>
                <w:lang w:val="en-US" w:eastAsia="zh-CN"/>
              </w:rPr>
            </w:pPr>
          </w:p>
        </w:tc>
        <w:tc>
          <w:tcPr>
            <w:tcW w:w="1106" w:type="pct"/>
            <w:vAlign w:val="center"/>
          </w:tcPr>
          <w:p w14:paraId="5B0F1BB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日平均</w:t>
            </w:r>
          </w:p>
        </w:tc>
        <w:tc>
          <w:tcPr>
            <w:tcW w:w="2207" w:type="dxa"/>
            <w:vAlign w:val="center"/>
          </w:tcPr>
          <w:p w14:paraId="7CB004D6">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30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4B1E0FC1">
            <w:pPr>
              <w:bidi w:val="0"/>
              <w:jc w:val="center"/>
              <w:rPr>
                <w:rFonts w:hint="default" w:ascii="Times New Roman" w:hAnsi="Times New Roman" w:eastAsia="宋体" w:cs="Times New Roman"/>
                <w:color w:val="auto"/>
                <w:sz w:val="21"/>
                <w:szCs w:val="21"/>
              </w:rPr>
            </w:pPr>
          </w:p>
        </w:tc>
      </w:tr>
      <w:tr w14:paraId="1EAEF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19E92C5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二噁英</w:t>
            </w:r>
          </w:p>
        </w:tc>
        <w:tc>
          <w:tcPr>
            <w:tcW w:w="1106" w:type="pct"/>
            <w:vAlign w:val="center"/>
          </w:tcPr>
          <w:p w14:paraId="7612248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7CC3531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0.6TEQpg/Nm</w:t>
            </w:r>
            <w:r>
              <w:rPr>
                <w:rFonts w:hint="default" w:ascii="Times New Roman" w:hAnsi="Times New Roman" w:eastAsia="宋体" w:cs="Times New Roman"/>
                <w:color w:val="auto"/>
                <w:sz w:val="21"/>
                <w:szCs w:val="21"/>
                <w:vertAlign w:val="superscript"/>
              </w:rPr>
              <w:t>3</w:t>
            </w:r>
          </w:p>
        </w:tc>
        <w:tc>
          <w:tcPr>
            <w:tcW w:w="1678" w:type="pct"/>
            <w:vAlign w:val="center"/>
          </w:tcPr>
          <w:p w14:paraId="49A7295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参照日本环境厅中央环境审议会制定的环境标准</w:t>
            </w:r>
          </w:p>
        </w:tc>
      </w:tr>
    </w:tbl>
    <w:p w14:paraId="1DD076AD">
      <w:pPr>
        <w:adjustRightInd w:val="0"/>
        <w:snapToGrid w:val="0"/>
        <w:spacing w:before="152" w:beforeLines="50" w:line="360" w:lineRule="auto"/>
        <w:ind w:firstLine="480" w:firstLineChars="200"/>
        <w:rPr>
          <w:color w:val="auto"/>
          <w:sz w:val="24"/>
          <w:szCs w:val="32"/>
        </w:rPr>
      </w:pPr>
      <w:r>
        <w:rPr>
          <w:color w:val="auto"/>
          <w:sz w:val="24"/>
          <w:szCs w:val="32"/>
        </w:rPr>
        <w:t>2、地表水环境质量评价标准</w:t>
      </w:r>
      <w:bookmarkEnd w:id="94"/>
      <w:bookmarkEnd w:id="95"/>
      <w:bookmarkEnd w:id="96"/>
      <w:bookmarkEnd w:id="97"/>
    </w:p>
    <w:p w14:paraId="616591E1">
      <w:pPr>
        <w:adjustRightInd w:val="0"/>
        <w:snapToGrid w:val="0"/>
        <w:spacing w:line="360" w:lineRule="auto"/>
        <w:ind w:firstLine="482" w:firstLineChars="200"/>
        <w:rPr>
          <w:color w:val="auto"/>
          <w:sz w:val="24"/>
          <w:szCs w:val="32"/>
        </w:rPr>
      </w:pPr>
      <w:r>
        <w:rPr>
          <w:rFonts w:hint="default" w:ascii="Times New Roman" w:hAnsi="Times New Roman" w:cs="Times New Roman"/>
          <w:b/>
          <w:bCs/>
          <w:color w:val="auto"/>
          <w:sz w:val="24"/>
        </w:rPr>
        <w:t>原环评评价阶段：</w:t>
      </w:r>
      <w:r>
        <w:rPr>
          <w:rFonts w:hint="default" w:ascii="Times New Roman" w:hAnsi="Times New Roman" w:cs="Times New Roman"/>
          <w:color w:val="auto"/>
          <w:sz w:val="24"/>
        </w:rPr>
        <w:t>项目所在区域的地表水体</w:t>
      </w:r>
      <w:r>
        <w:rPr>
          <w:rFonts w:hint="default" w:ascii="Times New Roman" w:hAnsi="Times New Roman" w:cs="Times New Roman"/>
          <w:bCs/>
          <w:color w:val="auto"/>
          <w:sz w:val="24"/>
        </w:rPr>
        <w:t>王引河执行《地表水环境质量标准》（GB3838-2002）中的Ⅳ类标准。巴河执行《地表水环境质量标准》（GB3838-2002）中Ⅴ类水体标准</w:t>
      </w:r>
      <w:r>
        <w:rPr>
          <w:rFonts w:hint="default" w:ascii="Times New Roman" w:hAnsi="Times New Roman" w:cs="Times New Roman"/>
          <w:color w:val="auto"/>
          <w:sz w:val="24"/>
          <w:szCs w:val="32"/>
        </w:rPr>
        <w:t>，具体限值详见下表：</w:t>
      </w:r>
    </w:p>
    <w:p w14:paraId="109A4613">
      <w:pPr>
        <w:adjustRightInd w:val="0"/>
        <w:snapToGrid w:val="0"/>
        <w:spacing w:line="360" w:lineRule="auto"/>
        <w:jc w:val="center"/>
        <w:rPr>
          <w:b/>
          <w:bCs/>
          <w:color w:val="auto"/>
          <w:sz w:val="24"/>
          <w:szCs w:val="32"/>
        </w:rPr>
      </w:pPr>
      <w:r>
        <w:rPr>
          <w:b/>
          <w:bCs/>
          <w:color w:val="auto"/>
          <w:sz w:val="24"/>
          <w:szCs w:val="32"/>
        </w:rPr>
        <w:t xml:space="preserve">表1-3 </w:t>
      </w:r>
      <w:r>
        <w:rPr>
          <w:rFonts w:hint="default"/>
          <w:b/>
          <w:bCs/>
          <w:color w:val="auto"/>
          <w:sz w:val="24"/>
          <w:szCs w:val="32"/>
        </w:rPr>
        <w:t>原环评评价阶段</w:t>
      </w:r>
      <w:r>
        <w:rPr>
          <w:b/>
          <w:bCs/>
          <w:color w:val="auto"/>
          <w:sz w:val="24"/>
          <w:szCs w:val="32"/>
        </w:rPr>
        <w:t xml:space="preserve">地表水环境质量标准一览表 </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799"/>
        <w:gridCol w:w="1826"/>
        <w:gridCol w:w="1260"/>
        <w:gridCol w:w="3089"/>
        <w:gridCol w:w="2988"/>
      </w:tblGrid>
      <w:tr w14:paraId="095801E1">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401" w:type="pct"/>
            <w:tcBorders>
              <w:tl2br w:val="nil"/>
              <w:tr2bl w:val="nil"/>
            </w:tcBorders>
            <w:shd w:val="clear" w:color="auto" w:fill="auto"/>
            <w:noWrap w:val="0"/>
            <w:vAlign w:val="center"/>
          </w:tcPr>
          <w:p w14:paraId="1266FAB4">
            <w:pPr>
              <w:spacing w:before="31" w:beforeLines="10" w:line="264" w:lineRule="auto"/>
              <w:jc w:val="center"/>
              <w:rPr>
                <w:b/>
                <w:color w:val="auto"/>
              </w:rPr>
            </w:pPr>
            <w:r>
              <w:rPr>
                <w:b/>
                <w:color w:val="auto"/>
              </w:rPr>
              <w:t>序号</w:t>
            </w:r>
          </w:p>
        </w:tc>
        <w:tc>
          <w:tcPr>
            <w:tcW w:w="916" w:type="pct"/>
            <w:tcBorders>
              <w:tl2br w:val="nil"/>
              <w:tr2bl w:val="nil"/>
            </w:tcBorders>
            <w:shd w:val="clear" w:color="auto" w:fill="auto"/>
            <w:noWrap w:val="0"/>
            <w:vAlign w:val="center"/>
          </w:tcPr>
          <w:p w14:paraId="0ABE254F">
            <w:pPr>
              <w:spacing w:before="31" w:beforeLines="10" w:line="264" w:lineRule="auto"/>
              <w:jc w:val="center"/>
              <w:rPr>
                <w:b/>
                <w:color w:val="auto"/>
              </w:rPr>
            </w:pPr>
            <w:r>
              <w:rPr>
                <w:b/>
                <w:color w:val="auto"/>
              </w:rPr>
              <w:t>污染物</w:t>
            </w:r>
          </w:p>
        </w:tc>
        <w:tc>
          <w:tcPr>
            <w:tcW w:w="632" w:type="pct"/>
            <w:tcBorders>
              <w:tl2br w:val="nil"/>
              <w:tr2bl w:val="nil"/>
            </w:tcBorders>
            <w:shd w:val="clear" w:color="auto" w:fill="auto"/>
            <w:noWrap w:val="0"/>
            <w:vAlign w:val="center"/>
          </w:tcPr>
          <w:p w14:paraId="3036AC4C">
            <w:pPr>
              <w:spacing w:before="31" w:beforeLines="10" w:line="264" w:lineRule="auto"/>
              <w:jc w:val="center"/>
              <w:rPr>
                <w:b/>
                <w:color w:val="auto"/>
              </w:rPr>
            </w:pPr>
            <w:r>
              <w:rPr>
                <w:b/>
                <w:color w:val="auto"/>
              </w:rPr>
              <w:t>单位</w:t>
            </w:r>
          </w:p>
        </w:tc>
        <w:tc>
          <w:tcPr>
            <w:tcW w:w="1550" w:type="pct"/>
            <w:tcBorders>
              <w:tl2br w:val="nil"/>
              <w:tr2bl w:val="nil"/>
            </w:tcBorders>
            <w:shd w:val="clear" w:color="auto" w:fill="auto"/>
            <w:noWrap w:val="0"/>
            <w:vAlign w:val="center"/>
          </w:tcPr>
          <w:p w14:paraId="6D08FCB3">
            <w:pPr>
              <w:spacing w:before="31" w:beforeLines="10" w:line="264" w:lineRule="auto"/>
              <w:jc w:val="center"/>
              <w:rPr>
                <w:b/>
                <w:color w:val="auto"/>
              </w:rPr>
            </w:pPr>
            <w:r>
              <w:rPr>
                <w:b/>
                <w:color w:val="auto"/>
              </w:rPr>
              <w:t>GB3838-2002中</w:t>
            </w:r>
            <w:r>
              <w:rPr>
                <w:rFonts w:hint="eastAsia" w:ascii="宋体" w:hAnsi="宋体" w:cs="宋体"/>
                <w:b/>
                <w:color w:val="auto"/>
              </w:rPr>
              <w:t>Ⅳ</w:t>
            </w:r>
            <w:r>
              <w:rPr>
                <w:b/>
                <w:color w:val="auto"/>
              </w:rPr>
              <w:t>类标准值</w:t>
            </w:r>
          </w:p>
        </w:tc>
        <w:tc>
          <w:tcPr>
            <w:tcW w:w="1498" w:type="pct"/>
            <w:tcBorders>
              <w:tl2br w:val="nil"/>
              <w:tr2bl w:val="nil"/>
            </w:tcBorders>
            <w:shd w:val="clear" w:color="auto" w:fill="auto"/>
            <w:noWrap w:val="0"/>
            <w:vAlign w:val="center"/>
          </w:tcPr>
          <w:p w14:paraId="71790258">
            <w:pPr>
              <w:spacing w:before="31" w:beforeLines="10" w:line="264" w:lineRule="auto"/>
              <w:jc w:val="center"/>
              <w:rPr>
                <w:b/>
                <w:color w:val="auto"/>
              </w:rPr>
            </w:pPr>
            <w:r>
              <w:rPr>
                <w:b/>
                <w:color w:val="auto"/>
              </w:rPr>
              <w:t>GB3838-2002中</w:t>
            </w:r>
            <w:r>
              <w:rPr>
                <w:rFonts w:hint="eastAsia" w:ascii="宋体" w:hAnsi="宋体" w:cs="宋体"/>
                <w:b/>
                <w:color w:val="auto"/>
              </w:rPr>
              <w:t>Ⅴ</w:t>
            </w:r>
            <w:r>
              <w:rPr>
                <w:b/>
                <w:color w:val="auto"/>
              </w:rPr>
              <w:t>类标准值</w:t>
            </w:r>
          </w:p>
        </w:tc>
      </w:tr>
      <w:tr w14:paraId="533B278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01" w:hRule="atLeast"/>
        </w:trPr>
        <w:tc>
          <w:tcPr>
            <w:tcW w:w="401" w:type="pct"/>
            <w:tcBorders>
              <w:tl2br w:val="nil"/>
              <w:tr2bl w:val="nil"/>
            </w:tcBorders>
            <w:shd w:val="clear" w:color="auto" w:fill="auto"/>
            <w:noWrap w:val="0"/>
            <w:vAlign w:val="center"/>
          </w:tcPr>
          <w:p w14:paraId="207AC082">
            <w:pPr>
              <w:spacing w:before="31" w:beforeLines="10" w:line="264" w:lineRule="auto"/>
              <w:jc w:val="center"/>
              <w:rPr>
                <w:color w:val="auto"/>
              </w:rPr>
            </w:pPr>
            <w:bookmarkStart w:id="98" w:name="OLE_LINK4" w:colFirst="3" w:colLast="67"/>
            <w:r>
              <w:rPr>
                <w:color w:val="auto"/>
              </w:rPr>
              <w:t>1</w:t>
            </w:r>
          </w:p>
        </w:tc>
        <w:tc>
          <w:tcPr>
            <w:tcW w:w="916" w:type="pct"/>
            <w:tcBorders>
              <w:tl2br w:val="nil"/>
              <w:tr2bl w:val="nil"/>
            </w:tcBorders>
            <w:shd w:val="clear" w:color="auto" w:fill="auto"/>
            <w:noWrap w:val="0"/>
            <w:vAlign w:val="center"/>
          </w:tcPr>
          <w:p w14:paraId="72AE2E9D">
            <w:pPr>
              <w:spacing w:before="31" w:beforeLines="10" w:line="264" w:lineRule="auto"/>
              <w:jc w:val="center"/>
              <w:rPr>
                <w:color w:val="auto"/>
              </w:rPr>
            </w:pPr>
            <w:r>
              <w:rPr>
                <w:color w:val="auto"/>
              </w:rPr>
              <w:t>pH</w:t>
            </w:r>
          </w:p>
        </w:tc>
        <w:tc>
          <w:tcPr>
            <w:tcW w:w="632" w:type="pct"/>
            <w:tcBorders>
              <w:tl2br w:val="nil"/>
              <w:tr2bl w:val="nil"/>
            </w:tcBorders>
            <w:shd w:val="clear" w:color="auto" w:fill="auto"/>
            <w:noWrap w:val="0"/>
            <w:vAlign w:val="center"/>
          </w:tcPr>
          <w:p w14:paraId="6996358C">
            <w:pPr>
              <w:spacing w:before="31" w:beforeLines="10" w:line="264" w:lineRule="auto"/>
              <w:jc w:val="center"/>
              <w:rPr>
                <w:color w:val="auto"/>
              </w:rPr>
            </w:pPr>
            <w:r>
              <w:rPr>
                <w:color w:val="auto"/>
              </w:rPr>
              <w:t>无纲量</w:t>
            </w:r>
          </w:p>
        </w:tc>
        <w:tc>
          <w:tcPr>
            <w:tcW w:w="3049" w:type="pct"/>
            <w:gridSpan w:val="2"/>
            <w:tcBorders>
              <w:tl2br w:val="nil"/>
              <w:tr2bl w:val="nil"/>
            </w:tcBorders>
            <w:shd w:val="clear" w:color="auto" w:fill="auto"/>
            <w:noWrap w:val="0"/>
            <w:vAlign w:val="center"/>
          </w:tcPr>
          <w:p w14:paraId="40DF1EEC">
            <w:pPr>
              <w:spacing w:before="31" w:beforeLines="10" w:line="264" w:lineRule="auto"/>
              <w:jc w:val="center"/>
              <w:rPr>
                <w:color w:val="auto"/>
              </w:rPr>
            </w:pPr>
            <w:r>
              <w:rPr>
                <w:color w:val="auto"/>
              </w:rPr>
              <w:t>6～9</w:t>
            </w:r>
          </w:p>
        </w:tc>
      </w:tr>
      <w:bookmarkEnd w:id="98"/>
      <w:tr w14:paraId="51E7A09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01" w:hRule="atLeast"/>
        </w:trPr>
        <w:tc>
          <w:tcPr>
            <w:tcW w:w="401" w:type="pct"/>
            <w:tcBorders>
              <w:tl2br w:val="nil"/>
              <w:tr2bl w:val="nil"/>
            </w:tcBorders>
            <w:shd w:val="clear" w:color="auto" w:fill="auto"/>
            <w:noWrap w:val="0"/>
            <w:vAlign w:val="center"/>
          </w:tcPr>
          <w:p w14:paraId="2C275533">
            <w:pPr>
              <w:spacing w:before="31" w:beforeLines="10" w:line="264" w:lineRule="auto"/>
              <w:jc w:val="center"/>
              <w:rPr>
                <w:color w:val="auto"/>
              </w:rPr>
            </w:pPr>
            <w:r>
              <w:rPr>
                <w:color w:val="auto"/>
              </w:rPr>
              <w:t>2</w:t>
            </w:r>
          </w:p>
        </w:tc>
        <w:tc>
          <w:tcPr>
            <w:tcW w:w="916" w:type="pct"/>
            <w:tcBorders>
              <w:tl2br w:val="nil"/>
              <w:tr2bl w:val="nil"/>
            </w:tcBorders>
            <w:shd w:val="clear" w:color="auto" w:fill="auto"/>
            <w:noWrap w:val="0"/>
            <w:vAlign w:val="center"/>
          </w:tcPr>
          <w:p w14:paraId="12C7993D">
            <w:pPr>
              <w:spacing w:before="31" w:beforeLines="10" w:line="264" w:lineRule="auto"/>
              <w:jc w:val="center"/>
              <w:rPr>
                <w:color w:val="auto"/>
              </w:rPr>
            </w:pPr>
            <w:r>
              <w:rPr>
                <w:color w:val="auto"/>
              </w:rPr>
              <w:t>溶解氧</w:t>
            </w:r>
          </w:p>
        </w:tc>
        <w:tc>
          <w:tcPr>
            <w:tcW w:w="632" w:type="pct"/>
            <w:tcBorders>
              <w:tl2br w:val="nil"/>
              <w:tr2bl w:val="nil"/>
            </w:tcBorders>
            <w:shd w:val="clear" w:color="auto" w:fill="auto"/>
            <w:noWrap w:val="0"/>
            <w:vAlign w:val="center"/>
          </w:tcPr>
          <w:p w14:paraId="4332EC5A">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50D2B77E">
            <w:pPr>
              <w:spacing w:before="31" w:beforeLines="10" w:line="264" w:lineRule="auto"/>
              <w:jc w:val="center"/>
              <w:rPr>
                <w:color w:val="auto"/>
              </w:rPr>
            </w:pPr>
            <w:r>
              <w:rPr>
                <w:color w:val="auto"/>
              </w:rPr>
              <w:t>≥3.0</w:t>
            </w:r>
          </w:p>
        </w:tc>
        <w:tc>
          <w:tcPr>
            <w:tcW w:w="1498" w:type="pct"/>
            <w:tcBorders>
              <w:tl2br w:val="nil"/>
              <w:tr2bl w:val="nil"/>
            </w:tcBorders>
            <w:shd w:val="clear" w:color="auto" w:fill="auto"/>
            <w:noWrap w:val="0"/>
            <w:vAlign w:val="center"/>
          </w:tcPr>
          <w:p w14:paraId="7A398AB4">
            <w:pPr>
              <w:spacing w:before="31" w:beforeLines="10" w:line="264" w:lineRule="auto"/>
              <w:jc w:val="center"/>
              <w:rPr>
                <w:color w:val="auto"/>
              </w:rPr>
            </w:pPr>
            <w:r>
              <w:rPr>
                <w:color w:val="auto"/>
              </w:rPr>
              <w:t>≥2.0</w:t>
            </w:r>
          </w:p>
        </w:tc>
      </w:tr>
      <w:tr w14:paraId="335C3BB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121568B4">
            <w:pPr>
              <w:spacing w:before="31" w:beforeLines="10" w:line="264" w:lineRule="auto"/>
              <w:jc w:val="center"/>
              <w:rPr>
                <w:color w:val="auto"/>
              </w:rPr>
            </w:pPr>
            <w:r>
              <w:rPr>
                <w:color w:val="auto"/>
              </w:rPr>
              <w:t>3</w:t>
            </w:r>
          </w:p>
        </w:tc>
        <w:tc>
          <w:tcPr>
            <w:tcW w:w="916" w:type="pct"/>
            <w:tcBorders>
              <w:tl2br w:val="nil"/>
              <w:tr2bl w:val="nil"/>
            </w:tcBorders>
            <w:shd w:val="clear" w:color="auto" w:fill="auto"/>
            <w:noWrap w:val="0"/>
            <w:vAlign w:val="center"/>
          </w:tcPr>
          <w:p w14:paraId="1C40B1BE">
            <w:pPr>
              <w:spacing w:before="31" w:beforeLines="10" w:line="264" w:lineRule="auto"/>
              <w:jc w:val="center"/>
              <w:rPr>
                <w:color w:val="auto"/>
              </w:rPr>
            </w:pPr>
            <w:r>
              <w:rPr>
                <w:color w:val="auto"/>
              </w:rPr>
              <w:t>COD</w:t>
            </w:r>
          </w:p>
        </w:tc>
        <w:tc>
          <w:tcPr>
            <w:tcW w:w="632" w:type="pct"/>
            <w:tcBorders>
              <w:tl2br w:val="nil"/>
              <w:tr2bl w:val="nil"/>
            </w:tcBorders>
            <w:shd w:val="clear" w:color="auto" w:fill="auto"/>
            <w:noWrap w:val="0"/>
            <w:vAlign w:val="center"/>
          </w:tcPr>
          <w:p w14:paraId="3F9C726A">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515BC2E3">
            <w:pPr>
              <w:spacing w:before="31" w:beforeLines="10" w:line="264" w:lineRule="auto"/>
              <w:jc w:val="center"/>
              <w:rPr>
                <w:color w:val="auto"/>
              </w:rPr>
            </w:pPr>
            <w:r>
              <w:rPr>
                <w:color w:val="auto"/>
              </w:rPr>
              <w:t>≤30</w:t>
            </w:r>
          </w:p>
        </w:tc>
        <w:tc>
          <w:tcPr>
            <w:tcW w:w="1498" w:type="pct"/>
            <w:tcBorders>
              <w:tl2br w:val="nil"/>
              <w:tr2bl w:val="nil"/>
            </w:tcBorders>
            <w:shd w:val="clear" w:color="auto" w:fill="auto"/>
            <w:noWrap w:val="0"/>
            <w:vAlign w:val="center"/>
          </w:tcPr>
          <w:p w14:paraId="3724C3F4">
            <w:pPr>
              <w:spacing w:before="31" w:beforeLines="10" w:line="264" w:lineRule="auto"/>
              <w:jc w:val="center"/>
              <w:rPr>
                <w:color w:val="auto"/>
              </w:rPr>
            </w:pPr>
            <w:r>
              <w:rPr>
                <w:color w:val="auto"/>
              </w:rPr>
              <w:t>≤40</w:t>
            </w:r>
          </w:p>
        </w:tc>
      </w:tr>
      <w:tr w14:paraId="799E85B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69D27DB3">
            <w:pPr>
              <w:spacing w:before="31" w:beforeLines="10" w:line="264" w:lineRule="auto"/>
              <w:jc w:val="center"/>
              <w:rPr>
                <w:color w:val="auto"/>
              </w:rPr>
            </w:pPr>
            <w:r>
              <w:rPr>
                <w:color w:val="auto"/>
              </w:rPr>
              <w:t>4</w:t>
            </w:r>
          </w:p>
        </w:tc>
        <w:tc>
          <w:tcPr>
            <w:tcW w:w="916" w:type="pct"/>
            <w:tcBorders>
              <w:tl2br w:val="nil"/>
              <w:tr2bl w:val="nil"/>
            </w:tcBorders>
            <w:shd w:val="clear" w:color="auto" w:fill="auto"/>
            <w:noWrap w:val="0"/>
            <w:vAlign w:val="center"/>
          </w:tcPr>
          <w:p w14:paraId="5BA9DC07">
            <w:pPr>
              <w:spacing w:before="31" w:beforeLines="10" w:line="264" w:lineRule="auto"/>
              <w:jc w:val="center"/>
              <w:rPr>
                <w:color w:val="auto"/>
              </w:rPr>
            </w:pPr>
            <w:r>
              <w:rPr>
                <w:color w:val="auto"/>
              </w:rPr>
              <w:t>BOD</w:t>
            </w:r>
            <w:r>
              <w:rPr>
                <w:color w:val="auto"/>
                <w:vertAlign w:val="subscript"/>
              </w:rPr>
              <w:t>5</w:t>
            </w:r>
          </w:p>
        </w:tc>
        <w:tc>
          <w:tcPr>
            <w:tcW w:w="632" w:type="pct"/>
            <w:tcBorders>
              <w:tl2br w:val="nil"/>
              <w:tr2bl w:val="nil"/>
            </w:tcBorders>
            <w:shd w:val="clear" w:color="auto" w:fill="auto"/>
            <w:noWrap w:val="0"/>
            <w:vAlign w:val="center"/>
          </w:tcPr>
          <w:p w14:paraId="34FBC1CB">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77A4AAC8">
            <w:pPr>
              <w:spacing w:before="31" w:beforeLines="10" w:line="264" w:lineRule="auto"/>
              <w:jc w:val="center"/>
              <w:rPr>
                <w:color w:val="auto"/>
              </w:rPr>
            </w:pPr>
            <w:r>
              <w:rPr>
                <w:color w:val="auto"/>
              </w:rPr>
              <w:t>≤6</w:t>
            </w:r>
          </w:p>
        </w:tc>
        <w:tc>
          <w:tcPr>
            <w:tcW w:w="1498" w:type="pct"/>
            <w:tcBorders>
              <w:tl2br w:val="nil"/>
              <w:tr2bl w:val="nil"/>
            </w:tcBorders>
            <w:shd w:val="clear" w:color="auto" w:fill="auto"/>
            <w:noWrap w:val="0"/>
            <w:vAlign w:val="center"/>
          </w:tcPr>
          <w:p w14:paraId="64C85EC4">
            <w:pPr>
              <w:spacing w:before="31" w:beforeLines="10" w:line="264" w:lineRule="auto"/>
              <w:jc w:val="center"/>
              <w:rPr>
                <w:color w:val="auto"/>
              </w:rPr>
            </w:pPr>
            <w:r>
              <w:rPr>
                <w:color w:val="auto"/>
              </w:rPr>
              <w:t>≤10</w:t>
            </w:r>
          </w:p>
        </w:tc>
      </w:tr>
      <w:tr w14:paraId="5D56158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646FE1B4">
            <w:pPr>
              <w:spacing w:before="31" w:beforeLines="10" w:line="264" w:lineRule="auto"/>
              <w:jc w:val="center"/>
              <w:rPr>
                <w:color w:val="auto"/>
              </w:rPr>
            </w:pPr>
            <w:r>
              <w:rPr>
                <w:color w:val="auto"/>
              </w:rPr>
              <w:t>5</w:t>
            </w:r>
          </w:p>
        </w:tc>
        <w:tc>
          <w:tcPr>
            <w:tcW w:w="916" w:type="pct"/>
            <w:tcBorders>
              <w:tl2br w:val="nil"/>
              <w:tr2bl w:val="nil"/>
            </w:tcBorders>
            <w:shd w:val="clear" w:color="auto" w:fill="auto"/>
            <w:noWrap w:val="0"/>
            <w:vAlign w:val="center"/>
          </w:tcPr>
          <w:p w14:paraId="3542D45F">
            <w:pPr>
              <w:spacing w:before="31" w:beforeLines="10" w:line="264" w:lineRule="auto"/>
              <w:jc w:val="center"/>
              <w:rPr>
                <w:color w:val="auto"/>
              </w:rPr>
            </w:pPr>
            <w:r>
              <w:rPr>
                <w:color w:val="auto"/>
              </w:rPr>
              <w:t>氨氮</w:t>
            </w:r>
          </w:p>
        </w:tc>
        <w:tc>
          <w:tcPr>
            <w:tcW w:w="632" w:type="pct"/>
            <w:tcBorders>
              <w:tl2br w:val="nil"/>
              <w:tr2bl w:val="nil"/>
            </w:tcBorders>
            <w:shd w:val="clear" w:color="auto" w:fill="auto"/>
            <w:noWrap w:val="0"/>
            <w:vAlign w:val="center"/>
          </w:tcPr>
          <w:p w14:paraId="4904BB79">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34E68224">
            <w:pPr>
              <w:spacing w:before="31" w:beforeLines="10" w:line="264" w:lineRule="auto"/>
              <w:jc w:val="center"/>
              <w:rPr>
                <w:color w:val="auto"/>
              </w:rPr>
            </w:pPr>
            <w:r>
              <w:rPr>
                <w:color w:val="auto"/>
              </w:rPr>
              <w:t>≤1.5</w:t>
            </w:r>
          </w:p>
        </w:tc>
        <w:tc>
          <w:tcPr>
            <w:tcW w:w="1498" w:type="pct"/>
            <w:tcBorders>
              <w:tl2br w:val="nil"/>
              <w:tr2bl w:val="nil"/>
            </w:tcBorders>
            <w:shd w:val="clear" w:color="auto" w:fill="auto"/>
            <w:noWrap w:val="0"/>
            <w:vAlign w:val="center"/>
          </w:tcPr>
          <w:p w14:paraId="1F1706B0">
            <w:pPr>
              <w:spacing w:before="31" w:beforeLines="10" w:line="264" w:lineRule="auto"/>
              <w:jc w:val="center"/>
              <w:rPr>
                <w:color w:val="auto"/>
              </w:rPr>
            </w:pPr>
            <w:r>
              <w:rPr>
                <w:color w:val="auto"/>
              </w:rPr>
              <w:t>≤2.0</w:t>
            </w:r>
          </w:p>
        </w:tc>
      </w:tr>
      <w:tr w14:paraId="107A54DE">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194D230A">
            <w:pPr>
              <w:spacing w:before="31" w:beforeLines="10" w:line="264" w:lineRule="auto"/>
              <w:jc w:val="center"/>
              <w:rPr>
                <w:color w:val="auto"/>
              </w:rPr>
            </w:pPr>
            <w:r>
              <w:rPr>
                <w:color w:val="auto"/>
              </w:rPr>
              <w:t>6</w:t>
            </w:r>
          </w:p>
        </w:tc>
        <w:tc>
          <w:tcPr>
            <w:tcW w:w="916" w:type="pct"/>
            <w:tcBorders>
              <w:tl2br w:val="nil"/>
              <w:tr2bl w:val="nil"/>
            </w:tcBorders>
            <w:shd w:val="clear" w:color="auto" w:fill="auto"/>
            <w:noWrap w:val="0"/>
            <w:vAlign w:val="center"/>
          </w:tcPr>
          <w:p w14:paraId="76A5A1B3">
            <w:pPr>
              <w:spacing w:before="31" w:beforeLines="10" w:line="264" w:lineRule="auto"/>
              <w:jc w:val="center"/>
              <w:rPr>
                <w:color w:val="auto"/>
              </w:rPr>
            </w:pPr>
            <w:r>
              <w:rPr>
                <w:color w:val="auto"/>
              </w:rPr>
              <w:t>总磷</w:t>
            </w:r>
          </w:p>
        </w:tc>
        <w:tc>
          <w:tcPr>
            <w:tcW w:w="632" w:type="pct"/>
            <w:tcBorders>
              <w:tl2br w:val="nil"/>
              <w:tr2bl w:val="nil"/>
            </w:tcBorders>
            <w:shd w:val="clear" w:color="auto" w:fill="auto"/>
            <w:noWrap w:val="0"/>
            <w:vAlign w:val="center"/>
          </w:tcPr>
          <w:p w14:paraId="7CBBCFC6">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3ABA9E96">
            <w:pPr>
              <w:spacing w:before="31" w:beforeLines="10" w:line="264" w:lineRule="auto"/>
              <w:jc w:val="center"/>
              <w:rPr>
                <w:color w:val="auto"/>
              </w:rPr>
            </w:pPr>
            <w:r>
              <w:rPr>
                <w:color w:val="auto"/>
              </w:rPr>
              <w:t>≤0.3</w:t>
            </w:r>
          </w:p>
        </w:tc>
        <w:tc>
          <w:tcPr>
            <w:tcW w:w="1498" w:type="pct"/>
            <w:tcBorders>
              <w:tl2br w:val="nil"/>
              <w:tr2bl w:val="nil"/>
            </w:tcBorders>
            <w:shd w:val="clear" w:color="auto" w:fill="auto"/>
            <w:noWrap w:val="0"/>
            <w:vAlign w:val="center"/>
          </w:tcPr>
          <w:p w14:paraId="3A5773B3">
            <w:pPr>
              <w:spacing w:before="31" w:beforeLines="10" w:line="264" w:lineRule="auto"/>
              <w:jc w:val="center"/>
              <w:rPr>
                <w:color w:val="auto"/>
              </w:rPr>
            </w:pPr>
            <w:r>
              <w:rPr>
                <w:color w:val="auto"/>
              </w:rPr>
              <w:t>≤0.4</w:t>
            </w:r>
          </w:p>
        </w:tc>
      </w:tr>
    </w:tbl>
    <w:p w14:paraId="336F27CB">
      <w:pPr>
        <w:adjustRightInd w:val="0"/>
        <w:snapToGrid w:val="0"/>
        <w:spacing w:before="152" w:beforeLines="50" w:line="360" w:lineRule="auto"/>
        <w:ind w:firstLine="482" w:firstLineChars="200"/>
        <w:rPr>
          <w:color w:val="auto"/>
          <w:sz w:val="24"/>
          <w:szCs w:val="32"/>
        </w:rPr>
      </w:pPr>
      <w:r>
        <w:rPr>
          <w:b/>
          <w:bCs/>
          <w:color w:val="auto"/>
          <w:sz w:val="24"/>
        </w:rPr>
        <w:t>后评价阶段：</w:t>
      </w:r>
      <w:r>
        <w:rPr>
          <w:color w:val="auto"/>
          <w:sz w:val="24"/>
          <w:szCs w:val="32"/>
        </w:rPr>
        <w:t>地表水体</w:t>
      </w:r>
      <w:r>
        <w:rPr>
          <w:rFonts w:hint="default" w:ascii="Times New Roman" w:hAnsi="Times New Roman" w:eastAsia="宋体" w:cs="Times New Roman"/>
          <w:b w:val="0"/>
          <w:bCs w:val="0"/>
          <w:color w:val="auto"/>
          <w:sz w:val="24"/>
          <w:szCs w:val="24"/>
          <w:lang w:val="en-US" w:eastAsia="zh-CN"/>
        </w:rPr>
        <w:t>王引河执行《地表水环境质量标准》</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GB 3838-2002</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中的Ш类标准，巴河执行《地表水环境质量标准》</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GB3838-2002</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中的Ⅳ类标准</w:t>
      </w:r>
      <w:r>
        <w:rPr>
          <w:color w:val="auto"/>
          <w:sz w:val="24"/>
          <w:szCs w:val="32"/>
        </w:rPr>
        <w:t>，具体限值详见下表：</w:t>
      </w:r>
    </w:p>
    <w:p w14:paraId="634AD3CF">
      <w:pPr>
        <w:adjustRightInd w:val="0"/>
        <w:snapToGrid w:val="0"/>
        <w:spacing w:line="360" w:lineRule="auto"/>
        <w:jc w:val="center"/>
        <w:rPr>
          <w:b/>
          <w:bCs/>
          <w:color w:val="auto"/>
          <w:sz w:val="24"/>
          <w:szCs w:val="32"/>
        </w:rPr>
      </w:pPr>
    </w:p>
    <w:p w14:paraId="4A565696">
      <w:pPr>
        <w:adjustRightInd w:val="0"/>
        <w:snapToGrid w:val="0"/>
        <w:spacing w:line="360" w:lineRule="auto"/>
        <w:jc w:val="center"/>
        <w:rPr>
          <w:b/>
          <w:bCs/>
          <w:color w:val="auto"/>
          <w:sz w:val="24"/>
          <w:szCs w:val="32"/>
        </w:rPr>
      </w:pPr>
      <w:r>
        <w:rPr>
          <w:b/>
          <w:bCs/>
          <w:color w:val="auto"/>
          <w:sz w:val="24"/>
          <w:szCs w:val="32"/>
        </w:rPr>
        <w:t xml:space="preserve">表1-4 </w:t>
      </w:r>
      <w:r>
        <w:rPr>
          <w:b/>
          <w:bCs/>
          <w:color w:val="auto"/>
          <w:sz w:val="24"/>
        </w:rPr>
        <w:t>后评价阶段</w:t>
      </w:r>
      <w:r>
        <w:rPr>
          <w:b/>
          <w:bCs/>
          <w:color w:val="auto"/>
          <w:sz w:val="24"/>
          <w:szCs w:val="32"/>
        </w:rPr>
        <w:t>地表水环境质量标准</w:t>
      </w:r>
    </w:p>
    <w:tbl>
      <w:tblPr>
        <w:tblStyle w:val="31"/>
        <w:tblW w:w="4994"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638"/>
        <w:gridCol w:w="1027"/>
        <w:gridCol w:w="986"/>
        <w:gridCol w:w="2248"/>
        <w:gridCol w:w="2248"/>
        <w:gridCol w:w="2804"/>
      </w:tblGrid>
      <w:tr w14:paraId="0B3E556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blHeader/>
        </w:trPr>
        <w:tc>
          <w:tcPr>
            <w:tcW w:w="320" w:type="pct"/>
            <w:tcBorders>
              <w:tl2br w:val="nil"/>
              <w:tr2bl w:val="nil"/>
            </w:tcBorders>
            <w:noWrap/>
            <w:vAlign w:val="center"/>
          </w:tcPr>
          <w:p w14:paraId="430967E7">
            <w:pPr>
              <w:jc w:val="center"/>
              <w:rPr>
                <w:rFonts w:hint="eastAsia" w:ascii="Times New Roman" w:hAnsi="Times New Roman" w:eastAsia="宋体" w:cs="Times New Roman"/>
                <w:b/>
                <w:bCs/>
                <w:color w:val="auto"/>
                <w:sz w:val="21"/>
                <w:szCs w:val="21"/>
                <w:lang w:val="en-US" w:eastAsia="zh-CN"/>
              </w:rPr>
            </w:pPr>
            <w:bookmarkStart w:id="99" w:name="_Toc5826"/>
            <w:bookmarkStart w:id="100" w:name="_Toc24269"/>
            <w:bookmarkStart w:id="101" w:name="_Toc9078"/>
            <w:bookmarkStart w:id="102" w:name="_Toc7525"/>
            <w:r>
              <w:rPr>
                <w:rFonts w:hint="eastAsia" w:cs="Times New Roman"/>
                <w:b/>
                <w:bCs/>
                <w:color w:val="auto"/>
                <w:sz w:val="21"/>
                <w:szCs w:val="21"/>
                <w:lang w:val="en-US" w:eastAsia="zh-CN"/>
              </w:rPr>
              <w:t>序号</w:t>
            </w:r>
          </w:p>
        </w:tc>
        <w:tc>
          <w:tcPr>
            <w:tcW w:w="516" w:type="pct"/>
            <w:tcBorders>
              <w:tl2br w:val="nil"/>
              <w:tr2bl w:val="nil"/>
            </w:tcBorders>
            <w:noWrap/>
            <w:vAlign w:val="center"/>
          </w:tcPr>
          <w:p w14:paraId="5CC8DC3F">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项目</w:t>
            </w:r>
          </w:p>
        </w:tc>
        <w:tc>
          <w:tcPr>
            <w:tcW w:w="495" w:type="pct"/>
            <w:tcBorders>
              <w:tl2br w:val="nil"/>
              <w:tr2bl w:val="nil"/>
            </w:tcBorders>
            <w:noWrap/>
            <w:vAlign w:val="center"/>
          </w:tcPr>
          <w:p w14:paraId="7E856EA3">
            <w:pPr>
              <w:jc w:val="center"/>
              <w:rPr>
                <w:rFonts w:hint="eastAsia"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单位</w:t>
            </w:r>
          </w:p>
        </w:tc>
        <w:tc>
          <w:tcPr>
            <w:tcW w:w="1129" w:type="pct"/>
            <w:tcBorders>
              <w:tl2br w:val="nil"/>
              <w:tr2bl w:val="nil"/>
            </w:tcBorders>
            <w:noWrap/>
            <w:vAlign w:val="center"/>
          </w:tcPr>
          <w:p w14:paraId="53AC1A4A">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标准限值（Ⅲ类）</w:t>
            </w:r>
          </w:p>
        </w:tc>
        <w:tc>
          <w:tcPr>
            <w:tcW w:w="1129" w:type="pct"/>
            <w:tcBorders>
              <w:tl2br w:val="nil"/>
              <w:tr2bl w:val="nil"/>
            </w:tcBorders>
            <w:noWrap/>
            <w:vAlign w:val="center"/>
          </w:tcPr>
          <w:p w14:paraId="1526ABE9">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标准限值（IV类）</w:t>
            </w:r>
          </w:p>
        </w:tc>
        <w:tc>
          <w:tcPr>
            <w:tcW w:w="1408" w:type="pct"/>
            <w:tcBorders>
              <w:tl2br w:val="nil"/>
              <w:tr2bl w:val="nil"/>
            </w:tcBorders>
            <w:noWrap/>
            <w:vAlign w:val="center"/>
          </w:tcPr>
          <w:p w14:paraId="32F1BEEC">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7C19C8C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52" w:hRule="atLeast"/>
        </w:trPr>
        <w:tc>
          <w:tcPr>
            <w:tcW w:w="320" w:type="pct"/>
            <w:tcBorders>
              <w:tl2br w:val="nil"/>
              <w:tr2bl w:val="nil"/>
            </w:tcBorders>
            <w:noWrap/>
            <w:vAlign w:val="center"/>
          </w:tcPr>
          <w:p w14:paraId="60CD55BD">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516" w:type="pct"/>
            <w:tcBorders>
              <w:tl2br w:val="nil"/>
              <w:tr2bl w:val="nil"/>
            </w:tcBorders>
            <w:noWrap/>
            <w:vAlign w:val="center"/>
          </w:tcPr>
          <w:p w14:paraId="389F20C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pH</w:t>
            </w:r>
          </w:p>
        </w:tc>
        <w:tc>
          <w:tcPr>
            <w:tcW w:w="495" w:type="pct"/>
            <w:tcBorders>
              <w:tl2br w:val="nil"/>
              <w:tr2bl w:val="nil"/>
            </w:tcBorders>
            <w:noWrap/>
            <w:vAlign w:val="center"/>
          </w:tcPr>
          <w:p w14:paraId="1A0CC6D4">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无量纲</w:t>
            </w:r>
          </w:p>
        </w:tc>
        <w:tc>
          <w:tcPr>
            <w:tcW w:w="1129" w:type="pct"/>
            <w:tcBorders>
              <w:tl2br w:val="nil"/>
              <w:tr2bl w:val="nil"/>
            </w:tcBorders>
            <w:noWrap/>
            <w:vAlign w:val="center"/>
          </w:tcPr>
          <w:p w14:paraId="45FF505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129" w:type="pct"/>
            <w:tcBorders>
              <w:tl2br w:val="nil"/>
              <w:tr2bl w:val="nil"/>
            </w:tcBorders>
            <w:noWrap/>
            <w:vAlign w:val="center"/>
          </w:tcPr>
          <w:p w14:paraId="0F19D62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408" w:type="pct"/>
            <w:vMerge w:val="restart"/>
            <w:tcBorders>
              <w:tl2br w:val="nil"/>
              <w:tr2bl w:val="nil"/>
            </w:tcBorders>
            <w:noWrap/>
            <w:vAlign w:val="center"/>
          </w:tcPr>
          <w:p w14:paraId="72F1BEB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《地表水环境质量标准》（GB3838-2002）</w:t>
            </w:r>
          </w:p>
        </w:tc>
      </w:tr>
      <w:tr w14:paraId="488F934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89" w:hRule="atLeast"/>
        </w:trPr>
        <w:tc>
          <w:tcPr>
            <w:tcW w:w="320" w:type="pct"/>
            <w:tcBorders>
              <w:tl2br w:val="nil"/>
              <w:tr2bl w:val="nil"/>
            </w:tcBorders>
            <w:noWrap/>
            <w:vAlign w:val="center"/>
          </w:tcPr>
          <w:p w14:paraId="15BF3466">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516" w:type="pct"/>
            <w:tcBorders>
              <w:tl2br w:val="nil"/>
              <w:tr2bl w:val="nil"/>
            </w:tcBorders>
            <w:noWrap/>
            <w:vAlign w:val="center"/>
          </w:tcPr>
          <w:p w14:paraId="3968F8D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COD</w:t>
            </w:r>
          </w:p>
        </w:tc>
        <w:tc>
          <w:tcPr>
            <w:tcW w:w="495" w:type="pct"/>
            <w:tcBorders>
              <w:tl2br w:val="nil"/>
              <w:tr2bl w:val="nil"/>
            </w:tcBorders>
            <w:noWrap/>
            <w:vAlign w:val="center"/>
          </w:tcPr>
          <w:p w14:paraId="4F70533E">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2CDFBF9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w:t>
            </w:r>
          </w:p>
        </w:tc>
        <w:tc>
          <w:tcPr>
            <w:tcW w:w="1129" w:type="pct"/>
            <w:tcBorders>
              <w:tl2br w:val="nil"/>
              <w:tr2bl w:val="nil"/>
            </w:tcBorders>
            <w:noWrap/>
            <w:vAlign w:val="center"/>
          </w:tcPr>
          <w:p w14:paraId="1AC046D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w:t>
            </w:r>
          </w:p>
        </w:tc>
        <w:tc>
          <w:tcPr>
            <w:tcW w:w="1408" w:type="pct"/>
            <w:vMerge w:val="continue"/>
            <w:tcBorders>
              <w:tl2br w:val="nil"/>
              <w:tr2bl w:val="nil"/>
            </w:tcBorders>
            <w:noWrap/>
            <w:vAlign w:val="center"/>
          </w:tcPr>
          <w:p w14:paraId="0BC5DDD0">
            <w:pPr>
              <w:jc w:val="center"/>
              <w:rPr>
                <w:rFonts w:hint="default" w:ascii="Times New Roman" w:hAnsi="Times New Roman" w:eastAsia="宋体" w:cs="Times New Roman"/>
                <w:color w:val="auto"/>
                <w:sz w:val="21"/>
                <w:szCs w:val="21"/>
              </w:rPr>
            </w:pPr>
          </w:p>
        </w:tc>
      </w:tr>
      <w:tr w14:paraId="6744EEF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72" w:hRule="atLeast"/>
        </w:trPr>
        <w:tc>
          <w:tcPr>
            <w:tcW w:w="320" w:type="pct"/>
            <w:tcBorders>
              <w:tl2br w:val="nil"/>
              <w:tr2bl w:val="nil"/>
            </w:tcBorders>
            <w:noWrap/>
            <w:vAlign w:val="center"/>
          </w:tcPr>
          <w:p w14:paraId="2A14A41F">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c>
          <w:tcPr>
            <w:tcW w:w="516" w:type="pct"/>
            <w:tcBorders>
              <w:tl2br w:val="nil"/>
              <w:tr2bl w:val="nil"/>
            </w:tcBorders>
            <w:noWrap/>
            <w:vAlign w:val="center"/>
          </w:tcPr>
          <w:p w14:paraId="1C8255DF">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氨氮</w:t>
            </w:r>
          </w:p>
        </w:tc>
        <w:tc>
          <w:tcPr>
            <w:tcW w:w="495" w:type="pct"/>
            <w:tcBorders>
              <w:tl2br w:val="nil"/>
              <w:tr2bl w:val="nil"/>
            </w:tcBorders>
            <w:noWrap/>
            <w:vAlign w:val="center"/>
          </w:tcPr>
          <w:p w14:paraId="777FA22A">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213AEE9D">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≤1.0</w:t>
            </w:r>
          </w:p>
        </w:tc>
        <w:tc>
          <w:tcPr>
            <w:tcW w:w="1129" w:type="pct"/>
            <w:tcBorders>
              <w:tl2br w:val="nil"/>
              <w:tr2bl w:val="nil"/>
            </w:tcBorders>
            <w:noWrap/>
            <w:vAlign w:val="center"/>
          </w:tcPr>
          <w:p w14:paraId="37AC8FF6">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≤1.5</w:t>
            </w:r>
          </w:p>
        </w:tc>
        <w:tc>
          <w:tcPr>
            <w:tcW w:w="1408" w:type="pct"/>
            <w:vMerge w:val="continue"/>
            <w:tcBorders>
              <w:tl2br w:val="nil"/>
              <w:tr2bl w:val="nil"/>
            </w:tcBorders>
            <w:noWrap/>
            <w:vAlign w:val="center"/>
          </w:tcPr>
          <w:p w14:paraId="27BA0272">
            <w:pPr>
              <w:jc w:val="center"/>
              <w:rPr>
                <w:rFonts w:hint="default" w:ascii="Times New Roman" w:hAnsi="Times New Roman" w:eastAsia="宋体" w:cs="Times New Roman"/>
                <w:color w:val="auto"/>
                <w:sz w:val="21"/>
                <w:szCs w:val="21"/>
              </w:rPr>
            </w:pPr>
          </w:p>
        </w:tc>
      </w:tr>
      <w:tr w14:paraId="10FFE88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20" w:type="pct"/>
            <w:tcBorders>
              <w:tl2br w:val="nil"/>
              <w:tr2bl w:val="nil"/>
            </w:tcBorders>
            <w:noWrap/>
            <w:vAlign w:val="center"/>
          </w:tcPr>
          <w:p w14:paraId="3C0F1AA5">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516" w:type="pct"/>
            <w:tcBorders>
              <w:tl2br w:val="nil"/>
              <w:tr2bl w:val="nil"/>
            </w:tcBorders>
            <w:noWrap/>
            <w:vAlign w:val="center"/>
          </w:tcPr>
          <w:p w14:paraId="506F1290">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总磷</w:t>
            </w:r>
          </w:p>
        </w:tc>
        <w:tc>
          <w:tcPr>
            <w:tcW w:w="495" w:type="pct"/>
            <w:tcBorders>
              <w:tl2br w:val="nil"/>
              <w:tr2bl w:val="nil"/>
            </w:tcBorders>
            <w:noWrap/>
            <w:vAlign w:val="center"/>
          </w:tcPr>
          <w:p w14:paraId="65B33353">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0CF46270">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≤0.2</w:t>
            </w:r>
          </w:p>
        </w:tc>
        <w:tc>
          <w:tcPr>
            <w:tcW w:w="1129" w:type="pct"/>
            <w:tcBorders>
              <w:tl2br w:val="nil"/>
              <w:tr2bl w:val="nil"/>
            </w:tcBorders>
            <w:noWrap/>
            <w:vAlign w:val="center"/>
          </w:tcPr>
          <w:p w14:paraId="6DD72BD9">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≤0.3</w:t>
            </w:r>
          </w:p>
        </w:tc>
        <w:tc>
          <w:tcPr>
            <w:tcW w:w="1408" w:type="pct"/>
            <w:vMerge w:val="continue"/>
            <w:tcBorders>
              <w:tl2br w:val="nil"/>
              <w:tr2bl w:val="nil"/>
            </w:tcBorders>
            <w:noWrap/>
            <w:vAlign w:val="center"/>
          </w:tcPr>
          <w:p w14:paraId="7266D9F7">
            <w:pPr>
              <w:jc w:val="center"/>
              <w:rPr>
                <w:rFonts w:hint="default" w:ascii="Times New Roman" w:hAnsi="Times New Roman" w:eastAsia="宋体" w:cs="Times New Roman"/>
                <w:color w:val="auto"/>
                <w:sz w:val="21"/>
                <w:szCs w:val="21"/>
              </w:rPr>
            </w:pPr>
          </w:p>
        </w:tc>
      </w:tr>
      <w:tr w14:paraId="036A9F6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72" w:hRule="atLeast"/>
        </w:trPr>
        <w:tc>
          <w:tcPr>
            <w:tcW w:w="320" w:type="pct"/>
            <w:tcBorders>
              <w:tl2br w:val="nil"/>
              <w:tr2bl w:val="nil"/>
            </w:tcBorders>
            <w:noWrap/>
            <w:vAlign w:val="center"/>
          </w:tcPr>
          <w:p w14:paraId="1946A2C4">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516" w:type="pct"/>
            <w:tcBorders>
              <w:tl2br w:val="nil"/>
              <w:tr2bl w:val="nil"/>
            </w:tcBorders>
            <w:noWrap/>
            <w:vAlign w:val="center"/>
          </w:tcPr>
          <w:p w14:paraId="32518457">
            <w:pPr>
              <w:jc w:val="center"/>
              <w:rPr>
                <w:rFonts w:hint="default" w:ascii="Times New Roman" w:hAnsi="Times New Roman" w:eastAsia="宋体" w:cs="Times New Roman"/>
                <w:snapToGrid w:val="0"/>
                <w:color w:val="auto"/>
                <w:kern w:val="0"/>
                <w:sz w:val="21"/>
                <w:szCs w:val="21"/>
                <w:u w:val="none"/>
                <w:lang w:val="en-US" w:eastAsia="zh-CN" w:bidi="ar-SA"/>
              </w:rPr>
            </w:pPr>
            <w:r>
              <w:rPr>
                <w:rFonts w:hint="default" w:ascii="Times New Roman" w:hAnsi="Times New Roman" w:eastAsia="宋体" w:cs="Times New Roman"/>
                <w:color w:val="auto"/>
                <w:sz w:val="21"/>
                <w:szCs w:val="21"/>
              </w:rPr>
              <w:t>BOD</w:t>
            </w:r>
            <w:r>
              <w:rPr>
                <w:rFonts w:hint="default" w:ascii="Times New Roman" w:hAnsi="Times New Roman" w:eastAsia="宋体" w:cs="Times New Roman"/>
                <w:color w:val="auto"/>
                <w:sz w:val="21"/>
                <w:szCs w:val="21"/>
                <w:vertAlign w:val="subscript"/>
              </w:rPr>
              <w:t>5</w:t>
            </w:r>
          </w:p>
        </w:tc>
        <w:tc>
          <w:tcPr>
            <w:tcW w:w="495" w:type="pct"/>
            <w:tcBorders>
              <w:tl2br w:val="nil"/>
              <w:tr2bl w:val="nil"/>
            </w:tcBorders>
            <w:noWrap/>
            <w:vAlign w:val="center"/>
          </w:tcPr>
          <w:p w14:paraId="343CD6B0">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67045ED8">
            <w:pPr>
              <w:jc w:val="center"/>
              <w:rPr>
                <w:rFonts w:hint="default" w:ascii="Times New Roman" w:hAnsi="Times New Roman" w:eastAsia="宋体" w:cs="Times New Roman"/>
                <w:snapToGrid w:val="0"/>
                <w:color w:val="auto"/>
                <w:kern w:val="0"/>
                <w:sz w:val="21"/>
                <w:szCs w:val="21"/>
                <w:u w:val="none"/>
                <w:lang w:val="en-US" w:eastAsia="zh-CN" w:bidi="ar-SA"/>
              </w:rPr>
            </w:pPr>
            <w:r>
              <w:rPr>
                <w:rFonts w:hint="default" w:ascii="Times New Roman" w:hAnsi="Times New Roman" w:eastAsia="宋体" w:cs="Times New Roman"/>
                <w:color w:val="auto"/>
                <w:sz w:val="21"/>
                <w:szCs w:val="21"/>
              </w:rPr>
              <w:t>≤4</w:t>
            </w:r>
          </w:p>
        </w:tc>
        <w:tc>
          <w:tcPr>
            <w:tcW w:w="1129" w:type="pct"/>
            <w:tcBorders>
              <w:tl2br w:val="nil"/>
              <w:tr2bl w:val="nil"/>
            </w:tcBorders>
            <w:noWrap/>
            <w:vAlign w:val="center"/>
          </w:tcPr>
          <w:p w14:paraId="1CEE65DF">
            <w:pPr>
              <w:jc w:val="center"/>
              <w:rPr>
                <w:rFonts w:hint="default" w:ascii="Times New Roman" w:hAnsi="Times New Roman" w:eastAsia="宋体" w:cs="Times New Roman"/>
                <w:snapToGrid w:val="0"/>
                <w:color w:val="auto"/>
                <w:kern w:val="0"/>
                <w:sz w:val="21"/>
                <w:szCs w:val="21"/>
                <w:u w:val="none"/>
                <w:lang w:val="en-US" w:eastAsia="zh-CN" w:bidi="ar-SA"/>
              </w:rPr>
            </w:pPr>
            <w:r>
              <w:rPr>
                <w:rFonts w:hint="default" w:ascii="Times New Roman" w:hAnsi="Times New Roman" w:eastAsia="宋体" w:cs="Times New Roman"/>
                <w:color w:val="auto"/>
                <w:sz w:val="21"/>
                <w:szCs w:val="21"/>
              </w:rPr>
              <w:t>≤6</w:t>
            </w:r>
          </w:p>
        </w:tc>
        <w:tc>
          <w:tcPr>
            <w:tcW w:w="1408" w:type="pct"/>
            <w:vMerge w:val="continue"/>
            <w:tcBorders>
              <w:tl2br w:val="nil"/>
              <w:tr2bl w:val="nil"/>
            </w:tcBorders>
            <w:noWrap/>
            <w:vAlign w:val="center"/>
          </w:tcPr>
          <w:p w14:paraId="724EEDA2">
            <w:pPr>
              <w:jc w:val="center"/>
              <w:rPr>
                <w:rFonts w:hint="default" w:ascii="Times New Roman" w:hAnsi="Times New Roman" w:eastAsia="宋体" w:cs="Times New Roman"/>
                <w:color w:val="auto"/>
                <w:sz w:val="21"/>
                <w:szCs w:val="21"/>
              </w:rPr>
            </w:pPr>
          </w:p>
        </w:tc>
      </w:tr>
      <w:tr w14:paraId="0AC209D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72" w:hRule="atLeast"/>
        </w:trPr>
        <w:tc>
          <w:tcPr>
            <w:tcW w:w="320" w:type="pct"/>
            <w:tcBorders>
              <w:tl2br w:val="nil"/>
              <w:tr2bl w:val="nil"/>
            </w:tcBorders>
            <w:noWrap/>
            <w:vAlign w:val="center"/>
          </w:tcPr>
          <w:p w14:paraId="06DD5FD2">
            <w:pPr>
              <w:jc w:val="center"/>
              <w:rPr>
                <w:rFonts w:hint="default" w:cs="Times New Roman"/>
                <w:color w:val="auto"/>
                <w:sz w:val="21"/>
                <w:szCs w:val="21"/>
                <w:lang w:val="en-US" w:eastAsia="zh-CN"/>
              </w:rPr>
            </w:pPr>
            <w:r>
              <w:rPr>
                <w:rFonts w:hint="eastAsia" w:cs="Times New Roman"/>
                <w:color w:val="auto"/>
                <w:sz w:val="21"/>
                <w:szCs w:val="21"/>
                <w:lang w:val="en-US" w:eastAsia="zh-CN"/>
              </w:rPr>
              <w:t>6</w:t>
            </w:r>
          </w:p>
        </w:tc>
        <w:tc>
          <w:tcPr>
            <w:tcW w:w="516" w:type="pct"/>
            <w:tcBorders>
              <w:tl2br w:val="nil"/>
              <w:tr2bl w:val="nil"/>
            </w:tcBorders>
            <w:noWrap/>
            <w:vAlign w:val="center"/>
          </w:tcPr>
          <w:p w14:paraId="5C0EE384">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溶解氧</w:t>
            </w:r>
          </w:p>
        </w:tc>
        <w:tc>
          <w:tcPr>
            <w:tcW w:w="495" w:type="pct"/>
            <w:tcBorders>
              <w:tl2br w:val="nil"/>
              <w:tr2bl w:val="nil"/>
            </w:tcBorders>
            <w:noWrap/>
            <w:vAlign w:val="center"/>
          </w:tcPr>
          <w:p w14:paraId="4A42AF70">
            <w:pPr>
              <w:jc w:val="center"/>
              <w:rPr>
                <w:color w:val="auto"/>
              </w:rPr>
            </w:pPr>
            <w:r>
              <w:rPr>
                <w:color w:val="auto"/>
              </w:rPr>
              <w:t>mg/L</w:t>
            </w:r>
          </w:p>
        </w:tc>
        <w:tc>
          <w:tcPr>
            <w:tcW w:w="1129" w:type="pct"/>
            <w:tcBorders>
              <w:tl2br w:val="nil"/>
              <w:tr2bl w:val="nil"/>
            </w:tcBorders>
            <w:noWrap/>
            <w:vAlign w:val="center"/>
          </w:tcPr>
          <w:p w14:paraId="0E7E244E">
            <w:pPr>
              <w:jc w:val="center"/>
              <w:rPr>
                <w:rFonts w:hint="default" w:ascii="Times New Roman" w:hAnsi="Times New Roman" w:eastAsia="宋体" w:cs="Times New Roman"/>
                <w:color w:val="auto"/>
                <w:sz w:val="21"/>
                <w:szCs w:val="21"/>
                <w:lang w:val="en-US" w:eastAsia="zh-CN"/>
              </w:rPr>
            </w:pPr>
            <w:r>
              <w:rPr>
                <w:color w:val="auto"/>
              </w:rPr>
              <w:t>≥</w:t>
            </w:r>
            <w:r>
              <w:rPr>
                <w:rFonts w:hint="eastAsia" w:cs="Times New Roman"/>
                <w:color w:val="auto"/>
                <w:sz w:val="21"/>
                <w:szCs w:val="21"/>
                <w:lang w:val="en-US" w:eastAsia="zh-CN"/>
              </w:rPr>
              <w:t>5</w:t>
            </w:r>
          </w:p>
        </w:tc>
        <w:tc>
          <w:tcPr>
            <w:tcW w:w="1129" w:type="pct"/>
            <w:tcBorders>
              <w:tl2br w:val="nil"/>
              <w:tr2bl w:val="nil"/>
            </w:tcBorders>
            <w:noWrap/>
            <w:vAlign w:val="center"/>
          </w:tcPr>
          <w:p w14:paraId="62516D93">
            <w:pPr>
              <w:jc w:val="center"/>
              <w:rPr>
                <w:rFonts w:hint="default" w:ascii="Times New Roman" w:hAnsi="Times New Roman" w:eastAsia="宋体" w:cs="Times New Roman"/>
                <w:color w:val="auto"/>
                <w:sz w:val="21"/>
                <w:szCs w:val="21"/>
                <w:lang w:val="en-US" w:eastAsia="zh-CN"/>
              </w:rPr>
            </w:pPr>
            <w:r>
              <w:rPr>
                <w:color w:val="auto"/>
              </w:rPr>
              <w:t>≥</w:t>
            </w:r>
            <w:r>
              <w:rPr>
                <w:rFonts w:hint="eastAsia" w:cs="Times New Roman"/>
                <w:color w:val="auto"/>
                <w:sz w:val="21"/>
                <w:szCs w:val="21"/>
                <w:lang w:val="en-US" w:eastAsia="zh-CN"/>
              </w:rPr>
              <w:t>3</w:t>
            </w:r>
          </w:p>
        </w:tc>
        <w:tc>
          <w:tcPr>
            <w:tcW w:w="1408" w:type="pct"/>
            <w:vMerge w:val="continue"/>
            <w:tcBorders>
              <w:tl2br w:val="nil"/>
              <w:tr2bl w:val="nil"/>
            </w:tcBorders>
            <w:noWrap/>
            <w:vAlign w:val="center"/>
          </w:tcPr>
          <w:p w14:paraId="04EBE943">
            <w:pPr>
              <w:jc w:val="center"/>
              <w:rPr>
                <w:rFonts w:hint="default" w:ascii="Times New Roman" w:hAnsi="Times New Roman" w:eastAsia="宋体" w:cs="Times New Roman"/>
                <w:color w:val="auto"/>
                <w:sz w:val="21"/>
                <w:szCs w:val="21"/>
              </w:rPr>
            </w:pPr>
          </w:p>
        </w:tc>
      </w:tr>
    </w:tbl>
    <w:p w14:paraId="7A88214F">
      <w:pPr>
        <w:adjustRightInd w:val="0"/>
        <w:snapToGrid w:val="0"/>
        <w:spacing w:before="152" w:beforeLines="50" w:line="360" w:lineRule="auto"/>
        <w:ind w:firstLine="480" w:firstLineChars="200"/>
        <w:rPr>
          <w:color w:val="auto"/>
          <w:sz w:val="24"/>
          <w:szCs w:val="32"/>
        </w:rPr>
      </w:pPr>
      <w:r>
        <w:rPr>
          <w:color w:val="auto"/>
          <w:sz w:val="24"/>
          <w:szCs w:val="32"/>
        </w:rPr>
        <w:t>3、声环境质量评价标准</w:t>
      </w:r>
      <w:bookmarkEnd w:id="99"/>
      <w:bookmarkEnd w:id="100"/>
      <w:bookmarkEnd w:id="101"/>
      <w:bookmarkEnd w:id="102"/>
    </w:p>
    <w:p w14:paraId="5372BDC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color w:val="auto"/>
          <w:sz w:val="24"/>
          <w:szCs w:val="32"/>
        </w:rPr>
      </w:pPr>
      <w:r>
        <w:rPr>
          <w:b/>
          <w:bCs/>
          <w:color w:val="auto"/>
          <w:sz w:val="24"/>
        </w:rPr>
        <w:t>原环评评价阶段：</w:t>
      </w:r>
      <w:r>
        <w:rPr>
          <w:color w:val="auto"/>
          <w:sz w:val="24"/>
        </w:rPr>
        <w:t>项目所在</w:t>
      </w:r>
      <w:r>
        <w:rPr>
          <w:color w:val="auto"/>
          <w:sz w:val="24"/>
          <w:szCs w:val="32"/>
        </w:rPr>
        <w:t>区域声环境质量执行《声环境质量标准》（GB3096－2008）中</w:t>
      </w:r>
      <w:r>
        <w:rPr>
          <w:rFonts w:hint="eastAsia"/>
          <w:color w:val="auto"/>
          <w:sz w:val="24"/>
          <w:szCs w:val="32"/>
          <w:lang w:val="en-US" w:eastAsia="zh-CN"/>
        </w:rPr>
        <w:t>2</w:t>
      </w:r>
      <w:r>
        <w:rPr>
          <w:color w:val="auto"/>
          <w:sz w:val="24"/>
          <w:szCs w:val="32"/>
        </w:rPr>
        <w:t>类标准。</w:t>
      </w:r>
    </w:p>
    <w:p w14:paraId="225604B1">
      <w:pPr>
        <w:adjustRightInd w:val="0"/>
        <w:snapToGrid w:val="0"/>
        <w:spacing w:line="360" w:lineRule="auto"/>
        <w:jc w:val="center"/>
        <w:rPr>
          <w:rFonts w:hint="default" w:eastAsia="宋体"/>
          <w:b/>
          <w:bCs/>
          <w:color w:val="auto"/>
          <w:sz w:val="24"/>
          <w:lang w:val="en-US" w:eastAsia="zh-CN"/>
        </w:rPr>
      </w:pPr>
      <w:r>
        <w:rPr>
          <w:rFonts w:hint="eastAsia"/>
          <w:b/>
          <w:bCs/>
          <w:color w:val="auto"/>
          <w:sz w:val="24"/>
          <w:lang w:val="en-US" w:eastAsia="zh-CN"/>
        </w:rPr>
        <w:t xml:space="preserve">表1-5 </w:t>
      </w:r>
      <w:r>
        <w:rPr>
          <w:rFonts w:hint="default"/>
          <w:b/>
          <w:bCs/>
          <w:color w:val="auto"/>
          <w:sz w:val="24"/>
          <w:szCs w:val="32"/>
        </w:rPr>
        <w:t>原环评评价阶段</w:t>
      </w:r>
      <w:r>
        <w:rPr>
          <w:rFonts w:hint="eastAsia"/>
          <w:b/>
          <w:bCs/>
          <w:color w:val="auto"/>
          <w:sz w:val="24"/>
          <w:szCs w:val="32"/>
          <w:lang w:val="en-US" w:eastAsia="zh-CN"/>
        </w:rPr>
        <w:t>声环境质量评价标准一览表</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57"/>
        <w:gridCol w:w="3184"/>
      </w:tblGrid>
      <w:tr w14:paraId="63CBB2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restart"/>
            <w:tcBorders>
              <w:tl2br w:val="nil"/>
              <w:tr2bl w:val="nil"/>
            </w:tcBorders>
            <w:vAlign w:val="center"/>
          </w:tcPr>
          <w:p w14:paraId="4092EE08">
            <w:pPr>
              <w:jc w:val="center"/>
              <w:rPr>
                <w:b/>
                <w:bCs/>
                <w:color w:val="auto"/>
                <w:szCs w:val="21"/>
              </w:rPr>
            </w:pPr>
            <w:r>
              <w:rPr>
                <w:b/>
                <w:bCs/>
                <w:color w:val="auto"/>
                <w:szCs w:val="21"/>
              </w:rPr>
              <w:t>执行标准类别</w:t>
            </w:r>
          </w:p>
        </w:tc>
        <w:tc>
          <w:tcPr>
            <w:tcW w:w="3335" w:type="pct"/>
            <w:gridSpan w:val="2"/>
            <w:tcBorders>
              <w:tl2br w:val="nil"/>
              <w:tr2bl w:val="nil"/>
            </w:tcBorders>
            <w:vAlign w:val="center"/>
          </w:tcPr>
          <w:p w14:paraId="6ABA154D">
            <w:pPr>
              <w:jc w:val="center"/>
              <w:rPr>
                <w:b/>
                <w:bCs/>
                <w:color w:val="auto"/>
                <w:szCs w:val="21"/>
              </w:rPr>
            </w:pPr>
            <w:r>
              <w:rPr>
                <w:b/>
                <w:bCs/>
                <w:color w:val="auto"/>
                <w:szCs w:val="21"/>
              </w:rPr>
              <w:t>标  准  值[dB(A)]</w:t>
            </w:r>
          </w:p>
        </w:tc>
      </w:tr>
      <w:tr w14:paraId="105AF3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continue"/>
            <w:tcBorders>
              <w:tl2br w:val="nil"/>
              <w:tr2bl w:val="nil"/>
            </w:tcBorders>
            <w:vAlign w:val="center"/>
          </w:tcPr>
          <w:p w14:paraId="47F01057">
            <w:pPr>
              <w:jc w:val="center"/>
              <w:rPr>
                <w:b/>
                <w:bCs/>
                <w:color w:val="auto"/>
                <w:szCs w:val="21"/>
              </w:rPr>
            </w:pPr>
          </w:p>
        </w:tc>
        <w:tc>
          <w:tcPr>
            <w:tcW w:w="1736" w:type="pct"/>
            <w:tcBorders>
              <w:tl2br w:val="nil"/>
              <w:tr2bl w:val="nil"/>
            </w:tcBorders>
            <w:vAlign w:val="center"/>
          </w:tcPr>
          <w:p w14:paraId="108C5E65">
            <w:pPr>
              <w:jc w:val="center"/>
              <w:rPr>
                <w:b/>
                <w:bCs/>
                <w:color w:val="auto"/>
                <w:szCs w:val="21"/>
              </w:rPr>
            </w:pPr>
            <w:r>
              <w:rPr>
                <w:b/>
                <w:bCs/>
                <w:color w:val="auto"/>
                <w:szCs w:val="21"/>
              </w:rPr>
              <w:t>昼间</w:t>
            </w:r>
          </w:p>
        </w:tc>
        <w:tc>
          <w:tcPr>
            <w:tcW w:w="1598" w:type="pct"/>
            <w:tcBorders>
              <w:tl2br w:val="nil"/>
              <w:tr2bl w:val="nil"/>
            </w:tcBorders>
            <w:vAlign w:val="center"/>
          </w:tcPr>
          <w:p w14:paraId="6739E434">
            <w:pPr>
              <w:jc w:val="center"/>
              <w:rPr>
                <w:b/>
                <w:bCs/>
                <w:color w:val="auto"/>
                <w:szCs w:val="21"/>
              </w:rPr>
            </w:pPr>
            <w:r>
              <w:rPr>
                <w:b/>
                <w:bCs/>
                <w:color w:val="auto"/>
                <w:szCs w:val="21"/>
              </w:rPr>
              <w:t>夜间</w:t>
            </w:r>
          </w:p>
        </w:tc>
      </w:tr>
      <w:tr w14:paraId="5F3F6C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4" w:type="pct"/>
            <w:tcBorders>
              <w:tl2br w:val="nil"/>
              <w:tr2bl w:val="nil"/>
            </w:tcBorders>
            <w:vAlign w:val="center"/>
          </w:tcPr>
          <w:p w14:paraId="3A3883E4">
            <w:pPr>
              <w:jc w:val="center"/>
              <w:rPr>
                <w:color w:val="auto"/>
                <w:szCs w:val="21"/>
              </w:rPr>
            </w:pPr>
            <w:r>
              <w:rPr>
                <w:color w:val="auto"/>
                <w:szCs w:val="21"/>
              </w:rPr>
              <w:t>GB3096-2008中</w:t>
            </w:r>
            <w:r>
              <w:rPr>
                <w:rFonts w:hint="eastAsia"/>
                <w:color w:val="auto"/>
                <w:szCs w:val="21"/>
                <w:lang w:val="en-US" w:eastAsia="zh-CN"/>
              </w:rPr>
              <w:t>2</w:t>
            </w:r>
            <w:r>
              <w:rPr>
                <w:color w:val="auto"/>
                <w:szCs w:val="21"/>
              </w:rPr>
              <w:t>类标准</w:t>
            </w:r>
          </w:p>
        </w:tc>
        <w:tc>
          <w:tcPr>
            <w:tcW w:w="1736" w:type="pct"/>
            <w:tcBorders>
              <w:tl2br w:val="nil"/>
              <w:tr2bl w:val="nil"/>
            </w:tcBorders>
            <w:vAlign w:val="center"/>
          </w:tcPr>
          <w:p w14:paraId="063DF98F">
            <w:pPr>
              <w:jc w:val="center"/>
              <w:rPr>
                <w:rFonts w:hint="default" w:eastAsia="宋体"/>
                <w:color w:val="auto"/>
                <w:szCs w:val="21"/>
                <w:lang w:val="en-US" w:eastAsia="zh-CN"/>
              </w:rPr>
            </w:pPr>
            <w:r>
              <w:rPr>
                <w:rFonts w:hint="eastAsia"/>
                <w:color w:val="auto"/>
                <w:szCs w:val="21"/>
                <w:lang w:val="en-US" w:eastAsia="zh-CN"/>
              </w:rPr>
              <w:t>60</w:t>
            </w:r>
          </w:p>
        </w:tc>
        <w:tc>
          <w:tcPr>
            <w:tcW w:w="1598" w:type="pct"/>
            <w:tcBorders>
              <w:tl2br w:val="nil"/>
              <w:tr2bl w:val="nil"/>
            </w:tcBorders>
            <w:vAlign w:val="center"/>
          </w:tcPr>
          <w:p w14:paraId="6DF00D0B">
            <w:pPr>
              <w:jc w:val="center"/>
              <w:rPr>
                <w:rFonts w:hint="default" w:eastAsia="宋体"/>
                <w:color w:val="auto"/>
                <w:szCs w:val="21"/>
                <w:lang w:val="en-US" w:eastAsia="zh-CN"/>
              </w:rPr>
            </w:pPr>
            <w:r>
              <w:rPr>
                <w:rFonts w:hint="eastAsia"/>
                <w:color w:val="auto"/>
                <w:szCs w:val="21"/>
                <w:lang w:val="en-US" w:eastAsia="zh-CN"/>
              </w:rPr>
              <w:t>50</w:t>
            </w:r>
          </w:p>
        </w:tc>
      </w:tr>
    </w:tbl>
    <w:p w14:paraId="608BECC1">
      <w:pPr>
        <w:adjustRightInd w:val="0"/>
        <w:snapToGrid w:val="0"/>
        <w:spacing w:line="360" w:lineRule="auto"/>
        <w:rPr>
          <w:b/>
          <w:bCs/>
          <w:color w:val="auto"/>
          <w:sz w:val="24"/>
        </w:rPr>
      </w:pPr>
    </w:p>
    <w:p w14:paraId="73E81CBD">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本项目位于</w:t>
      </w:r>
      <w:r>
        <w:rPr>
          <w:rFonts w:hint="eastAsia"/>
          <w:color w:val="auto"/>
          <w:sz w:val="24"/>
          <w:szCs w:val="32"/>
          <w:lang w:val="en-US" w:eastAsia="zh-CN"/>
        </w:rPr>
        <w:t>安徽濉溪经济开发区</w:t>
      </w:r>
      <w:r>
        <w:rPr>
          <w:color w:val="auto"/>
          <w:sz w:val="24"/>
          <w:szCs w:val="32"/>
        </w:rPr>
        <w:t>内</w:t>
      </w:r>
      <w:r>
        <w:rPr>
          <w:rFonts w:hint="eastAsia"/>
          <w:color w:val="auto"/>
          <w:sz w:val="24"/>
          <w:szCs w:val="32"/>
          <w:lang w:val="en-US" w:eastAsia="zh-CN"/>
        </w:rPr>
        <w:t>根据声环境功能区分类，</w:t>
      </w:r>
      <w:r>
        <w:rPr>
          <w:color w:val="auto"/>
          <w:sz w:val="24"/>
          <w:szCs w:val="32"/>
        </w:rPr>
        <w:t>项目所在区域声环境质量仍执行《声环境质量标准》（GB3096-2008）中3类标准</w:t>
      </w:r>
      <w:bookmarkStart w:id="103" w:name="_Toc2157"/>
      <w:bookmarkStart w:id="104" w:name="_Toc28337"/>
      <w:bookmarkStart w:id="105" w:name="_Toc12255"/>
      <w:bookmarkStart w:id="106" w:name="_Toc21289"/>
      <w:r>
        <w:rPr>
          <w:color w:val="auto"/>
          <w:sz w:val="24"/>
          <w:szCs w:val="32"/>
        </w:rPr>
        <w:t>。具体限值详见下表：</w:t>
      </w:r>
    </w:p>
    <w:p w14:paraId="2AA37280">
      <w:pPr>
        <w:adjustRightInd w:val="0"/>
        <w:snapToGrid w:val="0"/>
        <w:spacing w:line="360" w:lineRule="auto"/>
        <w:jc w:val="center"/>
        <w:rPr>
          <w:color w:val="auto"/>
          <w:sz w:val="24"/>
          <w:szCs w:val="32"/>
        </w:rPr>
      </w:pPr>
      <w:r>
        <w:rPr>
          <w:b/>
          <w:bCs/>
          <w:color w:val="auto"/>
          <w:sz w:val="24"/>
          <w:szCs w:val="32"/>
        </w:rPr>
        <w:t>表1-</w:t>
      </w:r>
      <w:r>
        <w:rPr>
          <w:rFonts w:hint="eastAsia"/>
          <w:b/>
          <w:bCs/>
          <w:color w:val="auto"/>
          <w:sz w:val="24"/>
          <w:szCs w:val="32"/>
          <w:lang w:val="en-US" w:eastAsia="zh-CN"/>
        </w:rPr>
        <w:t>6</w:t>
      </w:r>
      <w:r>
        <w:rPr>
          <w:b/>
          <w:bCs/>
          <w:color w:val="auto"/>
          <w:sz w:val="24"/>
          <w:szCs w:val="32"/>
        </w:rPr>
        <w:t xml:space="preserve"> </w:t>
      </w:r>
      <w:r>
        <w:rPr>
          <w:rFonts w:hint="eastAsia"/>
          <w:b/>
          <w:bCs/>
          <w:color w:val="auto"/>
          <w:sz w:val="24"/>
          <w:szCs w:val="32"/>
          <w:lang w:val="en-US" w:eastAsia="zh-CN"/>
        </w:rPr>
        <w:t>后评价阶段</w:t>
      </w:r>
      <w:r>
        <w:rPr>
          <w:b/>
          <w:bCs/>
          <w:color w:val="auto"/>
          <w:sz w:val="24"/>
          <w:szCs w:val="32"/>
        </w:rPr>
        <w:t>声环境质量评价标准</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57"/>
        <w:gridCol w:w="3184"/>
      </w:tblGrid>
      <w:tr w14:paraId="0EFF80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restart"/>
            <w:tcBorders>
              <w:tl2br w:val="nil"/>
              <w:tr2bl w:val="nil"/>
            </w:tcBorders>
            <w:vAlign w:val="center"/>
          </w:tcPr>
          <w:p w14:paraId="5B6C6B72">
            <w:pPr>
              <w:jc w:val="center"/>
              <w:rPr>
                <w:b/>
                <w:bCs/>
                <w:color w:val="auto"/>
                <w:szCs w:val="21"/>
              </w:rPr>
            </w:pPr>
            <w:r>
              <w:rPr>
                <w:b/>
                <w:bCs/>
                <w:color w:val="auto"/>
                <w:szCs w:val="21"/>
              </w:rPr>
              <w:t>执行标准类别</w:t>
            </w:r>
          </w:p>
        </w:tc>
        <w:tc>
          <w:tcPr>
            <w:tcW w:w="3335" w:type="pct"/>
            <w:gridSpan w:val="2"/>
            <w:tcBorders>
              <w:tl2br w:val="nil"/>
              <w:tr2bl w:val="nil"/>
            </w:tcBorders>
            <w:vAlign w:val="center"/>
          </w:tcPr>
          <w:p w14:paraId="6962D12C">
            <w:pPr>
              <w:jc w:val="center"/>
              <w:rPr>
                <w:b/>
                <w:bCs/>
                <w:color w:val="auto"/>
                <w:szCs w:val="21"/>
              </w:rPr>
            </w:pPr>
            <w:r>
              <w:rPr>
                <w:b/>
                <w:bCs/>
                <w:color w:val="auto"/>
                <w:szCs w:val="21"/>
              </w:rPr>
              <w:t>标  准  值[dB(A)]</w:t>
            </w:r>
          </w:p>
        </w:tc>
      </w:tr>
      <w:tr w14:paraId="3611B4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continue"/>
            <w:tcBorders>
              <w:tl2br w:val="nil"/>
              <w:tr2bl w:val="nil"/>
            </w:tcBorders>
            <w:vAlign w:val="center"/>
          </w:tcPr>
          <w:p w14:paraId="7AE79CA4">
            <w:pPr>
              <w:jc w:val="center"/>
              <w:rPr>
                <w:b/>
                <w:bCs/>
                <w:color w:val="auto"/>
                <w:szCs w:val="21"/>
              </w:rPr>
            </w:pPr>
          </w:p>
        </w:tc>
        <w:tc>
          <w:tcPr>
            <w:tcW w:w="1736" w:type="pct"/>
            <w:tcBorders>
              <w:tl2br w:val="nil"/>
              <w:tr2bl w:val="nil"/>
            </w:tcBorders>
            <w:vAlign w:val="center"/>
          </w:tcPr>
          <w:p w14:paraId="227142C8">
            <w:pPr>
              <w:jc w:val="center"/>
              <w:rPr>
                <w:b/>
                <w:bCs/>
                <w:color w:val="auto"/>
                <w:szCs w:val="21"/>
              </w:rPr>
            </w:pPr>
            <w:r>
              <w:rPr>
                <w:b/>
                <w:bCs/>
                <w:color w:val="auto"/>
                <w:szCs w:val="21"/>
              </w:rPr>
              <w:t>昼间</w:t>
            </w:r>
          </w:p>
        </w:tc>
        <w:tc>
          <w:tcPr>
            <w:tcW w:w="1598" w:type="pct"/>
            <w:tcBorders>
              <w:tl2br w:val="nil"/>
              <w:tr2bl w:val="nil"/>
            </w:tcBorders>
            <w:vAlign w:val="center"/>
          </w:tcPr>
          <w:p w14:paraId="6E1BA83A">
            <w:pPr>
              <w:jc w:val="center"/>
              <w:rPr>
                <w:b/>
                <w:bCs/>
                <w:color w:val="auto"/>
                <w:szCs w:val="21"/>
              </w:rPr>
            </w:pPr>
            <w:r>
              <w:rPr>
                <w:b/>
                <w:bCs/>
                <w:color w:val="auto"/>
                <w:szCs w:val="21"/>
              </w:rPr>
              <w:t>夜间</w:t>
            </w:r>
          </w:p>
        </w:tc>
      </w:tr>
      <w:tr w14:paraId="19D9AC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4" w:type="pct"/>
            <w:tcBorders>
              <w:tl2br w:val="nil"/>
              <w:tr2bl w:val="nil"/>
            </w:tcBorders>
            <w:vAlign w:val="center"/>
          </w:tcPr>
          <w:p w14:paraId="6042ACA8">
            <w:pPr>
              <w:jc w:val="center"/>
              <w:rPr>
                <w:color w:val="auto"/>
                <w:szCs w:val="21"/>
              </w:rPr>
            </w:pPr>
            <w:r>
              <w:rPr>
                <w:color w:val="auto"/>
                <w:szCs w:val="21"/>
              </w:rPr>
              <w:t>GB3096-2008中3类标准</w:t>
            </w:r>
          </w:p>
        </w:tc>
        <w:tc>
          <w:tcPr>
            <w:tcW w:w="1736" w:type="pct"/>
            <w:tcBorders>
              <w:tl2br w:val="nil"/>
              <w:tr2bl w:val="nil"/>
            </w:tcBorders>
            <w:vAlign w:val="center"/>
          </w:tcPr>
          <w:p w14:paraId="78E68FAE">
            <w:pPr>
              <w:jc w:val="center"/>
              <w:rPr>
                <w:color w:val="auto"/>
                <w:szCs w:val="21"/>
              </w:rPr>
            </w:pPr>
            <w:r>
              <w:rPr>
                <w:color w:val="auto"/>
                <w:szCs w:val="21"/>
              </w:rPr>
              <w:t>65</w:t>
            </w:r>
          </w:p>
        </w:tc>
        <w:tc>
          <w:tcPr>
            <w:tcW w:w="1598" w:type="pct"/>
            <w:tcBorders>
              <w:tl2br w:val="nil"/>
              <w:tr2bl w:val="nil"/>
            </w:tcBorders>
            <w:vAlign w:val="center"/>
          </w:tcPr>
          <w:p w14:paraId="40230092">
            <w:pPr>
              <w:jc w:val="center"/>
              <w:rPr>
                <w:color w:val="auto"/>
                <w:szCs w:val="21"/>
              </w:rPr>
            </w:pPr>
            <w:r>
              <w:rPr>
                <w:color w:val="auto"/>
                <w:szCs w:val="21"/>
              </w:rPr>
              <w:t>35</w:t>
            </w:r>
          </w:p>
        </w:tc>
      </w:tr>
    </w:tbl>
    <w:p w14:paraId="4EB57480">
      <w:pPr>
        <w:adjustRightInd w:val="0"/>
        <w:snapToGrid w:val="0"/>
        <w:spacing w:before="152" w:beforeLines="50" w:line="360" w:lineRule="auto"/>
        <w:ind w:firstLine="480" w:firstLineChars="200"/>
        <w:rPr>
          <w:color w:val="auto"/>
          <w:sz w:val="24"/>
          <w:szCs w:val="32"/>
        </w:rPr>
      </w:pPr>
      <w:r>
        <w:rPr>
          <w:color w:val="auto"/>
          <w:sz w:val="24"/>
          <w:szCs w:val="32"/>
        </w:rPr>
        <w:t>4、地下水环境质量评价标准</w:t>
      </w:r>
      <w:bookmarkEnd w:id="103"/>
      <w:bookmarkEnd w:id="104"/>
      <w:bookmarkEnd w:id="105"/>
      <w:bookmarkEnd w:id="106"/>
    </w:p>
    <w:p w14:paraId="224325BF">
      <w:pPr>
        <w:adjustRightInd w:val="0"/>
        <w:snapToGrid w:val="0"/>
        <w:spacing w:line="360" w:lineRule="auto"/>
        <w:ind w:firstLine="482" w:firstLineChars="200"/>
        <w:rPr>
          <w:color w:val="auto"/>
          <w:sz w:val="24"/>
          <w:szCs w:val="32"/>
        </w:rPr>
      </w:pPr>
      <w:r>
        <w:rPr>
          <w:b/>
          <w:bCs/>
          <w:color w:val="auto"/>
          <w:sz w:val="24"/>
        </w:rPr>
        <w:t>原环评评价阶段：</w:t>
      </w:r>
      <w:r>
        <w:rPr>
          <w:color w:val="auto"/>
          <w:sz w:val="24"/>
          <w:szCs w:val="32"/>
        </w:rPr>
        <w:t>项目所在区域地下水质量执行</w:t>
      </w:r>
      <w:r>
        <w:rPr>
          <w:color w:val="auto"/>
          <w:sz w:val="24"/>
        </w:rPr>
        <w:t>《地下水质量标准》（GB/T14848-93）III类标准</w:t>
      </w:r>
      <w:r>
        <w:rPr>
          <w:color w:val="auto"/>
          <w:sz w:val="24"/>
          <w:szCs w:val="32"/>
        </w:rPr>
        <w:t>。</w:t>
      </w:r>
    </w:p>
    <w:p w14:paraId="7D4DFC4E">
      <w:pPr>
        <w:adjustRightInd w:val="0"/>
        <w:snapToGrid w:val="0"/>
        <w:spacing w:line="360" w:lineRule="auto"/>
        <w:ind w:firstLine="482" w:firstLineChars="200"/>
        <w:jc w:val="left"/>
        <w:rPr>
          <w:color w:val="auto"/>
          <w:sz w:val="24"/>
          <w:szCs w:val="32"/>
        </w:rPr>
      </w:pPr>
      <w:r>
        <w:rPr>
          <w:b/>
          <w:bCs/>
          <w:color w:val="auto"/>
          <w:sz w:val="24"/>
        </w:rPr>
        <w:t>后评价阶段：</w:t>
      </w:r>
      <w:r>
        <w:rPr>
          <w:color w:val="auto"/>
          <w:sz w:val="24"/>
          <w:szCs w:val="32"/>
        </w:rPr>
        <w:t>项目所在区域地下水环境质量执行《地下水质量标准》（GB/T14848-2017）中的Ⅲ类。具体限值详见下表：</w:t>
      </w:r>
    </w:p>
    <w:p w14:paraId="340331CE">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7</w:t>
      </w:r>
      <w:r>
        <w:rPr>
          <w:b/>
          <w:bCs/>
          <w:color w:val="auto"/>
          <w:sz w:val="24"/>
          <w:szCs w:val="32"/>
        </w:rPr>
        <w:t xml:space="preserve"> </w:t>
      </w:r>
      <w:r>
        <w:rPr>
          <w:rFonts w:hint="eastAsia"/>
          <w:b/>
          <w:bCs/>
          <w:color w:val="auto"/>
          <w:sz w:val="24"/>
          <w:szCs w:val="32"/>
          <w:lang w:val="en-US" w:eastAsia="zh-CN"/>
        </w:rPr>
        <w:t>后评价阶段</w:t>
      </w:r>
      <w:r>
        <w:rPr>
          <w:b/>
          <w:bCs/>
          <w:color w:val="auto"/>
          <w:sz w:val="24"/>
          <w:szCs w:val="32"/>
        </w:rPr>
        <w:t>地下水环境质量标准</w:t>
      </w:r>
    </w:p>
    <w:tbl>
      <w:tblPr>
        <w:tblStyle w:val="31"/>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91"/>
        <w:gridCol w:w="3092"/>
        <w:gridCol w:w="1145"/>
        <w:gridCol w:w="3224"/>
      </w:tblGrid>
      <w:tr w14:paraId="1F84A2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tcBorders>
              <w:tl2br w:val="nil"/>
              <w:tr2bl w:val="nil"/>
            </w:tcBorders>
            <w:vAlign w:val="center"/>
          </w:tcPr>
          <w:p w14:paraId="799A7F74">
            <w:pPr>
              <w:jc w:val="center"/>
              <w:rPr>
                <w:b/>
                <w:bCs/>
                <w:color w:val="auto"/>
              </w:rPr>
            </w:pPr>
            <w:r>
              <w:rPr>
                <w:b/>
                <w:bCs/>
                <w:color w:val="auto"/>
              </w:rPr>
              <w:t>标准类别</w:t>
            </w:r>
          </w:p>
        </w:tc>
        <w:tc>
          <w:tcPr>
            <w:tcW w:w="1553" w:type="pct"/>
            <w:tcBorders>
              <w:tl2br w:val="nil"/>
              <w:tr2bl w:val="nil"/>
            </w:tcBorders>
            <w:vAlign w:val="center"/>
          </w:tcPr>
          <w:p w14:paraId="37187A41">
            <w:pPr>
              <w:jc w:val="center"/>
              <w:rPr>
                <w:b/>
                <w:bCs/>
                <w:color w:val="auto"/>
              </w:rPr>
            </w:pPr>
            <w:r>
              <w:rPr>
                <w:b/>
                <w:bCs/>
                <w:color w:val="auto"/>
              </w:rPr>
              <w:t>项目</w:t>
            </w:r>
          </w:p>
        </w:tc>
        <w:tc>
          <w:tcPr>
            <w:tcW w:w="575" w:type="pct"/>
            <w:tcBorders>
              <w:tl2br w:val="nil"/>
              <w:tr2bl w:val="nil"/>
            </w:tcBorders>
            <w:vAlign w:val="center"/>
          </w:tcPr>
          <w:p w14:paraId="4116E5DB">
            <w:pPr>
              <w:jc w:val="center"/>
              <w:rPr>
                <w:b/>
                <w:bCs/>
                <w:color w:val="auto"/>
              </w:rPr>
            </w:pPr>
            <w:r>
              <w:rPr>
                <w:b/>
                <w:bCs/>
                <w:color w:val="auto"/>
              </w:rPr>
              <w:t>单位</w:t>
            </w:r>
          </w:p>
        </w:tc>
        <w:tc>
          <w:tcPr>
            <w:tcW w:w="1619" w:type="pct"/>
            <w:tcBorders>
              <w:tl2br w:val="nil"/>
              <w:tr2bl w:val="nil"/>
            </w:tcBorders>
            <w:vAlign w:val="center"/>
          </w:tcPr>
          <w:p w14:paraId="267CDF06">
            <w:pPr>
              <w:jc w:val="center"/>
              <w:rPr>
                <w:b/>
                <w:bCs/>
                <w:color w:val="auto"/>
              </w:rPr>
            </w:pPr>
            <w:r>
              <w:rPr>
                <w:b/>
                <w:bCs/>
                <w:color w:val="auto"/>
              </w:rPr>
              <w:t>Ⅲ类</w:t>
            </w:r>
          </w:p>
        </w:tc>
      </w:tr>
      <w:tr w14:paraId="56566B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restart"/>
            <w:tcBorders>
              <w:tl2br w:val="nil"/>
              <w:tr2bl w:val="nil"/>
            </w:tcBorders>
            <w:vAlign w:val="center"/>
          </w:tcPr>
          <w:p w14:paraId="3E4F6122">
            <w:pPr>
              <w:jc w:val="center"/>
              <w:rPr>
                <w:color w:val="auto"/>
              </w:rPr>
            </w:pPr>
            <w:r>
              <w:rPr>
                <w:color w:val="auto"/>
              </w:rPr>
              <w:t>《地下水质量标准》</w:t>
            </w:r>
          </w:p>
          <w:p w14:paraId="064E30B1">
            <w:pPr>
              <w:jc w:val="center"/>
              <w:rPr>
                <w:color w:val="auto"/>
              </w:rPr>
            </w:pPr>
            <w:r>
              <w:rPr>
                <w:color w:val="auto"/>
              </w:rPr>
              <w:t>GB/T14848-2017</w:t>
            </w:r>
          </w:p>
        </w:tc>
        <w:tc>
          <w:tcPr>
            <w:tcW w:w="1553" w:type="pct"/>
            <w:tcBorders>
              <w:tl2br w:val="nil"/>
              <w:tr2bl w:val="nil"/>
            </w:tcBorders>
            <w:vAlign w:val="center"/>
          </w:tcPr>
          <w:p w14:paraId="00AEB9E4">
            <w:pPr>
              <w:jc w:val="center"/>
              <w:rPr>
                <w:color w:val="auto"/>
              </w:rPr>
            </w:pPr>
            <w:r>
              <w:rPr>
                <w:color w:val="auto"/>
              </w:rPr>
              <w:t>pH</w:t>
            </w:r>
          </w:p>
        </w:tc>
        <w:tc>
          <w:tcPr>
            <w:tcW w:w="575" w:type="pct"/>
            <w:tcBorders>
              <w:tl2br w:val="nil"/>
              <w:tr2bl w:val="nil"/>
            </w:tcBorders>
            <w:vAlign w:val="center"/>
          </w:tcPr>
          <w:p w14:paraId="4A1E0D29">
            <w:pPr>
              <w:jc w:val="center"/>
              <w:rPr>
                <w:color w:val="auto"/>
              </w:rPr>
            </w:pPr>
            <w:r>
              <w:rPr>
                <w:color w:val="auto"/>
              </w:rPr>
              <w:t>--</w:t>
            </w:r>
          </w:p>
        </w:tc>
        <w:tc>
          <w:tcPr>
            <w:tcW w:w="1619" w:type="pct"/>
            <w:tcBorders>
              <w:tl2br w:val="nil"/>
              <w:tr2bl w:val="nil"/>
            </w:tcBorders>
            <w:vAlign w:val="center"/>
          </w:tcPr>
          <w:p w14:paraId="7DEBB39C">
            <w:pPr>
              <w:jc w:val="center"/>
              <w:rPr>
                <w:color w:val="auto"/>
              </w:rPr>
            </w:pPr>
            <w:r>
              <w:rPr>
                <w:color w:val="auto"/>
              </w:rPr>
              <w:t>6.5～8.5</w:t>
            </w:r>
          </w:p>
        </w:tc>
      </w:tr>
      <w:tr w14:paraId="15756D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4C68A7B6">
            <w:pPr>
              <w:jc w:val="center"/>
              <w:rPr>
                <w:color w:val="auto"/>
              </w:rPr>
            </w:pPr>
          </w:p>
        </w:tc>
        <w:tc>
          <w:tcPr>
            <w:tcW w:w="1553" w:type="pct"/>
            <w:tcBorders>
              <w:tl2br w:val="nil"/>
              <w:tr2bl w:val="nil"/>
            </w:tcBorders>
            <w:vAlign w:val="center"/>
          </w:tcPr>
          <w:p w14:paraId="65F6C064">
            <w:pPr>
              <w:jc w:val="center"/>
              <w:rPr>
                <w:color w:val="auto"/>
              </w:rPr>
            </w:pPr>
            <w:r>
              <w:rPr>
                <w:color w:val="auto"/>
              </w:rPr>
              <w:t>总硬度（以碳酸钙计）</w:t>
            </w:r>
          </w:p>
        </w:tc>
        <w:tc>
          <w:tcPr>
            <w:tcW w:w="575" w:type="pct"/>
            <w:tcBorders>
              <w:tl2br w:val="nil"/>
              <w:tr2bl w:val="nil"/>
            </w:tcBorders>
            <w:vAlign w:val="center"/>
          </w:tcPr>
          <w:p w14:paraId="463F9CE9">
            <w:pPr>
              <w:jc w:val="center"/>
              <w:rPr>
                <w:color w:val="auto"/>
              </w:rPr>
            </w:pPr>
            <w:r>
              <w:rPr>
                <w:color w:val="auto"/>
              </w:rPr>
              <w:t>mg/L</w:t>
            </w:r>
          </w:p>
        </w:tc>
        <w:tc>
          <w:tcPr>
            <w:tcW w:w="1619" w:type="pct"/>
            <w:tcBorders>
              <w:tl2br w:val="nil"/>
              <w:tr2bl w:val="nil"/>
            </w:tcBorders>
            <w:vAlign w:val="center"/>
          </w:tcPr>
          <w:p w14:paraId="117375A8">
            <w:pPr>
              <w:jc w:val="center"/>
              <w:rPr>
                <w:color w:val="auto"/>
              </w:rPr>
            </w:pPr>
            <w:r>
              <w:rPr>
                <w:color w:val="auto"/>
              </w:rPr>
              <w:t>≤450</w:t>
            </w:r>
          </w:p>
        </w:tc>
      </w:tr>
      <w:tr w14:paraId="18818F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5501F4B0">
            <w:pPr>
              <w:jc w:val="center"/>
              <w:rPr>
                <w:color w:val="auto"/>
              </w:rPr>
            </w:pPr>
          </w:p>
        </w:tc>
        <w:tc>
          <w:tcPr>
            <w:tcW w:w="1553" w:type="pct"/>
            <w:tcBorders>
              <w:tl2br w:val="nil"/>
              <w:tr2bl w:val="nil"/>
            </w:tcBorders>
            <w:vAlign w:val="center"/>
          </w:tcPr>
          <w:p w14:paraId="4714EC03">
            <w:pPr>
              <w:jc w:val="center"/>
              <w:rPr>
                <w:color w:val="auto"/>
              </w:rPr>
            </w:pPr>
            <w:r>
              <w:rPr>
                <w:color w:val="auto"/>
              </w:rPr>
              <w:t>溶解性总固体</w:t>
            </w:r>
          </w:p>
        </w:tc>
        <w:tc>
          <w:tcPr>
            <w:tcW w:w="575" w:type="pct"/>
            <w:tcBorders>
              <w:tl2br w:val="nil"/>
              <w:tr2bl w:val="nil"/>
            </w:tcBorders>
            <w:vAlign w:val="center"/>
          </w:tcPr>
          <w:p w14:paraId="08AF1466">
            <w:pPr>
              <w:jc w:val="center"/>
              <w:rPr>
                <w:color w:val="auto"/>
              </w:rPr>
            </w:pPr>
            <w:r>
              <w:rPr>
                <w:color w:val="auto"/>
              </w:rPr>
              <w:t>mg/L</w:t>
            </w:r>
          </w:p>
        </w:tc>
        <w:tc>
          <w:tcPr>
            <w:tcW w:w="1619" w:type="pct"/>
            <w:tcBorders>
              <w:tl2br w:val="nil"/>
              <w:tr2bl w:val="nil"/>
            </w:tcBorders>
            <w:vAlign w:val="center"/>
          </w:tcPr>
          <w:p w14:paraId="3FAE3059">
            <w:pPr>
              <w:jc w:val="center"/>
              <w:rPr>
                <w:color w:val="auto"/>
              </w:rPr>
            </w:pPr>
            <w:r>
              <w:rPr>
                <w:color w:val="auto"/>
              </w:rPr>
              <w:t>≤1000</w:t>
            </w:r>
          </w:p>
        </w:tc>
      </w:tr>
      <w:tr w14:paraId="056E94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3D584746">
            <w:pPr>
              <w:jc w:val="center"/>
              <w:rPr>
                <w:color w:val="auto"/>
              </w:rPr>
            </w:pPr>
          </w:p>
        </w:tc>
        <w:tc>
          <w:tcPr>
            <w:tcW w:w="1553" w:type="pct"/>
            <w:tcBorders>
              <w:tl2br w:val="nil"/>
              <w:tr2bl w:val="nil"/>
            </w:tcBorders>
            <w:vAlign w:val="center"/>
          </w:tcPr>
          <w:p w14:paraId="7EB31275">
            <w:pPr>
              <w:jc w:val="center"/>
              <w:rPr>
                <w:color w:val="auto"/>
              </w:rPr>
            </w:pPr>
            <w:r>
              <w:rPr>
                <w:color w:val="auto"/>
              </w:rPr>
              <w:t>耗氧量</w:t>
            </w:r>
          </w:p>
        </w:tc>
        <w:tc>
          <w:tcPr>
            <w:tcW w:w="575" w:type="pct"/>
            <w:tcBorders>
              <w:tl2br w:val="nil"/>
              <w:tr2bl w:val="nil"/>
            </w:tcBorders>
            <w:vAlign w:val="center"/>
          </w:tcPr>
          <w:p w14:paraId="36D7FE07">
            <w:pPr>
              <w:jc w:val="center"/>
              <w:rPr>
                <w:color w:val="auto"/>
              </w:rPr>
            </w:pPr>
            <w:r>
              <w:rPr>
                <w:color w:val="auto"/>
              </w:rPr>
              <w:t>mg/L</w:t>
            </w:r>
          </w:p>
        </w:tc>
        <w:tc>
          <w:tcPr>
            <w:tcW w:w="1619" w:type="pct"/>
            <w:tcBorders>
              <w:tl2br w:val="nil"/>
              <w:tr2bl w:val="nil"/>
            </w:tcBorders>
            <w:vAlign w:val="center"/>
          </w:tcPr>
          <w:p w14:paraId="17391F33">
            <w:pPr>
              <w:jc w:val="center"/>
              <w:rPr>
                <w:color w:val="auto"/>
              </w:rPr>
            </w:pPr>
            <w:r>
              <w:rPr>
                <w:color w:val="auto"/>
              </w:rPr>
              <w:t>≤3.0</w:t>
            </w:r>
          </w:p>
        </w:tc>
      </w:tr>
      <w:tr w14:paraId="6D1DE2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7E31F30F">
            <w:pPr>
              <w:jc w:val="center"/>
              <w:rPr>
                <w:color w:val="auto"/>
              </w:rPr>
            </w:pPr>
          </w:p>
        </w:tc>
        <w:tc>
          <w:tcPr>
            <w:tcW w:w="1553" w:type="pct"/>
            <w:tcBorders>
              <w:tl2br w:val="nil"/>
              <w:tr2bl w:val="nil"/>
            </w:tcBorders>
            <w:vAlign w:val="center"/>
          </w:tcPr>
          <w:p w14:paraId="5D4685D3">
            <w:pPr>
              <w:jc w:val="center"/>
              <w:rPr>
                <w:color w:val="auto"/>
              </w:rPr>
            </w:pPr>
            <w:r>
              <w:rPr>
                <w:color w:val="auto"/>
              </w:rPr>
              <w:t>氨氮</w:t>
            </w:r>
          </w:p>
        </w:tc>
        <w:tc>
          <w:tcPr>
            <w:tcW w:w="575" w:type="pct"/>
            <w:tcBorders>
              <w:tl2br w:val="nil"/>
              <w:tr2bl w:val="nil"/>
            </w:tcBorders>
            <w:vAlign w:val="center"/>
          </w:tcPr>
          <w:p w14:paraId="7588E7C2">
            <w:pPr>
              <w:jc w:val="center"/>
              <w:rPr>
                <w:color w:val="auto"/>
              </w:rPr>
            </w:pPr>
            <w:r>
              <w:rPr>
                <w:color w:val="auto"/>
              </w:rPr>
              <w:t>mg/L</w:t>
            </w:r>
          </w:p>
        </w:tc>
        <w:tc>
          <w:tcPr>
            <w:tcW w:w="1619" w:type="pct"/>
            <w:tcBorders>
              <w:tl2br w:val="nil"/>
              <w:tr2bl w:val="nil"/>
            </w:tcBorders>
            <w:vAlign w:val="center"/>
          </w:tcPr>
          <w:p w14:paraId="20300433">
            <w:pPr>
              <w:jc w:val="center"/>
              <w:rPr>
                <w:color w:val="auto"/>
              </w:rPr>
            </w:pPr>
            <w:r>
              <w:rPr>
                <w:color w:val="auto"/>
              </w:rPr>
              <w:t>≤0.5</w:t>
            </w:r>
          </w:p>
        </w:tc>
      </w:tr>
      <w:tr w14:paraId="2D78A1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2E91ECB9">
            <w:pPr>
              <w:jc w:val="center"/>
              <w:rPr>
                <w:color w:val="auto"/>
              </w:rPr>
            </w:pPr>
          </w:p>
        </w:tc>
        <w:tc>
          <w:tcPr>
            <w:tcW w:w="1553" w:type="pct"/>
            <w:tcBorders>
              <w:tl2br w:val="nil"/>
              <w:tr2bl w:val="nil"/>
            </w:tcBorders>
            <w:vAlign w:val="center"/>
          </w:tcPr>
          <w:p w14:paraId="2F333592">
            <w:pPr>
              <w:jc w:val="center"/>
              <w:rPr>
                <w:color w:val="auto"/>
              </w:rPr>
            </w:pPr>
            <w:r>
              <w:rPr>
                <w:color w:val="auto"/>
              </w:rPr>
              <w:t>硫酸盐</w:t>
            </w:r>
          </w:p>
        </w:tc>
        <w:tc>
          <w:tcPr>
            <w:tcW w:w="575" w:type="pct"/>
            <w:tcBorders>
              <w:tl2br w:val="nil"/>
              <w:tr2bl w:val="nil"/>
            </w:tcBorders>
            <w:vAlign w:val="center"/>
          </w:tcPr>
          <w:p w14:paraId="5A9AFD00">
            <w:pPr>
              <w:jc w:val="center"/>
              <w:rPr>
                <w:color w:val="auto"/>
              </w:rPr>
            </w:pPr>
            <w:r>
              <w:rPr>
                <w:color w:val="auto"/>
              </w:rPr>
              <w:t>mg/L</w:t>
            </w:r>
          </w:p>
        </w:tc>
        <w:tc>
          <w:tcPr>
            <w:tcW w:w="1619" w:type="pct"/>
            <w:tcBorders>
              <w:tl2br w:val="nil"/>
              <w:tr2bl w:val="nil"/>
            </w:tcBorders>
            <w:vAlign w:val="center"/>
          </w:tcPr>
          <w:p w14:paraId="06E8D679">
            <w:pPr>
              <w:jc w:val="center"/>
              <w:rPr>
                <w:color w:val="auto"/>
              </w:rPr>
            </w:pPr>
            <w:r>
              <w:rPr>
                <w:color w:val="auto"/>
              </w:rPr>
              <w:t>≤250</w:t>
            </w:r>
          </w:p>
        </w:tc>
      </w:tr>
      <w:tr w14:paraId="7BCC67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07E7A20A">
            <w:pPr>
              <w:jc w:val="center"/>
              <w:rPr>
                <w:color w:val="auto"/>
              </w:rPr>
            </w:pPr>
          </w:p>
        </w:tc>
        <w:tc>
          <w:tcPr>
            <w:tcW w:w="1553" w:type="pct"/>
            <w:tcBorders>
              <w:tl2br w:val="nil"/>
              <w:tr2bl w:val="nil"/>
            </w:tcBorders>
            <w:vAlign w:val="center"/>
          </w:tcPr>
          <w:p w14:paraId="5C4016EC">
            <w:pPr>
              <w:jc w:val="center"/>
              <w:rPr>
                <w:color w:val="auto"/>
              </w:rPr>
            </w:pPr>
            <w:r>
              <w:rPr>
                <w:color w:val="auto"/>
              </w:rPr>
              <w:t>氯化物</w:t>
            </w:r>
          </w:p>
        </w:tc>
        <w:tc>
          <w:tcPr>
            <w:tcW w:w="575" w:type="pct"/>
            <w:tcBorders>
              <w:tl2br w:val="nil"/>
              <w:tr2bl w:val="nil"/>
            </w:tcBorders>
            <w:vAlign w:val="center"/>
          </w:tcPr>
          <w:p w14:paraId="21BC4BE7">
            <w:pPr>
              <w:jc w:val="center"/>
              <w:rPr>
                <w:color w:val="auto"/>
              </w:rPr>
            </w:pPr>
            <w:r>
              <w:rPr>
                <w:color w:val="auto"/>
              </w:rPr>
              <w:t>mg/L</w:t>
            </w:r>
          </w:p>
        </w:tc>
        <w:tc>
          <w:tcPr>
            <w:tcW w:w="1619" w:type="pct"/>
            <w:tcBorders>
              <w:tl2br w:val="nil"/>
              <w:tr2bl w:val="nil"/>
            </w:tcBorders>
            <w:vAlign w:val="center"/>
          </w:tcPr>
          <w:p w14:paraId="4FB8B389">
            <w:pPr>
              <w:jc w:val="center"/>
              <w:rPr>
                <w:color w:val="auto"/>
              </w:rPr>
            </w:pPr>
            <w:r>
              <w:rPr>
                <w:color w:val="auto"/>
              </w:rPr>
              <w:t>≤250</w:t>
            </w:r>
          </w:p>
        </w:tc>
      </w:tr>
      <w:tr w14:paraId="5C8744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6BB37BE5">
            <w:pPr>
              <w:jc w:val="center"/>
              <w:rPr>
                <w:color w:val="auto"/>
              </w:rPr>
            </w:pPr>
          </w:p>
        </w:tc>
        <w:tc>
          <w:tcPr>
            <w:tcW w:w="1553" w:type="pct"/>
            <w:tcBorders>
              <w:tl2br w:val="nil"/>
              <w:tr2bl w:val="nil"/>
            </w:tcBorders>
            <w:vAlign w:val="center"/>
          </w:tcPr>
          <w:p w14:paraId="5FA4E4D2">
            <w:pPr>
              <w:jc w:val="center"/>
              <w:rPr>
                <w:color w:val="auto"/>
              </w:rPr>
            </w:pPr>
            <w:r>
              <w:rPr>
                <w:color w:val="auto"/>
              </w:rPr>
              <w:t>硝酸盐</w:t>
            </w:r>
          </w:p>
        </w:tc>
        <w:tc>
          <w:tcPr>
            <w:tcW w:w="575" w:type="pct"/>
            <w:tcBorders>
              <w:tl2br w:val="nil"/>
              <w:tr2bl w:val="nil"/>
            </w:tcBorders>
            <w:vAlign w:val="center"/>
          </w:tcPr>
          <w:p w14:paraId="53EB2407">
            <w:pPr>
              <w:jc w:val="center"/>
              <w:rPr>
                <w:color w:val="auto"/>
              </w:rPr>
            </w:pPr>
            <w:r>
              <w:rPr>
                <w:color w:val="auto"/>
              </w:rPr>
              <w:t>mg/L</w:t>
            </w:r>
          </w:p>
        </w:tc>
        <w:tc>
          <w:tcPr>
            <w:tcW w:w="1619" w:type="pct"/>
            <w:tcBorders>
              <w:tl2br w:val="nil"/>
              <w:tr2bl w:val="nil"/>
            </w:tcBorders>
            <w:vAlign w:val="center"/>
          </w:tcPr>
          <w:p w14:paraId="7ED21547">
            <w:pPr>
              <w:jc w:val="center"/>
              <w:rPr>
                <w:color w:val="auto"/>
              </w:rPr>
            </w:pPr>
            <w:r>
              <w:rPr>
                <w:color w:val="auto"/>
              </w:rPr>
              <w:t>≤20</w:t>
            </w:r>
          </w:p>
        </w:tc>
      </w:tr>
      <w:tr w14:paraId="776B4A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4C68FCA4">
            <w:pPr>
              <w:jc w:val="center"/>
              <w:rPr>
                <w:color w:val="auto"/>
              </w:rPr>
            </w:pPr>
          </w:p>
        </w:tc>
        <w:tc>
          <w:tcPr>
            <w:tcW w:w="1553" w:type="pct"/>
            <w:tcBorders>
              <w:tl2br w:val="nil"/>
              <w:tr2bl w:val="nil"/>
            </w:tcBorders>
            <w:vAlign w:val="center"/>
          </w:tcPr>
          <w:p w14:paraId="72B1082D">
            <w:pPr>
              <w:jc w:val="center"/>
              <w:rPr>
                <w:color w:val="auto"/>
              </w:rPr>
            </w:pPr>
            <w:r>
              <w:rPr>
                <w:color w:val="auto"/>
              </w:rPr>
              <w:t>亚硝酸盐</w:t>
            </w:r>
          </w:p>
        </w:tc>
        <w:tc>
          <w:tcPr>
            <w:tcW w:w="575" w:type="pct"/>
            <w:tcBorders>
              <w:tl2br w:val="nil"/>
              <w:tr2bl w:val="nil"/>
            </w:tcBorders>
            <w:vAlign w:val="center"/>
          </w:tcPr>
          <w:p w14:paraId="0C939612">
            <w:pPr>
              <w:jc w:val="center"/>
              <w:rPr>
                <w:color w:val="auto"/>
              </w:rPr>
            </w:pPr>
            <w:r>
              <w:rPr>
                <w:color w:val="auto"/>
              </w:rPr>
              <w:t>mg/L</w:t>
            </w:r>
          </w:p>
        </w:tc>
        <w:tc>
          <w:tcPr>
            <w:tcW w:w="1619" w:type="pct"/>
            <w:tcBorders>
              <w:tl2br w:val="nil"/>
              <w:tr2bl w:val="nil"/>
            </w:tcBorders>
            <w:vAlign w:val="center"/>
          </w:tcPr>
          <w:p w14:paraId="14F0DD6D">
            <w:pPr>
              <w:jc w:val="center"/>
              <w:rPr>
                <w:color w:val="auto"/>
              </w:rPr>
            </w:pPr>
            <w:r>
              <w:rPr>
                <w:color w:val="auto"/>
              </w:rPr>
              <w:t>≤1.0</w:t>
            </w:r>
          </w:p>
        </w:tc>
      </w:tr>
      <w:tr w14:paraId="4ADACF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6A1621A2">
            <w:pPr>
              <w:jc w:val="center"/>
              <w:rPr>
                <w:color w:val="auto"/>
              </w:rPr>
            </w:pPr>
          </w:p>
        </w:tc>
        <w:tc>
          <w:tcPr>
            <w:tcW w:w="1553" w:type="pct"/>
            <w:tcBorders>
              <w:tl2br w:val="nil"/>
              <w:tr2bl w:val="nil"/>
            </w:tcBorders>
            <w:vAlign w:val="center"/>
          </w:tcPr>
          <w:p w14:paraId="6E153DE8">
            <w:pPr>
              <w:jc w:val="center"/>
              <w:rPr>
                <w:color w:val="auto"/>
              </w:rPr>
            </w:pPr>
            <w:r>
              <w:rPr>
                <w:color w:val="auto"/>
              </w:rPr>
              <w:t>挥发性酚类</w:t>
            </w:r>
          </w:p>
        </w:tc>
        <w:tc>
          <w:tcPr>
            <w:tcW w:w="575" w:type="pct"/>
            <w:tcBorders>
              <w:tl2br w:val="nil"/>
              <w:tr2bl w:val="nil"/>
            </w:tcBorders>
            <w:vAlign w:val="center"/>
          </w:tcPr>
          <w:p w14:paraId="3FF4E95D">
            <w:pPr>
              <w:jc w:val="center"/>
              <w:rPr>
                <w:color w:val="auto"/>
              </w:rPr>
            </w:pPr>
            <w:r>
              <w:rPr>
                <w:color w:val="auto"/>
              </w:rPr>
              <w:t>mg/L</w:t>
            </w:r>
          </w:p>
        </w:tc>
        <w:tc>
          <w:tcPr>
            <w:tcW w:w="1619" w:type="pct"/>
            <w:tcBorders>
              <w:tl2br w:val="nil"/>
              <w:tr2bl w:val="nil"/>
            </w:tcBorders>
            <w:vAlign w:val="center"/>
          </w:tcPr>
          <w:p w14:paraId="31A966D5">
            <w:pPr>
              <w:jc w:val="center"/>
              <w:rPr>
                <w:color w:val="auto"/>
              </w:rPr>
            </w:pPr>
            <w:r>
              <w:rPr>
                <w:color w:val="auto"/>
              </w:rPr>
              <w:t>≤0.002</w:t>
            </w:r>
          </w:p>
        </w:tc>
      </w:tr>
      <w:tr w14:paraId="27F2C5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474D83DF">
            <w:pPr>
              <w:jc w:val="center"/>
              <w:rPr>
                <w:color w:val="auto"/>
              </w:rPr>
            </w:pPr>
          </w:p>
        </w:tc>
        <w:tc>
          <w:tcPr>
            <w:tcW w:w="1553" w:type="pct"/>
            <w:tcBorders>
              <w:tl2br w:val="nil"/>
              <w:tr2bl w:val="nil"/>
            </w:tcBorders>
            <w:vAlign w:val="center"/>
          </w:tcPr>
          <w:p w14:paraId="03C8CFA4">
            <w:pPr>
              <w:jc w:val="center"/>
              <w:rPr>
                <w:color w:val="auto"/>
              </w:rPr>
            </w:pPr>
            <w:r>
              <w:rPr>
                <w:color w:val="auto"/>
              </w:rPr>
              <w:t>氰化物</w:t>
            </w:r>
          </w:p>
        </w:tc>
        <w:tc>
          <w:tcPr>
            <w:tcW w:w="575" w:type="pct"/>
            <w:tcBorders>
              <w:tl2br w:val="nil"/>
              <w:tr2bl w:val="nil"/>
            </w:tcBorders>
            <w:vAlign w:val="center"/>
          </w:tcPr>
          <w:p w14:paraId="49D280F2">
            <w:pPr>
              <w:jc w:val="center"/>
              <w:rPr>
                <w:color w:val="auto"/>
              </w:rPr>
            </w:pPr>
            <w:r>
              <w:rPr>
                <w:color w:val="auto"/>
              </w:rPr>
              <w:t>mg/L</w:t>
            </w:r>
          </w:p>
        </w:tc>
        <w:tc>
          <w:tcPr>
            <w:tcW w:w="1619" w:type="pct"/>
            <w:tcBorders>
              <w:tl2br w:val="nil"/>
              <w:tr2bl w:val="nil"/>
            </w:tcBorders>
            <w:vAlign w:val="center"/>
          </w:tcPr>
          <w:p w14:paraId="2BA9B0DD">
            <w:pPr>
              <w:jc w:val="center"/>
              <w:rPr>
                <w:color w:val="auto"/>
              </w:rPr>
            </w:pPr>
            <w:r>
              <w:rPr>
                <w:color w:val="auto"/>
              </w:rPr>
              <w:t>≤0.05</w:t>
            </w:r>
          </w:p>
        </w:tc>
      </w:tr>
      <w:tr w14:paraId="1A80A7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279B6088">
            <w:pPr>
              <w:jc w:val="center"/>
              <w:rPr>
                <w:color w:val="auto"/>
              </w:rPr>
            </w:pPr>
          </w:p>
        </w:tc>
        <w:tc>
          <w:tcPr>
            <w:tcW w:w="1553" w:type="pct"/>
            <w:tcBorders>
              <w:tl2br w:val="nil"/>
              <w:tr2bl w:val="nil"/>
            </w:tcBorders>
            <w:vAlign w:val="center"/>
          </w:tcPr>
          <w:p w14:paraId="0ED2FC14">
            <w:pPr>
              <w:jc w:val="center"/>
              <w:rPr>
                <w:color w:val="auto"/>
              </w:rPr>
            </w:pPr>
            <w:r>
              <w:rPr>
                <w:color w:val="auto"/>
              </w:rPr>
              <w:t>镉</w:t>
            </w:r>
          </w:p>
        </w:tc>
        <w:tc>
          <w:tcPr>
            <w:tcW w:w="575" w:type="pct"/>
            <w:tcBorders>
              <w:tl2br w:val="nil"/>
              <w:tr2bl w:val="nil"/>
            </w:tcBorders>
            <w:vAlign w:val="center"/>
          </w:tcPr>
          <w:p w14:paraId="4F1D475C">
            <w:pPr>
              <w:jc w:val="center"/>
              <w:rPr>
                <w:color w:val="auto"/>
              </w:rPr>
            </w:pPr>
            <w:r>
              <w:rPr>
                <w:color w:val="auto"/>
              </w:rPr>
              <w:t>mg/L</w:t>
            </w:r>
          </w:p>
        </w:tc>
        <w:tc>
          <w:tcPr>
            <w:tcW w:w="1619" w:type="pct"/>
            <w:tcBorders>
              <w:tl2br w:val="nil"/>
              <w:tr2bl w:val="nil"/>
            </w:tcBorders>
            <w:vAlign w:val="center"/>
          </w:tcPr>
          <w:p w14:paraId="314761D3">
            <w:pPr>
              <w:jc w:val="center"/>
              <w:rPr>
                <w:color w:val="auto"/>
              </w:rPr>
            </w:pPr>
            <w:r>
              <w:rPr>
                <w:color w:val="auto"/>
              </w:rPr>
              <w:t>≤0.005</w:t>
            </w:r>
          </w:p>
        </w:tc>
      </w:tr>
      <w:tr w14:paraId="62C08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54A5ECA1">
            <w:pPr>
              <w:jc w:val="center"/>
              <w:rPr>
                <w:color w:val="auto"/>
              </w:rPr>
            </w:pPr>
          </w:p>
        </w:tc>
        <w:tc>
          <w:tcPr>
            <w:tcW w:w="1553" w:type="pct"/>
            <w:tcBorders>
              <w:tl2br w:val="nil"/>
              <w:tr2bl w:val="nil"/>
            </w:tcBorders>
            <w:vAlign w:val="center"/>
          </w:tcPr>
          <w:p w14:paraId="7C73B93F">
            <w:pPr>
              <w:jc w:val="center"/>
              <w:rPr>
                <w:color w:val="auto"/>
              </w:rPr>
            </w:pPr>
            <w:r>
              <w:rPr>
                <w:color w:val="auto"/>
              </w:rPr>
              <w:t>砷</w:t>
            </w:r>
          </w:p>
        </w:tc>
        <w:tc>
          <w:tcPr>
            <w:tcW w:w="575" w:type="pct"/>
            <w:tcBorders>
              <w:tl2br w:val="nil"/>
              <w:tr2bl w:val="nil"/>
            </w:tcBorders>
            <w:vAlign w:val="center"/>
          </w:tcPr>
          <w:p w14:paraId="7E96A124">
            <w:pPr>
              <w:jc w:val="center"/>
              <w:rPr>
                <w:color w:val="auto"/>
              </w:rPr>
            </w:pPr>
            <w:r>
              <w:rPr>
                <w:color w:val="auto"/>
              </w:rPr>
              <w:t>mg/L</w:t>
            </w:r>
          </w:p>
        </w:tc>
        <w:tc>
          <w:tcPr>
            <w:tcW w:w="1619" w:type="pct"/>
            <w:tcBorders>
              <w:tl2br w:val="nil"/>
              <w:tr2bl w:val="nil"/>
            </w:tcBorders>
            <w:vAlign w:val="center"/>
          </w:tcPr>
          <w:p w14:paraId="73B0DAA3">
            <w:pPr>
              <w:jc w:val="center"/>
              <w:rPr>
                <w:color w:val="auto"/>
              </w:rPr>
            </w:pPr>
            <w:r>
              <w:rPr>
                <w:color w:val="auto"/>
              </w:rPr>
              <w:t>≤0.01</w:t>
            </w:r>
          </w:p>
        </w:tc>
      </w:tr>
      <w:tr w14:paraId="641E2B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0E720E82">
            <w:pPr>
              <w:jc w:val="center"/>
              <w:rPr>
                <w:color w:val="auto"/>
              </w:rPr>
            </w:pPr>
          </w:p>
        </w:tc>
        <w:tc>
          <w:tcPr>
            <w:tcW w:w="1553" w:type="pct"/>
            <w:tcBorders>
              <w:tl2br w:val="nil"/>
              <w:tr2bl w:val="nil"/>
            </w:tcBorders>
            <w:vAlign w:val="center"/>
          </w:tcPr>
          <w:p w14:paraId="48A33C16">
            <w:pPr>
              <w:jc w:val="center"/>
              <w:rPr>
                <w:color w:val="auto"/>
              </w:rPr>
            </w:pPr>
            <w:r>
              <w:rPr>
                <w:color w:val="auto"/>
              </w:rPr>
              <w:t>铬（六价）</w:t>
            </w:r>
          </w:p>
        </w:tc>
        <w:tc>
          <w:tcPr>
            <w:tcW w:w="575" w:type="pct"/>
            <w:tcBorders>
              <w:tl2br w:val="nil"/>
              <w:tr2bl w:val="nil"/>
            </w:tcBorders>
            <w:vAlign w:val="center"/>
          </w:tcPr>
          <w:p w14:paraId="3944EDF0">
            <w:pPr>
              <w:jc w:val="center"/>
              <w:rPr>
                <w:color w:val="auto"/>
              </w:rPr>
            </w:pPr>
            <w:r>
              <w:rPr>
                <w:color w:val="auto"/>
              </w:rPr>
              <w:t>mg/L</w:t>
            </w:r>
          </w:p>
        </w:tc>
        <w:tc>
          <w:tcPr>
            <w:tcW w:w="1619" w:type="pct"/>
            <w:tcBorders>
              <w:tl2br w:val="nil"/>
              <w:tr2bl w:val="nil"/>
            </w:tcBorders>
            <w:vAlign w:val="center"/>
          </w:tcPr>
          <w:p w14:paraId="2468D0C7">
            <w:pPr>
              <w:jc w:val="center"/>
              <w:rPr>
                <w:color w:val="auto"/>
              </w:rPr>
            </w:pPr>
            <w:r>
              <w:rPr>
                <w:color w:val="auto"/>
              </w:rPr>
              <w:t>≤0.05</w:t>
            </w:r>
          </w:p>
        </w:tc>
      </w:tr>
      <w:tr w14:paraId="09D008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74831237">
            <w:pPr>
              <w:jc w:val="center"/>
              <w:rPr>
                <w:color w:val="auto"/>
              </w:rPr>
            </w:pPr>
          </w:p>
        </w:tc>
        <w:tc>
          <w:tcPr>
            <w:tcW w:w="1553" w:type="pct"/>
            <w:tcBorders>
              <w:tl2br w:val="nil"/>
              <w:tr2bl w:val="nil"/>
            </w:tcBorders>
            <w:vAlign w:val="center"/>
          </w:tcPr>
          <w:p w14:paraId="635EB167">
            <w:pPr>
              <w:jc w:val="center"/>
              <w:rPr>
                <w:color w:val="auto"/>
              </w:rPr>
            </w:pPr>
            <w:r>
              <w:rPr>
                <w:color w:val="auto"/>
              </w:rPr>
              <w:t>汞</w:t>
            </w:r>
          </w:p>
        </w:tc>
        <w:tc>
          <w:tcPr>
            <w:tcW w:w="575" w:type="pct"/>
            <w:tcBorders>
              <w:tl2br w:val="nil"/>
              <w:tr2bl w:val="nil"/>
            </w:tcBorders>
            <w:vAlign w:val="center"/>
          </w:tcPr>
          <w:p w14:paraId="42C8AC23">
            <w:pPr>
              <w:jc w:val="center"/>
              <w:rPr>
                <w:color w:val="auto"/>
              </w:rPr>
            </w:pPr>
            <w:r>
              <w:rPr>
                <w:color w:val="auto"/>
              </w:rPr>
              <w:t>mg/L</w:t>
            </w:r>
          </w:p>
        </w:tc>
        <w:tc>
          <w:tcPr>
            <w:tcW w:w="1619" w:type="pct"/>
            <w:tcBorders>
              <w:tl2br w:val="nil"/>
              <w:tr2bl w:val="nil"/>
            </w:tcBorders>
            <w:vAlign w:val="center"/>
          </w:tcPr>
          <w:p w14:paraId="27808DE3">
            <w:pPr>
              <w:jc w:val="center"/>
              <w:rPr>
                <w:color w:val="auto"/>
              </w:rPr>
            </w:pPr>
            <w:r>
              <w:rPr>
                <w:color w:val="auto"/>
              </w:rPr>
              <w:t>≤0.001</w:t>
            </w:r>
          </w:p>
        </w:tc>
      </w:tr>
      <w:tr w14:paraId="0BA433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0CED361A">
            <w:pPr>
              <w:jc w:val="center"/>
              <w:rPr>
                <w:color w:val="auto"/>
              </w:rPr>
            </w:pPr>
          </w:p>
        </w:tc>
        <w:tc>
          <w:tcPr>
            <w:tcW w:w="1553" w:type="pct"/>
            <w:tcBorders>
              <w:tl2br w:val="nil"/>
              <w:tr2bl w:val="nil"/>
            </w:tcBorders>
            <w:vAlign w:val="center"/>
          </w:tcPr>
          <w:p w14:paraId="03413055">
            <w:pPr>
              <w:jc w:val="center"/>
              <w:rPr>
                <w:color w:val="auto"/>
              </w:rPr>
            </w:pPr>
            <w:r>
              <w:rPr>
                <w:color w:val="auto"/>
              </w:rPr>
              <w:t>铅</w:t>
            </w:r>
          </w:p>
        </w:tc>
        <w:tc>
          <w:tcPr>
            <w:tcW w:w="575" w:type="pct"/>
            <w:tcBorders>
              <w:tl2br w:val="nil"/>
              <w:tr2bl w:val="nil"/>
            </w:tcBorders>
            <w:vAlign w:val="center"/>
          </w:tcPr>
          <w:p w14:paraId="76E7D8C9">
            <w:pPr>
              <w:jc w:val="center"/>
              <w:rPr>
                <w:color w:val="auto"/>
              </w:rPr>
            </w:pPr>
            <w:r>
              <w:rPr>
                <w:color w:val="auto"/>
              </w:rPr>
              <w:t>mg/L</w:t>
            </w:r>
          </w:p>
        </w:tc>
        <w:tc>
          <w:tcPr>
            <w:tcW w:w="1619" w:type="pct"/>
            <w:tcBorders>
              <w:tl2br w:val="nil"/>
              <w:tr2bl w:val="nil"/>
            </w:tcBorders>
            <w:vAlign w:val="center"/>
          </w:tcPr>
          <w:p w14:paraId="377481CC">
            <w:pPr>
              <w:jc w:val="center"/>
              <w:rPr>
                <w:color w:val="auto"/>
              </w:rPr>
            </w:pPr>
            <w:r>
              <w:rPr>
                <w:color w:val="auto"/>
              </w:rPr>
              <w:t>≤0.01</w:t>
            </w:r>
          </w:p>
        </w:tc>
      </w:tr>
      <w:tr w14:paraId="1F24AC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35538932">
            <w:pPr>
              <w:jc w:val="center"/>
              <w:rPr>
                <w:color w:val="auto"/>
              </w:rPr>
            </w:pPr>
          </w:p>
        </w:tc>
        <w:tc>
          <w:tcPr>
            <w:tcW w:w="1553" w:type="pct"/>
            <w:tcBorders>
              <w:tl2br w:val="nil"/>
              <w:tr2bl w:val="nil"/>
            </w:tcBorders>
            <w:vAlign w:val="center"/>
          </w:tcPr>
          <w:p w14:paraId="60C31A27">
            <w:pPr>
              <w:jc w:val="center"/>
              <w:rPr>
                <w:color w:val="auto"/>
              </w:rPr>
            </w:pPr>
            <w:r>
              <w:rPr>
                <w:color w:val="auto"/>
              </w:rPr>
              <w:t>铁</w:t>
            </w:r>
          </w:p>
        </w:tc>
        <w:tc>
          <w:tcPr>
            <w:tcW w:w="575" w:type="pct"/>
            <w:tcBorders>
              <w:tl2br w:val="nil"/>
              <w:tr2bl w:val="nil"/>
            </w:tcBorders>
            <w:vAlign w:val="center"/>
          </w:tcPr>
          <w:p w14:paraId="37CF45F3">
            <w:pPr>
              <w:jc w:val="center"/>
              <w:rPr>
                <w:color w:val="auto"/>
              </w:rPr>
            </w:pPr>
            <w:r>
              <w:rPr>
                <w:color w:val="auto"/>
              </w:rPr>
              <w:t>mg/L</w:t>
            </w:r>
          </w:p>
        </w:tc>
        <w:tc>
          <w:tcPr>
            <w:tcW w:w="1619" w:type="pct"/>
            <w:tcBorders>
              <w:tl2br w:val="nil"/>
              <w:tr2bl w:val="nil"/>
            </w:tcBorders>
            <w:vAlign w:val="center"/>
          </w:tcPr>
          <w:p w14:paraId="25BB57D1">
            <w:pPr>
              <w:jc w:val="center"/>
              <w:rPr>
                <w:color w:val="auto"/>
              </w:rPr>
            </w:pPr>
            <w:r>
              <w:rPr>
                <w:color w:val="auto"/>
              </w:rPr>
              <w:t>≤0.3</w:t>
            </w:r>
          </w:p>
        </w:tc>
      </w:tr>
      <w:tr w14:paraId="7FCA9D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5D0A6B7E">
            <w:pPr>
              <w:jc w:val="center"/>
              <w:rPr>
                <w:color w:val="auto"/>
              </w:rPr>
            </w:pPr>
          </w:p>
        </w:tc>
        <w:tc>
          <w:tcPr>
            <w:tcW w:w="1553" w:type="pct"/>
            <w:tcBorders>
              <w:tl2br w:val="nil"/>
              <w:tr2bl w:val="nil"/>
            </w:tcBorders>
            <w:vAlign w:val="center"/>
          </w:tcPr>
          <w:p w14:paraId="73CA9C7C">
            <w:pPr>
              <w:jc w:val="center"/>
              <w:rPr>
                <w:color w:val="auto"/>
              </w:rPr>
            </w:pPr>
            <w:r>
              <w:rPr>
                <w:color w:val="auto"/>
              </w:rPr>
              <w:t>锰</w:t>
            </w:r>
          </w:p>
        </w:tc>
        <w:tc>
          <w:tcPr>
            <w:tcW w:w="575" w:type="pct"/>
            <w:tcBorders>
              <w:tl2br w:val="nil"/>
              <w:tr2bl w:val="nil"/>
            </w:tcBorders>
            <w:vAlign w:val="center"/>
          </w:tcPr>
          <w:p w14:paraId="3EE22779">
            <w:pPr>
              <w:jc w:val="center"/>
              <w:rPr>
                <w:color w:val="auto"/>
              </w:rPr>
            </w:pPr>
            <w:r>
              <w:rPr>
                <w:color w:val="auto"/>
              </w:rPr>
              <w:t>mg/L</w:t>
            </w:r>
          </w:p>
        </w:tc>
        <w:tc>
          <w:tcPr>
            <w:tcW w:w="1619" w:type="pct"/>
            <w:tcBorders>
              <w:tl2br w:val="nil"/>
              <w:tr2bl w:val="nil"/>
            </w:tcBorders>
            <w:vAlign w:val="center"/>
          </w:tcPr>
          <w:p w14:paraId="0511327D">
            <w:pPr>
              <w:jc w:val="center"/>
              <w:rPr>
                <w:color w:val="auto"/>
              </w:rPr>
            </w:pPr>
            <w:r>
              <w:rPr>
                <w:color w:val="auto"/>
              </w:rPr>
              <w:t>≤0.3</w:t>
            </w:r>
          </w:p>
        </w:tc>
      </w:tr>
      <w:tr w14:paraId="55F2FA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1B0D25FE">
            <w:pPr>
              <w:jc w:val="center"/>
              <w:rPr>
                <w:color w:val="auto"/>
              </w:rPr>
            </w:pPr>
          </w:p>
        </w:tc>
        <w:tc>
          <w:tcPr>
            <w:tcW w:w="1553" w:type="pct"/>
            <w:tcBorders>
              <w:tl2br w:val="nil"/>
              <w:tr2bl w:val="nil"/>
            </w:tcBorders>
            <w:vAlign w:val="center"/>
          </w:tcPr>
          <w:p w14:paraId="62773D4A">
            <w:pPr>
              <w:jc w:val="center"/>
              <w:rPr>
                <w:color w:val="auto"/>
              </w:rPr>
            </w:pPr>
            <w:r>
              <w:rPr>
                <w:color w:val="auto"/>
              </w:rPr>
              <w:t>氟化物</w:t>
            </w:r>
          </w:p>
        </w:tc>
        <w:tc>
          <w:tcPr>
            <w:tcW w:w="575" w:type="pct"/>
            <w:tcBorders>
              <w:tl2br w:val="nil"/>
              <w:tr2bl w:val="nil"/>
            </w:tcBorders>
            <w:vAlign w:val="center"/>
          </w:tcPr>
          <w:p w14:paraId="13772CAF">
            <w:pPr>
              <w:jc w:val="center"/>
              <w:rPr>
                <w:color w:val="auto"/>
              </w:rPr>
            </w:pPr>
            <w:r>
              <w:rPr>
                <w:color w:val="auto"/>
              </w:rPr>
              <w:t>mg/L</w:t>
            </w:r>
          </w:p>
        </w:tc>
        <w:tc>
          <w:tcPr>
            <w:tcW w:w="1619" w:type="pct"/>
            <w:tcBorders>
              <w:tl2br w:val="nil"/>
              <w:tr2bl w:val="nil"/>
            </w:tcBorders>
            <w:vAlign w:val="center"/>
          </w:tcPr>
          <w:p w14:paraId="5DF9DF28">
            <w:pPr>
              <w:jc w:val="center"/>
              <w:rPr>
                <w:color w:val="auto"/>
              </w:rPr>
            </w:pPr>
            <w:r>
              <w:rPr>
                <w:color w:val="auto"/>
              </w:rPr>
              <w:t>≤1.0</w:t>
            </w:r>
          </w:p>
        </w:tc>
      </w:tr>
      <w:tr w14:paraId="5FA346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657F8783">
            <w:pPr>
              <w:jc w:val="center"/>
              <w:rPr>
                <w:color w:val="auto"/>
              </w:rPr>
            </w:pPr>
          </w:p>
        </w:tc>
        <w:tc>
          <w:tcPr>
            <w:tcW w:w="1553" w:type="pct"/>
            <w:tcBorders>
              <w:tl2br w:val="nil"/>
              <w:tr2bl w:val="nil"/>
            </w:tcBorders>
            <w:vAlign w:val="center"/>
          </w:tcPr>
          <w:p w14:paraId="687E9616">
            <w:pPr>
              <w:jc w:val="center"/>
              <w:rPr>
                <w:color w:val="auto"/>
              </w:rPr>
            </w:pPr>
            <w:r>
              <w:rPr>
                <w:color w:val="auto"/>
              </w:rPr>
              <w:t>总大肠菌群</w:t>
            </w:r>
          </w:p>
        </w:tc>
        <w:tc>
          <w:tcPr>
            <w:tcW w:w="575" w:type="pct"/>
            <w:tcBorders>
              <w:tl2br w:val="nil"/>
              <w:tr2bl w:val="nil"/>
            </w:tcBorders>
            <w:vAlign w:val="center"/>
          </w:tcPr>
          <w:p w14:paraId="5B50C09A">
            <w:pPr>
              <w:jc w:val="center"/>
              <w:rPr>
                <w:color w:val="auto"/>
              </w:rPr>
            </w:pPr>
            <w:r>
              <w:rPr>
                <w:color w:val="auto"/>
              </w:rPr>
              <w:t>MPN/mL</w:t>
            </w:r>
          </w:p>
        </w:tc>
        <w:tc>
          <w:tcPr>
            <w:tcW w:w="1619" w:type="pct"/>
            <w:tcBorders>
              <w:tl2br w:val="nil"/>
              <w:tr2bl w:val="nil"/>
            </w:tcBorders>
            <w:vAlign w:val="center"/>
          </w:tcPr>
          <w:p w14:paraId="43F9C264">
            <w:pPr>
              <w:jc w:val="center"/>
              <w:rPr>
                <w:color w:val="auto"/>
              </w:rPr>
            </w:pPr>
            <w:r>
              <w:rPr>
                <w:color w:val="auto"/>
              </w:rPr>
              <w:t>≤3.0</w:t>
            </w:r>
          </w:p>
        </w:tc>
      </w:tr>
    </w:tbl>
    <w:p w14:paraId="1110418D">
      <w:pPr>
        <w:adjustRightInd w:val="0"/>
        <w:snapToGrid w:val="0"/>
        <w:spacing w:line="360" w:lineRule="auto"/>
        <w:ind w:firstLine="480" w:firstLineChars="200"/>
        <w:rPr>
          <w:color w:val="auto"/>
          <w:sz w:val="24"/>
          <w:szCs w:val="32"/>
        </w:rPr>
      </w:pPr>
      <w:bookmarkStart w:id="107" w:name="_Toc8441"/>
      <w:bookmarkStart w:id="108" w:name="_Toc2667"/>
      <w:bookmarkStart w:id="109" w:name="_Toc12393"/>
      <w:bookmarkStart w:id="110" w:name="_Toc3290"/>
    </w:p>
    <w:p w14:paraId="15C624A0">
      <w:pPr>
        <w:adjustRightInd w:val="0"/>
        <w:snapToGrid w:val="0"/>
        <w:spacing w:line="360" w:lineRule="auto"/>
        <w:ind w:firstLine="480" w:firstLineChars="200"/>
        <w:rPr>
          <w:color w:val="auto"/>
          <w:sz w:val="24"/>
          <w:szCs w:val="32"/>
        </w:rPr>
      </w:pPr>
      <w:r>
        <w:rPr>
          <w:color w:val="auto"/>
          <w:sz w:val="24"/>
          <w:szCs w:val="32"/>
        </w:rPr>
        <w:t>5、土壤环境质量评价标准</w:t>
      </w:r>
      <w:bookmarkEnd w:id="107"/>
      <w:bookmarkEnd w:id="108"/>
      <w:bookmarkEnd w:id="109"/>
      <w:bookmarkEnd w:id="110"/>
    </w:p>
    <w:p w14:paraId="6D77D049">
      <w:pPr>
        <w:adjustRightInd w:val="0"/>
        <w:snapToGrid w:val="0"/>
        <w:spacing w:line="360" w:lineRule="auto"/>
        <w:ind w:firstLine="482" w:firstLineChars="200"/>
        <w:rPr>
          <w:b/>
          <w:bCs/>
          <w:color w:val="auto"/>
          <w:sz w:val="24"/>
        </w:rPr>
      </w:pPr>
      <w:r>
        <w:rPr>
          <w:b/>
          <w:bCs/>
          <w:color w:val="auto"/>
          <w:sz w:val="24"/>
        </w:rPr>
        <w:t>原环评评价阶段：</w:t>
      </w:r>
      <w:r>
        <w:rPr>
          <w:color w:val="auto"/>
          <w:sz w:val="24"/>
        </w:rPr>
        <w:t>项目所在区域土壤执行《土壤环境质量标准》（GB15618-1995）中二级标准，具体限值详见下表：</w:t>
      </w:r>
    </w:p>
    <w:p w14:paraId="287E6945">
      <w:pPr>
        <w:adjustRightInd w:val="0"/>
        <w:snapToGrid w:val="0"/>
        <w:spacing w:line="360" w:lineRule="auto"/>
        <w:jc w:val="center"/>
        <w:rPr>
          <w:b/>
          <w:bCs/>
          <w:color w:val="auto"/>
          <w:sz w:val="24"/>
        </w:rPr>
      </w:pPr>
      <w:r>
        <w:rPr>
          <w:b/>
          <w:bCs/>
          <w:color w:val="auto"/>
          <w:sz w:val="24"/>
        </w:rPr>
        <w:t>表1-</w:t>
      </w:r>
      <w:r>
        <w:rPr>
          <w:rFonts w:hint="eastAsia"/>
          <w:b/>
          <w:bCs/>
          <w:color w:val="auto"/>
          <w:sz w:val="24"/>
          <w:lang w:val="en-US" w:eastAsia="zh-CN"/>
        </w:rPr>
        <w:t>8</w:t>
      </w:r>
      <w:r>
        <w:rPr>
          <w:b/>
          <w:bCs/>
          <w:color w:val="auto"/>
          <w:sz w:val="24"/>
        </w:rPr>
        <w:t xml:space="preserve"> 土壤环境质量标准</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182"/>
        <w:gridCol w:w="856"/>
        <w:gridCol w:w="738"/>
        <w:gridCol w:w="1484"/>
        <w:gridCol w:w="1334"/>
        <w:gridCol w:w="672"/>
        <w:gridCol w:w="672"/>
        <w:gridCol w:w="1460"/>
        <w:gridCol w:w="784"/>
        <w:gridCol w:w="780"/>
      </w:tblGrid>
      <w:tr w14:paraId="7A446BD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593" w:type="pct"/>
            <w:tcBorders>
              <w:tl2br w:val="nil"/>
              <w:tr2bl w:val="nil"/>
            </w:tcBorders>
            <w:shd w:val="clear" w:color="auto" w:fill="auto"/>
            <w:noWrap w:val="0"/>
            <w:vAlign w:val="center"/>
          </w:tcPr>
          <w:p w14:paraId="21A1C036">
            <w:pPr>
              <w:spacing w:before="31" w:beforeLines="10" w:line="264" w:lineRule="auto"/>
              <w:jc w:val="center"/>
              <w:rPr>
                <w:b/>
                <w:color w:val="auto"/>
                <w:szCs w:val="21"/>
              </w:rPr>
            </w:pPr>
            <w:r>
              <w:rPr>
                <w:b/>
                <w:color w:val="auto"/>
                <w:szCs w:val="21"/>
              </w:rPr>
              <w:t>项目</w:t>
            </w:r>
          </w:p>
        </w:tc>
        <w:tc>
          <w:tcPr>
            <w:tcW w:w="429" w:type="pct"/>
            <w:tcBorders>
              <w:tl2br w:val="nil"/>
              <w:tr2bl w:val="nil"/>
            </w:tcBorders>
            <w:shd w:val="clear" w:color="auto" w:fill="auto"/>
            <w:noWrap w:val="0"/>
            <w:vAlign w:val="center"/>
          </w:tcPr>
          <w:p w14:paraId="6DD48149">
            <w:pPr>
              <w:spacing w:before="31" w:beforeLines="10" w:line="264" w:lineRule="auto"/>
              <w:jc w:val="center"/>
              <w:rPr>
                <w:b/>
                <w:color w:val="auto"/>
                <w:szCs w:val="21"/>
              </w:rPr>
            </w:pPr>
            <w:r>
              <w:rPr>
                <w:b/>
                <w:color w:val="auto"/>
                <w:szCs w:val="21"/>
              </w:rPr>
              <w:t>pH</w:t>
            </w:r>
          </w:p>
        </w:tc>
        <w:tc>
          <w:tcPr>
            <w:tcW w:w="370" w:type="pct"/>
            <w:tcBorders>
              <w:tl2br w:val="nil"/>
              <w:tr2bl w:val="nil"/>
            </w:tcBorders>
            <w:shd w:val="clear" w:color="auto" w:fill="auto"/>
            <w:noWrap w:val="0"/>
            <w:vAlign w:val="center"/>
          </w:tcPr>
          <w:p w14:paraId="66C4461C">
            <w:pPr>
              <w:spacing w:before="31" w:beforeLines="10" w:line="264" w:lineRule="auto"/>
              <w:jc w:val="center"/>
              <w:rPr>
                <w:b/>
                <w:color w:val="auto"/>
                <w:szCs w:val="21"/>
              </w:rPr>
            </w:pPr>
            <w:r>
              <w:rPr>
                <w:b/>
                <w:color w:val="auto"/>
                <w:szCs w:val="21"/>
              </w:rPr>
              <w:t>镉</w:t>
            </w:r>
          </w:p>
        </w:tc>
        <w:tc>
          <w:tcPr>
            <w:tcW w:w="744" w:type="pct"/>
            <w:tcBorders>
              <w:tl2br w:val="nil"/>
              <w:tr2bl w:val="nil"/>
            </w:tcBorders>
            <w:shd w:val="clear" w:color="auto" w:fill="auto"/>
            <w:noWrap w:val="0"/>
            <w:vAlign w:val="center"/>
          </w:tcPr>
          <w:p w14:paraId="71CE2D94">
            <w:pPr>
              <w:spacing w:before="31" w:beforeLines="10" w:line="264" w:lineRule="auto"/>
              <w:jc w:val="center"/>
              <w:rPr>
                <w:b/>
                <w:color w:val="auto"/>
                <w:szCs w:val="21"/>
              </w:rPr>
            </w:pPr>
            <w:r>
              <w:rPr>
                <w:b/>
                <w:color w:val="auto"/>
                <w:szCs w:val="21"/>
              </w:rPr>
              <w:t>铬</w:t>
            </w:r>
          </w:p>
        </w:tc>
        <w:tc>
          <w:tcPr>
            <w:tcW w:w="669" w:type="pct"/>
            <w:tcBorders>
              <w:tl2br w:val="nil"/>
              <w:tr2bl w:val="nil"/>
            </w:tcBorders>
            <w:shd w:val="clear" w:color="auto" w:fill="auto"/>
            <w:noWrap w:val="0"/>
            <w:vAlign w:val="center"/>
          </w:tcPr>
          <w:p w14:paraId="35937F3D">
            <w:pPr>
              <w:spacing w:before="31" w:beforeLines="10" w:line="264" w:lineRule="auto"/>
              <w:jc w:val="center"/>
              <w:rPr>
                <w:b/>
                <w:color w:val="auto"/>
                <w:szCs w:val="21"/>
              </w:rPr>
            </w:pPr>
            <w:r>
              <w:rPr>
                <w:b/>
                <w:color w:val="auto"/>
                <w:szCs w:val="21"/>
              </w:rPr>
              <w:t>砷</w:t>
            </w:r>
          </w:p>
        </w:tc>
        <w:tc>
          <w:tcPr>
            <w:tcW w:w="337" w:type="pct"/>
            <w:tcBorders>
              <w:tl2br w:val="nil"/>
              <w:tr2bl w:val="nil"/>
            </w:tcBorders>
            <w:shd w:val="clear" w:color="auto" w:fill="auto"/>
            <w:noWrap w:val="0"/>
            <w:vAlign w:val="center"/>
          </w:tcPr>
          <w:p w14:paraId="638C009A">
            <w:pPr>
              <w:spacing w:before="31" w:beforeLines="10" w:line="264" w:lineRule="auto"/>
              <w:jc w:val="center"/>
              <w:rPr>
                <w:b/>
                <w:color w:val="auto"/>
                <w:szCs w:val="21"/>
              </w:rPr>
            </w:pPr>
            <w:r>
              <w:rPr>
                <w:b/>
                <w:color w:val="auto"/>
                <w:szCs w:val="21"/>
              </w:rPr>
              <w:t>汞</w:t>
            </w:r>
          </w:p>
        </w:tc>
        <w:tc>
          <w:tcPr>
            <w:tcW w:w="337" w:type="pct"/>
            <w:tcBorders>
              <w:tl2br w:val="nil"/>
              <w:tr2bl w:val="nil"/>
            </w:tcBorders>
            <w:shd w:val="clear" w:color="auto" w:fill="auto"/>
            <w:noWrap w:val="0"/>
            <w:vAlign w:val="center"/>
          </w:tcPr>
          <w:p w14:paraId="15D49CF5">
            <w:pPr>
              <w:spacing w:before="31" w:beforeLines="10" w:line="264" w:lineRule="auto"/>
              <w:jc w:val="center"/>
              <w:rPr>
                <w:b/>
                <w:color w:val="auto"/>
                <w:szCs w:val="21"/>
              </w:rPr>
            </w:pPr>
            <w:r>
              <w:rPr>
                <w:b/>
                <w:color w:val="auto"/>
                <w:szCs w:val="21"/>
              </w:rPr>
              <w:t>铅</w:t>
            </w:r>
          </w:p>
        </w:tc>
        <w:tc>
          <w:tcPr>
            <w:tcW w:w="732" w:type="pct"/>
            <w:tcBorders>
              <w:tl2br w:val="nil"/>
              <w:tr2bl w:val="nil"/>
            </w:tcBorders>
            <w:shd w:val="clear" w:color="auto" w:fill="auto"/>
            <w:noWrap w:val="0"/>
            <w:vAlign w:val="center"/>
          </w:tcPr>
          <w:p w14:paraId="0F25F5C1">
            <w:pPr>
              <w:spacing w:before="31" w:beforeLines="10" w:line="264" w:lineRule="auto"/>
              <w:jc w:val="center"/>
              <w:rPr>
                <w:b/>
                <w:color w:val="auto"/>
                <w:szCs w:val="21"/>
              </w:rPr>
            </w:pPr>
            <w:r>
              <w:rPr>
                <w:b/>
                <w:color w:val="auto"/>
                <w:szCs w:val="21"/>
              </w:rPr>
              <w:t>铜</w:t>
            </w:r>
          </w:p>
        </w:tc>
        <w:tc>
          <w:tcPr>
            <w:tcW w:w="393" w:type="pct"/>
            <w:tcBorders>
              <w:tl2br w:val="nil"/>
              <w:tr2bl w:val="nil"/>
            </w:tcBorders>
            <w:shd w:val="clear" w:color="auto" w:fill="auto"/>
            <w:noWrap w:val="0"/>
            <w:vAlign w:val="center"/>
          </w:tcPr>
          <w:p w14:paraId="4AC80A50">
            <w:pPr>
              <w:jc w:val="center"/>
              <w:rPr>
                <w:b/>
                <w:color w:val="auto"/>
                <w:szCs w:val="21"/>
              </w:rPr>
            </w:pPr>
            <w:r>
              <w:rPr>
                <w:b/>
                <w:color w:val="auto"/>
                <w:szCs w:val="21"/>
              </w:rPr>
              <w:t>锌</w:t>
            </w:r>
          </w:p>
        </w:tc>
        <w:tc>
          <w:tcPr>
            <w:tcW w:w="391" w:type="pct"/>
            <w:tcBorders>
              <w:tl2br w:val="nil"/>
              <w:tr2bl w:val="nil"/>
            </w:tcBorders>
            <w:shd w:val="clear" w:color="auto" w:fill="auto"/>
            <w:noWrap w:val="0"/>
            <w:vAlign w:val="center"/>
          </w:tcPr>
          <w:p w14:paraId="2868D521">
            <w:pPr>
              <w:jc w:val="center"/>
              <w:rPr>
                <w:b/>
                <w:color w:val="auto"/>
                <w:szCs w:val="21"/>
              </w:rPr>
            </w:pPr>
            <w:r>
              <w:rPr>
                <w:b/>
                <w:color w:val="auto"/>
                <w:szCs w:val="21"/>
              </w:rPr>
              <w:t>镍</w:t>
            </w:r>
          </w:p>
        </w:tc>
      </w:tr>
      <w:tr w14:paraId="64DA47B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restart"/>
            <w:tcBorders>
              <w:tl2br w:val="nil"/>
              <w:tr2bl w:val="nil"/>
            </w:tcBorders>
            <w:shd w:val="clear" w:color="auto" w:fill="auto"/>
            <w:noWrap w:val="0"/>
            <w:vAlign w:val="center"/>
          </w:tcPr>
          <w:p w14:paraId="2EEF8DCC">
            <w:pPr>
              <w:spacing w:before="31" w:beforeLines="10" w:line="264" w:lineRule="auto"/>
              <w:jc w:val="center"/>
              <w:rPr>
                <w:color w:val="auto"/>
                <w:szCs w:val="21"/>
              </w:rPr>
            </w:pPr>
            <w:r>
              <w:rPr>
                <w:color w:val="auto"/>
                <w:szCs w:val="21"/>
              </w:rPr>
              <w:t>GB15618</w:t>
            </w:r>
          </w:p>
          <w:p w14:paraId="2398D8F8">
            <w:pPr>
              <w:spacing w:before="31" w:beforeLines="10" w:line="264" w:lineRule="auto"/>
              <w:jc w:val="center"/>
              <w:rPr>
                <w:color w:val="auto"/>
                <w:szCs w:val="21"/>
              </w:rPr>
            </w:pPr>
            <w:r>
              <w:rPr>
                <w:color w:val="auto"/>
                <w:szCs w:val="21"/>
              </w:rPr>
              <w:t>-1995中</w:t>
            </w:r>
          </w:p>
          <w:p w14:paraId="2E05BBE3">
            <w:pPr>
              <w:spacing w:before="31" w:beforeLines="10" w:line="264" w:lineRule="auto"/>
              <w:jc w:val="center"/>
              <w:rPr>
                <w:color w:val="auto"/>
                <w:szCs w:val="21"/>
              </w:rPr>
            </w:pPr>
            <w:r>
              <w:rPr>
                <w:color w:val="auto"/>
                <w:szCs w:val="21"/>
              </w:rPr>
              <w:t>二级标准</w:t>
            </w:r>
          </w:p>
        </w:tc>
        <w:tc>
          <w:tcPr>
            <w:tcW w:w="429" w:type="pct"/>
            <w:tcBorders>
              <w:tl2br w:val="nil"/>
              <w:tr2bl w:val="nil"/>
            </w:tcBorders>
            <w:shd w:val="clear" w:color="auto" w:fill="auto"/>
            <w:noWrap w:val="0"/>
            <w:vAlign w:val="center"/>
          </w:tcPr>
          <w:p w14:paraId="0A1EB2E4">
            <w:pPr>
              <w:spacing w:before="31" w:beforeLines="10" w:line="264" w:lineRule="auto"/>
              <w:jc w:val="center"/>
              <w:rPr>
                <w:color w:val="auto"/>
                <w:szCs w:val="21"/>
              </w:rPr>
            </w:pPr>
            <w:r>
              <w:rPr>
                <w:color w:val="auto"/>
                <w:szCs w:val="21"/>
              </w:rPr>
              <w:t>＜6.5</w:t>
            </w:r>
          </w:p>
        </w:tc>
        <w:tc>
          <w:tcPr>
            <w:tcW w:w="370" w:type="pct"/>
            <w:tcBorders>
              <w:tl2br w:val="nil"/>
              <w:tr2bl w:val="nil"/>
            </w:tcBorders>
            <w:shd w:val="clear" w:color="auto" w:fill="auto"/>
            <w:noWrap w:val="0"/>
            <w:vAlign w:val="center"/>
          </w:tcPr>
          <w:p w14:paraId="2D63AD85">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4D371C85">
            <w:pPr>
              <w:spacing w:before="31" w:beforeLines="10" w:line="264" w:lineRule="auto"/>
              <w:jc w:val="center"/>
              <w:rPr>
                <w:color w:val="auto"/>
                <w:szCs w:val="21"/>
              </w:rPr>
            </w:pPr>
            <w:r>
              <w:rPr>
                <w:color w:val="auto"/>
                <w:szCs w:val="21"/>
              </w:rPr>
              <w:t>150（旱地）</w:t>
            </w:r>
          </w:p>
          <w:p w14:paraId="07E3C968">
            <w:pPr>
              <w:spacing w:before="31" w:beforeLines="10" w:line="264" w:lineRule="auto"/>
              <w:jc w:val="center"/>
              <w:rPr>
                <w:color w:val="auto"/>
                <w:szCs w:val="21"/>
              </w:rPr>
            </w:pPr>
            <w:r>
              <w:rPr>
                <w:color w:val="auto"/>
                <w:szCs w:val="21"/>
              </w:rPr>
              <w:t>250（水田）</w:t>
            </w:r>
          </w:p>
        </w:tc>
        <w:tc>
          <w:tcPr>
            <w:tcW w:w="669" w:type="pct"/>
            <w:tcBorders>
              <w:tl2br w:val="nil"/>
              <w:tr2bl w:val="nil"/>
            </w:tcBorders>
            <w:shd w:val="clear" w:color="auto" w:fill="auto"/>
            <w:noWrap w:val="0"/>
            <w:vAlign w:val="center"/>
          </w:tcPr>
          <w:p w14:paraId="461C792D">
            <w:pPr>
              <w:spacing w:before="31" w:beforeLines="10" w:line="264" w:lineRule="auto"/>
              <w:jc w:val="center"/>
              <w:rPr>
                <w:color w:val="auto"/>
                <w:szCs w:val="21"/>
              </w:rPr>
            </w:pPr>
            <w:r>
              <w:rPr>
                <w:color w:val="auto"/>
                <w:szCs w:val="21"/>
              </w:rPr>
              <w:t>40（旱地）</w:t>
            </w:r>
          </w:p>
          <w:p w14:paraId="70A13280">
            <w:pPr>
              <w:spacing w:before="31" w:beforeLines="10" w:line="264" w:lineRule="auto"/>
              <w:jc w:val="center"/>
              <w:rPr>
                <w:color w:val="auto"/>
                <w:szCs w:val="21"/>
              </w:rPr>
            </w:pPr>
            <w:r>
              <w:rPr>
                <w:color w:val="auto"/>
                <w:szCs w:val="21"/>
              </w:rPr>
              <w:t>30（水田）</w:t>
            </w:r>
          </w:p>
        </w:tc>
        <w:tc>
          <w:tcPr>
            <w:tcW w:w="337" w:type="pct"/>
            <w:tcBorders>
              <w:tl2br w:val="nil"/>
              <w:tr2bl w:val="nil"/>
            </w:tcBorders>
            <w:shd w:val="clear" w:color="auto" w:fill="auto"/>
            <w:noWrap w:val="0"/>
            <w:vAlign w:val="center"/>
          </w:tcPr>
          <w:p w14:paraId="01D2494E">
            <w:pPr>
              <w:spacing w:before="31" w:beforeLines="10" w:line="264" w:lineRule="auto"/>
              <w:jc w:val="center"/>
              <w:rPr>
                <w:color w:val="auto"/>
                <w:szCs w:val="21"/>
              </w:rPr>
            </w:pPr>
            <w:r>
              <w:rPr>
                <w:color w:val="auto"/>
                <w:szCs w:val="21"/>
              </w:rPr>
              <w:t>0.30</w:t>
            </w:r>
          </w:p>
        </w:tc>
        <w:tc>
          <w:tcPr>
            <w:tcW w:w="337" w:type="pct"/>
            <w:tcBorders>
              <w:tl2br w:val="nil"/>
              <w:tr2bl w:val="nil"/>
            </w:tcBorders>
            <w:shd w:val="clear" w:color="auto" w:fill="auto"/>
            <w:noWrap w:val="0"/>
            <w:vAlign w:val="center"/>
          </w:tcPr>
          <w:p w14:paraId="7E47CAC4">
            <w:pPr>
              <w:spacing w:before="31" w:beforeLines="10" w:line="264" w:lineRule="auto"/>
              <w:jc w:val="center"/>
              <w:rPr>
                <w:color w:val="auto"/>
                <w:szCs w:val="21"/>
              </w:rPr>
            </w:pPr>
            <w:r>
              <w:rPr>
                <w:color w:val="auto"/>
                <w:szCs w:val="21"/>
              </w:rPr>
              <w:t>250</w:t>
            </w:r>
          </w:p>
        </w:tc>
        <w:tc>
          <w:tcPr>
            <w:tcW w:w="732" w:type="pct"/>
            <w:tcBorders>
              <w:tl2br w:val="nil"/>
              <w:tr2bl w:val="nil"/>
            </w:tcBorders>
            <w:shd w:val="clear" w:color="auto" w:fill="auto"/>
            <w:noWrap w:val="0"/>
            <w:vAlign w:val="center"/>
          </w:tcPr>
          <w:p w14:paraId="73931B79">
            <w:pPr>
              <w:spacing w:before="31" w:beforeLines="10" w:line="264" w:lineRule="auto"/>
              <w:jc w:val="center"/>
              <w:rPr>
                <w:color w:val="auto"/>
                <w:szCs w:val="21"/>
              </w:rPr>
            </w:pPr>
            <w:r>
              <w:rPr>
                <w:color w:val="auto"/>
                <w:szCs w:val="21"/>
              </w:rPr>
              <w:t>50（农田等）</w:t>
            </w:r>
          </w:p>
        </w:tc>
        <w:tc>
          <w:tcPr>
            <w:tcW w:w="393" w:type="pct"/>
            <w:tcBorders>
              <w:tl2br w:val="nil"/>
              <w:tr2bl w:val="nil"/>
            </w:tcBorders>
            <w:shd w:val="clear" w:color="auto" w:fill="auto"/>
            <w:noWrap w:val="0"/>
            <w:vAlign w:val="center"/>
          </w:tcPr>
          <w:p w14:paraId="23AAE33D">
            <w:pPr>
              <w:spacing w:before="31" w:beforeLines="10" w:line="264" w:lineRule="auto"/>
              <w:jc w:val="center"/>
              <w:rPr>
                <w:color w:val="auto"/>
                <w:szCs w:val="21"/>
              </w:rPr>
            </w:pPr>
            <w:r>
              <w:rPr>
                <w:color w:val="auto"/>
                <w:szCs w:val="21"/>
              </w:rPr>
              <w:t>200</w:t>
            </w:r>
          </w:p>
        </w:tc>
        <w:tc>
          <w:tcPr>
            <w:tcW w:w="391" w:type="pct"/>
            <w:tcBorders>
              <w:tl2br w:val="nil"/>
              <w:tr2bl w:val="nil"/>
            </w:tcBorders>
            <w:shd w:val="clear" w:color="auto" w:fill="auto"/>
            <w:noWrap w:val="0"/>
            <w:vAlign w:val="center"/>
          </w:tcPr>
          <w:p w14:paraId="374C6804">
            <w:pPr>
              <w:spacing w:before="31" w:beforeLines="10" w:line="264" w:lineRule="auto"/>
              <w:jc w:val="center"/>
              <w:rPr>
                <w:color w:val="auto"/>
                <w:szCs w:val="21"/>
              </w:rPr>
            </w:pPr>
            <w:r>
              <w:rPr>
                <w:color w:val="auto"/>
                <w:szCs w:val="21"/>
              </w:rPr>
              <w:t>40</w:t>
            </w:r>
          </w:p>
        </w:tc>
      </w:tr>
      <w:tr w14:paraId="3A02AED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6CA75B26">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669B857E">
            <w:pPr>
              <w:spacing w:before="31" w:beforeLines="10" w:line="264" w:lineRule="auto"/>
              <w:jc w:val="center"/>
              <w:rPr>
                <w:color w:val="auto"/>
                <w:szCs w:val="21"/>
              </w:rPr>
            </w:pPr>
            <w:r>
              <w:rPr>
                <w:color w:val="auto"/>
                <w:szCs w:val="21"/>
              </w:rPr>
              <w:t>6.5~7.5</w:t>
            </w:r>
          </w:p>
        </w:tc>
        <w:tc>
          <w:tcPr>
            <w:tcW w:w="370" w:type="pct"/>
            <w:tcBorders>
              <w:tl2br w:val="nil"/>
              <w:tr2bl w:val="nil"/>
            </w:tcBorders>
            <w:shd w:val="clear" w:color="auto" w:fill="auto"/>
            <w:noWrap w:val="0"/>
            <w:vAlign w:val="center"/>
          </w:tcPr>
          <w:p w14:paraId="50334244">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6D767E1B">
            <w:pPr>
              <w:spacing w:before="31" w:beforeLines="10" w:line="264" w:lineRule="auto"/>
              <w:jc w:val="center"/>
              <w:rPr>
                <w:color w:val="auto"/>
                <w:szCs w:val="21"/>
              </w:rPr>
            </w:pPr>
            <w:r>
              <w:rPr>
                <w:color w:val="auto"/>
                <w:szCs w:val="21"/>
              </w:rPr>
              <w:t>200（旱地）</w:t>
            </w:r>
          </w:p>
          <w:p w14:paraId="56624CA9">
            <w:pPr>
              <w:spacing w:before="31" w:beforeLines="10" w:line="264" w:lineRule="auto"/>
              <w:jc w:val="center"/>
              <w:rPr>
                <w:color w:val="auto"/>
                <w:szCs w:val="21"/>
              </w:rPr>
            </w:pPr>
            <w:r>
              <w:rPr>
                <w:color w:val="auto"/>
                <w:szCs w:val="21"/>
              </w:rPr>
              <w:t>300（水田）</w:t>
            </w:r>
          </w:p>
        </w:tc>
        <w:tc>
          <w:tcPr>
            <w:tcW w:w="669" w:type="pct"/>
            <w:tcBorders>
              <w:tl2br w:val="nil"/>
              <w:tr2bl w:val="nil"/>
            </w:tcBorders>
            <w:shd w:val="clear" w:color="auto" w:fill="auto"/>
            <w:noWrap w:val="0"/>
            <w:vAlign w:val="center"/>
          </w:tcPr>
          <w:p w14:paraId="660CCBD0">
            <w:pPr>
              <w:spacing w:before="31" w:beforeLines="10" w:line="264" w:lineRule="auto"/>
              <w:jc w:val="center"/>
              <w:rPr>
                <w:color w:val="auto"/>
                <w:szCs w:val="21"/>
              </w:rPr>
            </w:pPr>
            <w:r>
              <w:rPr>
                <w:color w:val="auto"/>
                <w:szCs w:val="21"/>
              </w:rPr>
              <w:t>30（旱地）</w:t>
            </w:r>
          </w:p>
          <w:p w14:paraId="1488D61E">
            <w:pPr>
              <w:spacing w:before="31" w:beforeLines="10" w:line="264" w:lineRule="auto"/>
              <w:jc w:val="center"/>
              <w:rPr>
                <w:color w:val="auto"/>
                <w:szCs w:val="21"/>
              </w:rPr>
            </w:pPr>
            <w:r>
              <w:rPr>
                <w:color w:val="auto"/>
                <w:szCs w:val="21"/>
              </w:rPr>
              <w:t>25（水田）</w:t>
            </w:r>
          </w:p>
        </w:tc>
        <w:tc>
          <w:tcPr>
            <w:tcW w:w="337" w:type="pct"/>
            <w:tcBorders>
              <w:tl2br w:val="nil"/>
              <w:tr2bl w:val="nil"/>
            </w:tcBorders>
            <w:shd w:val="clear" w:color="auto" w:fill="auto"/>
            <w:noWrap w:val="0"/>
            <w:vAlign w:val="center"/>
          </w:tcPr>
          <w:p w14:paraId="509A8771">
            <w:pPr>
              <w:spacing w:before="31" w:beforeLines="10" w:line="264" w:lineRule="auto"/>
              <w:jc w:val="center"/>
              <w:rPr>
                <w:color w:val="auto"/>
                <w:szCs w:val="21"/>
              </w:rPr>
            </w:pPr>
            <w:r>
              <w:rPr>
                <w:color w:val="auto"/>
                <w:szCs w:val="21"/>
              </w:rPr>
              <w:t>0.50</w:t>
            </w:r>
          </w:p>
        </w:tc>
        <w:tc>
          <w:tcPr>
            <w:tcW w:w="337" w:type="pct"/>
            <w:tcBorders>
              <w:tl2br w:val="nil"/>
              <w:tr2bl w:val="nil"/>
            </w:tcBorders>
            <w:shd w:val="clear" w:color="auto" w:fill="auto"/>
            <w:noWrap w:val="0"/>
            <w:vAlign w:val="center"/>
          </w:tcPr>
          <w:p w14:paraId="3EAFC552">
            <w:pPr>
              <w:spacing w:before="31" w:beforeLines="10" w:line="264" w:lineRule="auto"/>
              <w:jc w:val="center"/>
              <w:rPr>
                <w:color w:val="auto"/>
                <w:szCs w:val="21"/>
              </w:rPr>
            </w:pPr>
            <w:r>
              <w:rPr>
                <w:color w:val="auto"/>
                <w:szCs w:val="21"/>
              </w:rPr>
              <w:t>300</w:t>
            </w:r>
          </w:p>
        </w:tc>
        <w:tc>
          <w:tcPr>
            <w:tcW w:w="732" w:type="pct"/>
            <w:tcBorders>
              <w:tl2br w:val="nil"/>
              <w:tr2bl w:val="nil"/>
            </w:tcBorders>
            <w:shd w:val="clear" w:color="auto" w:fill="auto"/>
            <w:noWrap w:val="0"/>
            <w:vAlign w:val="center"/>
          </w:tcPr>
          <w:p w14:paraId="184C7F69">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48E4BB55">
            <w:pPr>
              <w:spacing w:before="31" w:beforeLines="10" w:line="264" w:lineRule="auto"/>
              <w:jc w:val="center"/>
              <w:rPr>
                <w:color w:val="auto"/>
                <w:szCs w:val="21"/>
              </w:rPr>
            </w:pPr>
            <w:r>
              <w:rPr>
                <w:color w:val="auto"/>
                <w:szCs w:val="21"/>
              </w:rPr>
              <w:t>250</w:t>
            </w:r>
          </w:p>
        </w:tc>
        <w:tc>
          <w:tcPr>
            <w:tcW w:w="391" w:type="pct"/>
            <w:tcBorders>
              <w:tl2br w:val="nil"/>
              <w:tr2bl w:val="nil"/>
            </w:tcBorders>
            <w:shd w:val="clear" w:color="auto" w:fill="auto"/>
            <w:noWrap w:val="0"/>
            <w:vAlign w:val="center"/>
          </w:tcPr>
          <w:p w14:paraId="40744ADA">
            <w:pPr>
              <w:spacing w:before="31" w:beforeLines="10" w:line="264" w:lineRule="auto"/>
              <w:jc w:val="center"/>
              <w:rPr>
                <w:color w:val="auto"/>
                <w:szCs w:val="21"/>
              </w:rPr>
            </w:pPr>
            <w:r>
              <w:rPr>
                <w:color w:val="auto"/>
                <w:szCs w:val="21"/>
              </w:rPr>
              <w:t>50</w:t>
            </w:r>
          </w:p>
        </w:tc>
      </w:tr>
      <w:tr w14:paraId="76521D8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115C8BD8">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19004B26">
            <w:pPr>
              <w:spacing w:before="31" w:beforeLines="10" w:line="264" w:lineRule="auto"/>
              <w:jc w:val="center"/>
              <w:rPr>
                <w:color w:val="auto"/>
                <w:szCs w:val="21"/>
              </w:rPr>
            </w:pPr>
            <w:r>
              <w:rPr>
                <w:color w:val="auto"/>
                <w:szCs w:val="21"/>
              </w:rPr>
              <w:t>＞7.5</w:t>
            </w:r>
          </w:p>
        </w:tc>
        <w:tc>
          <w:tcPr>
            <w:tcW w:w="370" w:type="pct"/>
            <w:tcBorders>
              <w:tl2br w:val="nil"/>
              <w:tr2bl w:val="nil"/>
            </w:tcBorders>
            <w:shd w:val="clear" w:color="auto" w:fill="auto"/>
            <w:noWrap w:val="0"/>
            <w:vAlign w:val="center"/>
          </w:tcPr>
          <w:p w14:paraId="414DE503">
            <w:pPr>
              <w:spacing w:before="31" w:beforeLines="10" w:line="264" w:lineRule="auto"/>
              <w:jc w:val="center"/>
              <w:rPr>
                <w:color w:val="auto"/>
                <w:szCs w:val="21"/>
              </w:rPr>
            </w:pPr>
            <w:r>
              <w:rPr>
                <w:color w:val="auto"/>
                <w:szCs w:val="21"/>
              </w:rPr>
              <w:t>0.60</w:t>
            </w:r>
          </w:p>
        </w:tc>
        <w:tc>
          <w:tcPr>
            <w:tcW w:w="744" w:type="pct"/>
            <w:tcBorders>
              <w:tl2br w:val="nil"/>
              <w:tr2bl w:val="nil"/>
            </w:tcBorders>
            <w:shd w:val="clear" w:color="auto" w:fill="auto"/>
            <w:noWrap w:val="0"/>
            <w:vAlign w:val="center"/>
          </w:tcPr>
          <w:p w14:paraId="4FDDE043">
            <w:pPr>
              <w:spacing w:before="31" w:beforeLines="10" w:line="264" w:lineRule="auto"/>
              <w:jc w:val="center"/>
              <w:rPr>
                <w:color w:val="auto"/>
                <w:szCs w:val="21"/>
              </w:rPr>
            </w:pPr>
            <w:r>
              <w:rPr>
                <w:color w:val="auto"/>
                <w:szCs w:val="21"/>
              </w:rPr>
              <w:t>250（旱地）</w:t>
            </w:r>
          </w:p>
          <w:p w14:paraId="5DA13E67">
            <w:pPr>
              <w:spacing w:before="31" w:beforeLines="10" w:line="264" w:lineRule="auto"/>
              <w:jc w:val="center"/>
              <w:rPr>
                <w:color w:val="auto"/>
                <w:szCs w:val="21"/>
              </w:rPr>
            </w:pPr>
            <w:r>
              <w:rPr>
                <w:color w:val="auto"/>
                <w:szCs w:val="21"/>
              </w:rPr>
              <w:t>350（水田）</w:t>
            </w:r>
          </w:p>
        </w:tc>
        <w:tc>
          <w:tcPr>
            <w:tcW w:w="669" w:type="pct"/>
            <w:tcBorders>
              <w:tl2br w:val="nil"/>
              <w:tr2bl w:val="nil"/>
            </w:tcBorders>
            <w:shd w:val="clear" w:color="auto" w:fill="auto"/>
            <w:noWrap w:val="0"/>
            <w:vAlign w:val="center"/>
          </w:tcPr>
          <w:p w14:paraId="40FF45CB">
            <w:pPr>
              <w:spacing w:before="31" w:beforeLines="10" w:line="264" w:lineRule="auto"/>
              <w:jc w:val="center"/>
              <w:rPr>
                <w:color w:val="auto"/>
                <w:szCs w:val="21"/>
              </w:rPr>
            </w:pPr>
            <w:r>
              <w:rPr>
                <w:color w:val="auto"/>
                <w:szCs w:val="21"/>
              </w:rPr>
              <w:t>25（旱地）</w:t>
            </w:r>
          </w:p>
          <w:p w14:paraId="208C08CC">
            <w:pPr>
              <w:spacing w:before="31" w:beforeLines="10" w:line="264" w:lineRule="auto"/>
              <w:jc w:val="center"/>
              <w:rPr>
                <w:color w:val="auto"/>
                <w:szCs w:val="21"/>
              </w:rPr>
            </w:pPr>
            <w:r>
              <w:rPr>
                <w:color w:val="auto"/>
                <w:szCs w:val="21"/>
              </w:rPr>
              <w:t>20（水田）</w:t>
            </w:r>
          </w:p>
        </w:tc>
        <w:tc>
          <w:tcPr>
            <w:tcW w:w="337" w:type="pct"/>
            <w:tcBorders>
              <w:tl2br w:val="nil"/>
              <w:tr2bl w:val="nil"/>
            </w:tcBorders>
            <w:shd w:val="clear" w:color="auto" w:fill="auto"/>
            <w:noWrap w:val="0"/>
            <w:vAlign w:val="center"/>
          </w:tcPr>
          <w:p w14:paraId="70031213">
            <w:pPr>
              <w:spacing w:before="31" w:beforeLines="10" w:line="264" w:lineRule="auto"/>
              <w:jc w:val="center"/>
              <w:rPr>
                <w:color w:val="auto"/>
                <w:szCs w:val="21"/>
              </w:rPr>
            </w:pPr>
            <w:r>
              <w:rPr>
                <w:color w:val="auto"/>
                <w:szCs w:val="21"/>
              </w:rPr>
              <w:t>1.0</w:t>
            </w:r>
          </w:p>
        </w:tc>
        <w:tc>
          <w:tcPr>
            <w:tcW w:w="337" w:type="pct"/>
            <w:tcBorders>
              <w:tl2br w:val="nil"/>
              <w:tr2bl w:val="nil"/>
            </w:tcBorders>
            <w:shd w:val="clear" w:color="auto" w:fill="auto"/>
            <w:noWrap w:val="0"/>
            <w:vAlign w:val="center"/>
          </w:tcPr>
          <w:p w14:paraId="2AF8A92F">
            <w:pPr>
              <w:spacing w:before="31" w:beforeLines="10" w:line="264" w:lineRule="auto"/>
              <w:jc w:val="center"/>
              <w:rPr>
                <w:color w:val="auto"/>
                <w:szCs w:val="21"/>
              </w:rPr>
            </w:pPr>
            <w:r>
              <w:rPr>
                <w:color w:val="auto"/>
                <w:szCs w:val="21"/>
              </w:rPr>
              <w:t>350</w:t>
            </w:r>
          </w:p>
        </w:tc>
        <w:tc>
          <w:tcPr>
            <w:tcW w:w="732" w:type="pct"/>
            <w:tcBorders>
              <w:tl2br w:val="nil"/>
              <w:tr2bl w:val="nil"/>
            </w:tcBorders>
            <w:shd w:val="clear" w:color="auto" w:fill="auto"/>
            <w:noWrap w:val="0"/>
            <w:vAlign w:val="center"/>
          </w:tcPr>
          <w:p w14:paraId="5B7385C8">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71D8157E">
            <w:pPr>
              <w:spacing w:before="31" w:beforeLines="10" w:line="264" w:lineRule="auto"/>
              <w:jc w:val="center"/>
              <w:rPr>
                <w:color w:val="auto"/>
                <w:szCs w:val="21"/>
              </w:rPr>
            </w:pPr>
            <w:r>
              <w:rPr>
                <w:color w:val="auto"/>
                <w:szCs w:val="21"/>
              </w:rPr>
              <w:t>300</w:t>
            </w:r>
          </w:p>
        </w:tc>
        <w:tc>
          <w:tcPr>
            <w:tcW w:w="391" w:type="pct"/>
            <w:tcBorders>
              <w:tl2br w:val="nil"/>
              <w:tr2bl w:val="nil"/>
            </w:tcBorders>
            <w:shd w:val="clear" w:color="auto" w:fill="auto"/>
            <w:noWrap w:val="0"/>
            <w:vAlign w:val="center"/>
          </w:tcPr>
          <w:p w14:paraId="35337DCD">
            <w:pPr>
              <w:spacing w:before="31" w:beforeLines="10" w:line="264" w:lineRule="auto"/>
              <w:jc w:val="center"/>
              <w:rPr>
                <w:color w:val="auto"/>
                <w:szCs w:val="21"/>
              </w:rPr>
            </w:pPr>
            <w:r>
              <w:rPr>
                <w:color w:val="auto"/>
                <w:szCs w:val="21"/>
              </w:rPr>
              <w:t>60</w:t>
            </w:r>
          </w:p>
        </w:tc>
      </w:tr>
    </w:tbl>
    <w:p w14:paraId="7C487A74">
      <w:pPr>
        <w:adjustRightInd w:val="0"/>
        <w:snapToGrid w:val="0"/>
        <w:spacing w:line="360" w:lineRule="auto"/>
        <w:ind w:firstLine="482" w:firstLineChars="200"/>
        <w:rPr>
          <w:color w:val="auto"/>
          <w:sz w:val="24"/>
          <w:szCs w:val="32"/>
        </w:rPr>
      </w:pPr>
      <w:r>
        <w:rPr>
          <w:b/>
          <w:bCs/>
          <w:color w:val="auto"/>
          <w:sz w:val="24"/>
        </w:rPr>
        <w:t>后评价阶段：</w:t>
      </w:r>
      <w:r>
        <w:rPr>
          <w:color w:val="auto"/>
          <w:sz w:val="24"/>
        </w:rPr>
        <w:t>2018年8月1日，生态环境部印发《土壤环境质量 建设用地土壤污染风险管控标准（试行）》开</w:t>
      </w:r>
      <w:r>
        <w:rPr>
          <w:color w:val="auto"/>
          <w:sz w:val="24"/>
          <w:shd w:val="clear" w:color="auto" w:fill="FFFFFF"/>
        </w:rPr>
        <w:t>始</w:t>
      </w:r>
      <w:r>
        <w:rPr>
          <w:rFonts w:eastAsia="Arial"/>
          <w:color w:val="auto"/>
          <w:sz w:val="24"/>
          <w:shd w:val="clear" w:color="auto" w:fill="FFFFFF"/>
        </w:rPr>
        <w:t>实施</w:t>
      </w:r>
      <w:r>
        <w:rPr>
          <w:color w:val="auto"/>
          <w:sz w:val="24"/>
          <w:shd w:val="clear" w:color="auto" w:fill="FFFFFF"/>
        </w:rPr>
        <w:t>。对照标准，</w:t>
      </w:r>
      <w:r>
        <w:rPr>
          <w:color w:val="auto"/>
          <w:sz w:val="24"/>
          <w:szCs w:val="32"/>
        </w:rPr>
        <w:t>项目所在区域土壤环境质量执行《土壤环境质量标准—建设用地土壤污染风险管控标准》（GB36600-2018）表1中第二类用地筛选值，具体限值详见下表：</w:t>
      </w:r>
    </w:p>
    <w:p w14:paraId="038EA091">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9</w:t>
      </w:r>
      <w:r>
        <w:rPr>
          <w:b/>
          <w:bCs/>
          <w:color w:val="auto"/>
          <w:sz w:val="24"/>
          <w:szCs w:val="32"/>
        </w:rPr>
        <w:t xml:space="preserve"> 土壤环境标准限值</w:t>
      </w:r>
    </w:p>
    <w:tbl>
      <w:tblPr>
        <w:tblStyle w:val="31"/>
        <w:tblW w:w="498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9"/>
        <w:gridCol w:w="2812"/>
        <w:gridCol w:w="2793"/>
        <w:gridCol w:w="1632"/>
        <w:gridCol w:w="6"/>
        <w:gridCol w:w="1656"/>
      </w:tblGrid>
      <w:tr w14:paraId="3DE562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vMerge w:val="restart"/>
            <w:tcBorders>
              <w:tl2br w:val="nil"/>
              <w:tr2bl w:val="nil"/>
            </w:tcBorders>
            <w:vAlign w:val="center"/>
          </w:tcPr>
          <w:p w14:paraId="11B287DC">
            <w:pPr>
              <w:jc w:val="center"/>
              <w:rPr>
                <w:b/>
                <w:bCs/>
                <w:color w:val="auto"/>
              </w:rPr>
            </w:pPr>
            <w:r>
              <w:rPr>
                <w:b/>
                <w:bCs/>
                <w:color w:val="auto"/>
              </w:rPr>
              <w:t>序号</w:t>
            </w:r>
          </w:p>
        </w:tc>
        <w:tc>
          <w:tcPr>
            <w:tcW w:w="1415" w:type="pct"/>
            <w:vMerge w:val="restart"/>
            <w:tcBorders>
              <w:tl2br w:val="nil"/>
              <w:tr2bl w:val="nil"/>
            </w:tcBorders>
            <w:vAlign w:val="center"/>
          </w:tcPr>
          <w:p w14:paraId="0912CAB5">
            <w:pPr>
              <w:jc w:val="center"/>
              <w:rPr>
                <w:b/>
                <w:bCs/>
                <w:color w:val="auto"/>
              </w:rPr>
            </w:pPr>
            <w:r>
              <w:rPr>
                <w:b/>
                <w:bCs/>
                <w:color w:val="auto"/>
              </w:rPr>
              <w:t>污染物</w:t>
            </w:r>
          </w:p>
        </w:tc>
        <w:tc>
          <w:tcPr>
            <w:tcW w:w="1405" w:type="pct"/>
            <w:vMerge w:val="restart"/>
            <w:tcBorders>
              <w:tl2br w:val="nil"/>
              <w:tr2bl w:val="nil"/>
            </w:tcBorders>
            <w:vAlign w:val="center"/>
          </w:tcPr>
          <w:p w14:paraId="30F735AE">
            <w:pPr>
              <w:jc w:val="center"/>
              <w:rPr>
                <w:b/>
                <w:bCs/>
                <w:color w:val="auto"/>
              </w:rPr>
            </w:pPr>
            <w:r>
              <w:rPr>
                <w:b/>
                <w:bCs/>
                <w:color w:val="auto"/>
              </w:rPr>
              <w:t>CAS编号</w:t>
            </w:r>
          </w:p>
        </w:tc>
        <w:tc>
          <w:tcPr>
            <w:tcW w:w="1655" w:type="pct"/>
            <w:gridSpan w:val="3"/>
            <w:tcBorders>
              <w:tl2br w:val="nil"/>
              <w:tr2bl w:val="nil"/>
            </w:tcBorders>
            <w:vAlign w:val="center"/>
          </w:tcPr>
          <w:p w14:paraId="16D32955">
            <w:pPr>
              <w:jc w:val="center"/>
              <w:rPr>
                <w:b/>
                <w:bCs/>
                <w:color w:val="auto"/>
              </w:rPr>
            </w:pPr>
            <w:r>
              <w:rPr>
                <w:b/>
                <w:bCs/>
                <w:color w:val="auto"/>
              </w:rPr>
              <w:t>第二类用地</w:t>
            </w:r>
          </w:p>
        </w:tc>
      </w:tr>
      <w:tr w14:paraId="071D69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vMerge w:val="continue"/>
            <w:tcBorders>
              <w:tl2br w:val="nil"/>
              <w:tr2bl w:val="nil"/>
            </w:tcBorders>
            <w:vAlign w:val="center"/>
          </w:tcPr>
          <w:p w14:paraId="24023EF9">
            <w:pPr>
              <w:jc w:val="center"/>
              <w:rPr>
                <w:b/>
                <w:bCs/>
                <w:color w:val="auto"/>
              </w:rPr>
            </w:pPr>
          </w:p>
        </w:tc>
        <w:tc>
          <w:tcPr>
            <w:tcW w:w="1415" w:type="pct"/>
            <w:vMerge w:val="continue"/>
            <w:tcBorders>
              <w:tl2br w:val="nil"/>
              <w:tr2bl w:val="nil"/>
            </w:tcBorders>
            <w:vAlign w:val="center"/>
          </w:tcPr>
          <w:p w14:paraId="05368D15">
            <w:pPr>
              <w:jc w:val="center"/>
              <w:rPr>
                <w:b/>
                <w:bCs/>
                <w:color w:val="auto"/>
              </w:rPr>
            </w:pPr>
          </w:p>
        </w:tc>
        <w:tc>
          <w:tcPr>
            <w:tcW w:w="1405" w:type="pct"/>
            <w:vMerge w:val="continue"/>
            <w:tcBorders>
              <w:tl2br w:val="nil"/>
              <w:tr2bl w:val="nil"/>
            </w:tcBorders>
            <w:vAlign w:val="center"/>
          </w:tcPr>
          <w:p w14:paraId="18CF2211">
            <w:pPr>
              <w:jc w:val="center"/>
              <w:rPr>
                <w:b/>
                <w:bCs/>
                <w:color w:val="auto"/>
              </w:rPr>
            </w:pPr>
          </w:p>
        </w:tc>
        <w:tc>
          <w:tcPr>
            <w:tcW w:w="819" w:type="pct"/>
            <w:tcBorders>
              <w:tl2br w:val="nil"/>
              <w:tr2bl w:val="nil"/>
            </w:tcBorders>
            <w:vAlign w:val="center"/>
          </w:tcPr>
          <w:p w14:paraId="5D5AABEF">
            <w:pPr>
              <w:jc w:val="center"/>
              <w:rPr>
                <w:b/>
                <w:bCs/>
                <w:color w:val="auto"/>
              </w:rPr>
            </w:pPr>
            <w:r>
              <w:rPr>
                <w:b/>
                <w:bCs/>
                <w:color w:val="auto"/>
              </w:rPr>
              <w:t>筛选值</w:t>
            </w:r>
          </w:p>
        </w:tc>
        <w:tc>
          <w:tcPr>
            <w:tcW w:w="836" w:type="pct"/>
            <w:gridSpan w:val="2"/>
            <w:tcBorders>
              <w:tl2br w:val="nil"/>
              <w:tr2bl w:val="nil"/>
            </w:tcBorders>
            <w:vAlign w:val="center"/>
          </w:tcPr>
          <w:p w14:paraId="7A82CDC8">
            <w:pPr>
              <w:jc w:val="center"/>
              <w:rPr>
                <w:b/>
                <w:bCs/>
                <w:color w:val="auto"/>
              </w:rPr>
            </w:pPr>
            <w:r>
              <w:rPr>
                <w:b/>
                <w:bCs/>
                <w:color w:val="auto"/>
              </w:rPr>
              <w:t>管控值</w:t>
            </w:r>
          </w:p>
        </w:tc>
      </w:tr>
      <w:tr w14:paraId="4CCE16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0E5E256A">
            <w:pPr>
              <w:jc w:val="center"/>
              <w:rPr>
                <w:color w:val="auto"/>
              </w:rPr>
            </w:pPr>
            <w:r>
              <w:rPr>
                <w:color w:val="auto"/>
              </w:rPr>
              <w:t>金属和无机物</w:t>
            </w:r>
          </w:p>
        </w:tc>
      </w:tr>
      <w:tr w14:paraId="6ACE57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95307AD">
            <w:pPr>
              <w:jc w:val="center"/>
              <w:rPr>
                <w:color w:val="auto"/>
              </w:rPr>
            </w:pPr>
            <w:r>
              <w:rPr>
                <w:color w:val="auto"/>
              </w:rPr>
              <w:t>1</w:t>
            </w:r>
          </w:p>
        </w:tc>
        <w:tc>
          <w:tcPr>
            <w:tcW w:w="1415" w:type="pct"/>
            <w:tcBorders>
              <w:tl2br w:val="nil"/>
              <w:tr2bl w:val="nil"/>
            </w:tcBorders>
            <w:vAlign w:val="center"/>
          </w:tcPr>
          <w:p w14:paraId="215A2F72">
            <w:pPr>
              <w:jc w:val="center"/>
              <w:rPr>
                <w:color w:val="auto"/>
              </w:rPr>
            </w:pPr>
            <w:r>
              <w:rPr>
                <w:color w:val="auto"/>
              </w:rPr>
              <w:t>铜</w:t>
            </w:r>
          </w:p>
        </w:tc>
        <w:tc>
          <w:tcPr>
            <w:tcW w:w="1405" w:type="pct"/>
            <w:tcBorders>
              <w:tl2br w:val="nil"/>
              <w:tr2bl w:val="nil"/>
            </w:tcBorders>
            <w:vAlign w:val="center"/>
          </w:tcPr>
          <w:p w14:paraId="1BDAF9B7">
            <w:pPr>
              <w:jc w:val="center"/>
              <w:rPr>
                <w:color w:val="auto"/>
              </w:rPr>
            </w:pPr>
            <w:r>
              <w:rPr>
                <w:color w:val="auto"/>
              </w:rPr>
              <w:t>7440-50-8</w:t>
            </w:r>
          </w:p>
        </w:tc>
        <w:tc>
          <w:tcPr>
            <w:tcW w:w="820" w:type="pct"/>
            <w:tcBorders>
              <w:tl2br w:val="nil"/>
              <w:tr2bl w:val="nil"/>
            </w:tcBorders>
            <w:vAlign w:val="center"/>
          </w:tcPr>
          <w:p w14:paraId="3AAA9807">
            <w:pPr>
              <w:jc w:val="center"/>
              <w:rPr>
                <w:color w:val="auto"/>
              </w:rPr>
            </w:pPr>
            <w:r>
              <w:rPr>
                <w:color w:val="auto"/>
              </w:rPr>
              <w:t>18000</w:t>
            </w:r>
          </w:p>
        </w:tc>
        <w:tc>
          <w:tcPr>
            <w:tcW w:w="835" w:type="pct"/>
            <w:gridSpan w:val="2"/>
            <w:tcBorders>
              <w:tl2br w:val="nil"/>
              <w:tr2bl w:val="nil"/>
            </w:tcBorders>
            <w:vAlign w:val="center"/>
          </w:tcPr>
          <w:p w14:paraId="3D972760">
            <w:pPr>
              <w:jc w:val="center"/>
              <w:rPr>
                <w:color w:val="auto"/>
              </w:rPr>
            </w:pPr>
            <w:r>
              <w:rPr>
                <w:color w:val="auto"/>
              </w:rPr>
              <w:t>36000</w:t>
            </w:r>
          </w:p>
        </w:tc>
      </w:tr>
      <w:tr w14:paraId="22B2AF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90964B4">
            <w:pPr>
              <w:jc w:val="center"/>
              <w:rPr>
                <w:color w:val="auto"/>
              </w:rPr>
            </w:pPr>
            <w:r>
              <w:rPr>
                <w:color w:val="auto"/>
              </w:rPr>
              <w:t>2</w:t>
            </w:r>
          </w:p>
        </w:tc>
        <w:tc>
          <w:tcPr>
            <w:tcW w:w="1415" w:type="pct"/>
            <w:tcBorders>
              <w:tl2br w:val="nil"/>
              <w:tr2bl w:val="nil"/>
            </w:tcBorders>
            <w:vAlign w:val="center"/>
          </w:tcPr>
          <w:p w14:paraId="4868FBEC">
            <w:pPr>
              <w:jc w:val="center"/>
              <w:rPr>
                <w:color w:val="auto"/>
              </w:rPr>
            </w:pPr>
            <w:r>
              <w:rPr>
                <w:color w:val="auto"/>
              </w:rPr>
              <w:t>铅</w:t>
            </w:r>
          </w:p>
        </w:tc>
        <w:tc>
          <w:tcPr>
            <w:tcW w:w="1405" w:type="pct"/>
            <w:tcBorders>
              <w:tl2br w:val="nil"/>
              <w:tr2bl w:val="nil"/>
            </w:tcBorders>
            <w:vAlign w:val="center"/>
          </w:tcPr>
          <w:p w14:paraId="7E955EDA">
            <w:pPr>
              <w:jc w:val="center"/>
              <w:rPr>
                <w:color w:val="auto"/>
              </w:rPr>
            </w:pPr>
            <w:r>
              <w:rPr>
                <w:color w:val="auto"/>
              </w:rPr>
              <w:t>7439-92-1</w:t>
            </w:r>
          </w:p>
        </w:tc>
        <w:tc>
          <w:tcPr>
            <w:tcW w:w="820" w:type="pct"/>
            <w:tcBorders>
              <w:tl2br w:val="nil"/>
              <w:tr2bl w:val="nil"/>
            </w:tcBorders>
            <w:vAlign w:val="center"/>
          </w:tcPr>
          <w:p w14:paraId="4364D465">
            <w:pPr>
              <w:jc w:val="center"/>
              <w:rPr>
                <w:color w:val="auto"/>
              </w:rPr>
            </w:pPr>
            <w:r>
              <w:rPr>
                <w:color w:val="auto"/>
              </w:rPr>
              <w:t>800</w:t>
            </w:r>
          </w:p>
        </w:tc>
        <w:tc>
          <w:tcPr>
            <w:tcW w:w="835" w:type="pct"/>
            <w:gridSpan w:val="2"/>
            <w:tcBorders>
              <w:tl2br w:val="nil"/>
              <w:tr2bl w:val="nil"/>
            </w:tcBorders>
            <w:vAlign w:val="center"/>
          </w:tcPr>
          <w:p w14:paraId="0E3502A2">
            <w:pPr>
              <w:jc w:val="center"/>
              <w:rPr>
                <w:color w:val="auto"/>
              </w:rPr>
            </w:pPr>
            <w:r>
              <w:rPr>
                <w:color w:val="auto"/>
              </w:rPr>
              <w:t>2500</w:t>
            </w:r>
          </w:p>
        </w:tc>
      </w:tr>
      <w:tr w14:paraId="212A1A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01F498">
            <w:pPr>
              <w:jc w:val="center"/>
              <w:rPr>
                <w:color w:val="auto"/>
              </w:rPr>
            </w:pPr>
            <w:r>
              <w:rPr>
                <w:color w:val="auto"/>
              </w:rPr>
              <w:t>3</w:t>
            </w:r>
          </w:p>
        </w:tc>
        <w:tc>
          <w:tcPr>
            <w:tcW w:w="1415" w:type="pct"/>
            <w:tcBorders>
              <w:tl2br w:val="nil"/>
              <w:tr2bl w:val="nil"/>
            </w:tcBorders>
            <w:vAlign w:val="center"/>
          </w:tcPr>
          <w:p w14:paraId="321143EF">
            <w:pPr>
              <w:jc w:val="center"/>
              <w:rPr>
                <w:color w:val="auto"/>
              </w:rPr>
            </w:pPr>
            <w:r>
              <w:rPr>
                <w:color w:val="auto"/>
              </w:rPr>
              <w:t>镉</w:t>
            </w:r>
          </w:p>
        </w:tc>
        <w:tc>
          <w:tcPr>
            <w:tcW w:w="1405" w:type="pct"/>
            <w:tcBorders>
              <w:tl2br w:val="nil"/>
              <w:tr2bl w:val="nil"/>
            </w:tcBorders>
            <w:vAlign w:val="center"/>
          </w:tcPr>
          <w:p w14:paraId="5B68040F">
            <w:pPr>
              <w:jc w:val="center"/>
              <w:rPr>
                <w:color w:val="auto"/>
              </w:rPr>
            </w:pPr>
            <w:r>
              <w:rPr>
                <w:color w:val="auto"/>
              </w:rPr>
              <w:t>7440-43-9</w:t>
            </w:r>
          </w:p>
        </w:tc>
        <w:tc>
          <w:tcPr>
            <w:tcW w:w="820" w:type="pct"/>
            <w:tcBorders>
              <w:tl2br w:val="nil"/>
              <w:tr2bl w:val="nil"/>
            </w:tcBorders>
            <w:vAlign w:val="center"/>
          </w:tcPr>
          <w:p w14:paraId="4070A44B">
            <w:pPr>
              <w:jc w:val="center"/>
              <w:rPr>
                <w:color w:val="auto"/>
              </w:rPr>
            </w:pPr>
            <w:r>
              <w:rPr>
                <w:color w:val="auto"/>
              </w:rPr>
              <w:t>65</w:t>
            </w:r>
          </w:p>
        </w:tc>
        <w:tc>
          <w:tcPr>
            <w:tcW w:w="835" w:type="pct"/>
            <w:gridSpan w:val="2"/>
            <w:tcBorders>
              <w:tl2br w:val="nil"/>
              <w:tr2bl w:val="nil"/>
            </w:tcBorders>
            <w:vAlign w:val="center"/>
          </w:tcPr>
          <w:p w14:paraId="3C5B99DA">
            <w:pPr>
              <w:jc w:val="center"/>
              <w:rPr>
                <w:color w:val="auto"/>
              </w:rPr>
            </w:pPr>
            <w:r>
              <w:rPr>
                <w:color w:val="auto"/>
              </w:rPr>
              <w:t>172</w:t>
            </w:r>
          </w:p>
        </w:tc>
      </w:tr>
      <w:tr w14:paraId="382BA3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6743FC4B">
            <w:pPr>
              <w:jc w:val="center"/>
              <w:rPr>
                <w:color w:val="auto"/>
              </w:rPr>
            </w:pPr>
            <w:r>
              <w:rPr>
                <w:color w:val="auto"/>
              </w:rPr>
              <w:t>4</w:t>
            </w:r>
          </w:p>
        </w:tc>
        <w:tc>
          <w:tcPr>
            <w:tcW w:w="1415" w:type="pct"/>
            <w:tcBorders>
              <w:tl2br w:val="nil"/>
              <w:tr2bl w:val="nil"/>
            </w:tcBorders>
            <w:vAlign w:val="center"/>
          </w:tcPr>
          <w:p w14:paraId="3632B465">
            <w:pPr>
              <w:jc w:val="center"/>
              <w:rPr>
                <w:color w:val="auto"/>
              </w:rPr>
            </w:pPr>
            <w:r>
              <w:rPr>
                <w:color w:val="auto"/>
              </w:rPr>
              <w:t>汞</w:t>
            </w:r>
          </w:p>
        </w:tc>
        <w:tc>
          <w:tcPr>
            <w:tcW w:w="1405" w:type="pct"/>
            <w:tcBorders>
              <w:tl2br w:val="nil"/>
              <w:tr2bl w:val="nil"/>
            </w:tcBorders>
            <w:vAlign w:val="center"/>
          </w:tcPr>
          <w:p w14:paraId="523F56CA">
            <w:pPr>
              <w:jc w:val="center"/>
              <w:rPr>
                <w:color w:val="auto"/>
              </w:rPr>
            </w:pPr>
            <w:r>
              <w:rPr>
                <w:color w:val="auto"/>
              </w:rPr>
              <w:t>7439-97-6</w:t>
            </w:r>
          </w:p>
        </w:tc>
        <w:tc>
          <w:tcPr>
            <w:tcW w:w="820" w:type="pct"/>
            <w:tcBorders>
              <w:tl2br w:val="nil"/>
              <w:tr2bl w:val="nil"/>
            </w:tcBorders>
            <w:vAlign w:val="center"/>
          </w:tcPr>
          <w:p w14:paraId="62F163E3">
            <w:pPr>
              <w:jc w:val="center"/>
              <w:rPr>
                <w:color w:val="auto"/>
              </w:rPr>
            </w:pPr>
            <w:r>
              <w:rPr>
                <w:color w:val="auto"/>
              </w:rPr>
              <w:t>38</w:t>
            </w:r>
          </w:p>
        </w:tc>
        <w:tc>
          <w:tcPr>
            <w:tcW w:w="835" w:type="pct"/>
            <w:gridSpan w:val="2"/>
            <w:tcBorders>
              <w:tl2br w:val="nil"/>
              <w:tr2bl w:val="nil"/>
            </w:tcBorders>
            <w:vAlign w:val="center"/>
          </w:tcPr>
          <w:p w14:paraId="6191F9DE">
            <w:pPr>
              <w:jc w:val="center"/>
              <w:rPr>
                <w:color w:val="auto"/>
              </w:rPr>
            </w:pPr>
            <w:r>
              <w:rPr>
                <w:color w:val="auto"/>
              </w:rPr>
              <w:t>82</w:t>
            </w:r>
          </w:p>
        </w:tc>
      </w:tr>
      <w:tr w14:paraId="04E1CB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D3B77C2">
            <w:pPr>
              <w:jc w:val="center"/>
              <w:rPr>
                <w:color w:val="auto"/>
              </w:rPr>
            </w:pPr>
            <w:r>
              <w:rPr>
                <w:color w:val="auto"/>
              </w:rPr>
              <w:t>5</w:t>
            </w:r>
          </w:p>
        </w:tc>
        <w:tc>
          <w:tcPr>
            <w:tcW w:w="1415" w:type="pct"/>
            <w:tcBorders>
              <w:tl2br w:val="nil"/>
              <w:tr2bl w:val="nil"/>
            </w:tcBorders>
            <w:vAlign w:val="center"/>
          </w:tcPr>
          <w:p w14:paraId="6D6E3912">
            <w:pPr>
              <w:jc w:val="center"/>
              <w:rPr>
                <w:color w:val="auto"/>
              </w:rPr>
            </w:pPr>
            <w:r>
              <w:rPr>
                <w:color w:val="auto"/>
              </w:rPr>
              <w:t>镍</w:t>
            </w:r>
          </w:p>
        </w:tc>
        <w:tc>
          <w:tcPr>
            <w:tcW w:w="1405" w:type="pct"/>
            <w:tcBorders>
              <w:tl2br w:val="nil"/>
              <w:tr2bl w:val="nil"/>
            </w:tcBorders>
            <w:vAlign w:val="center"/>
          </w:tcPr>
          <w:p w14:paraId="38906173">
            <w:pPr>
              <w:jc w:val="center"/>
              <w:rPr>
                <w:color w:val="auto"/>
              </w:rPr>
            </w:pPr>
            <w:r>
              <w:rPr>
                <w:color w:val="auto"/>
              </w:rPr>
              <w:t>7440-02-0</w:t>
            </w:r>
          </w:p>
        </w:tc>
        <w:tc>
          <w:tcPr>
            <w:tcW w:w="820" w:type="pct"/>
            <w:tcBorders>
              <w:tl2br w:val="nil"/>
              <w:tr2bl w:val="nil"/>
            </w:tcBorders>
            <w:vAlign w:val="center"/>
          </w:tcPr>
          <w:p w14:paraId="15F740A3">
            <w:pPr>
              <w:jc w:val="center"/>
              <w:rPr>
                <w:color w:val="auto"/>
              </w:rPr>
            </w:pPr>
            <w:r>
              <w:rPr>
                <w:color w:val="auto"/>
              </w:rPr>
              <w:t>900</w:t>
            </w:r>
          </w:p>
        </w:tc>
        <w:tc>
          <w:tcPr>
            <w:tcW w:w="835" w:type="pct"/>
            <w:gridSpan w:val="2"/>
            <w:tcBorders>
              <w:tl2br w:val="nil"/>
              <w:tr2bl w:val="nil"/>
            </w:tcBorders>
            <w:vAlign w:val="center"/>
          </w:tcPr>
          <w:p w14:paraId="4977681C">
            <w:pPr>
              <w:jc w:val="center"/>
              <w:rPr>
                <w:color w:val="auto"/>
              </w:rPr>
            </w:pPr>
            <w:r>
              <w:rPr>
                <w:color w:val="auto"/>
              </w:rPr>
              <w:t>2000</w:t>
            </w:r>
          </w:p>
        </w:tc>
      </w:tr>
      <w:tr w14:paraId="70219A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653C1805">
            <w:pPr>
              <w:jc w:val="center"/>
              <w:rPr>
                <w:color w:val="auto"/>
              </w:rPr>
            </w:pPr>
            <w:r>
              <w:rPr>
                <w:color w:val="auto"/>
              </w:rPr>
              <w:t>6</w:t>
            </w:r>
          </w:p>
        </w:tc>
        <w:tc>
          <w:tcPr>
            <w:tcW w:w="1415" w:type="pct"/>
            <w:tcBorders>
              <w:tl2br w:val="nil"/>
              <w:tr2bl w:val="nil"/>
            </w:tcBorders>
            <w:vAlign w:val="center"/>
          </w:tcPr>
          <w:p w14:paraId="4D726B21">
            <w:pPr>
              <w:jc w:val="center"/>
              <w:rPr>
                <w:color w:val="auto"/>
              </w:rPr>
            </w:pPr>
            <w:r>
              <w:rPr>
                <w:color w:val="auto"/>
              </w:rPr>
              <w:t>砷</w:t>
            </w:r>
          </w:p>
        </w:tc>
        <w:tc>
          <w:tcPr>
            <w:tcW w:w="1405" w:type="pct"/>
            <w:tcBorders>
              <w:tl2br w:val="nil"/>
              <w:tr2bl w:val="nil"/>
            </w:tcBorders>
            <w:vAlign w:val="center"/>
          </w:tcPr>
          <w:p w14:paraId="3984BFBC">
            <w:pPr>
              <w:jc w:val="center"/>
              <w:rPr>
                <w:color w:val="auto"/>
              </w:rPr>
            </w:pPr>
            <w:r>
              <w:rPr>
                <w:color w:val="auto"/>
              </w:rPr>
              <w:t>7440-38-2</w:t>
            </w:r>
          </w:p>
        </w:tc>
        <w:tc>
          <w:tcPr>
            <w:tcW w:w="820" w:type="pct"/>
            <w:tcBorders>
              <w:tl2br w:val="nil"/>
              <w:tr2bl w:val="nil"/>
            </w:tcBorders>
            <w:vAlign w:val="center"/>
          </w:tcPr>
          <w:p w14:paraId="34BC549B">
            <w:pPr>
              <w:jc w:val="center"/>
              <w:rPr>
                <w:color w:val="auto"/>
              </w:rPr>
            </w:pPr>
            <w:r>
              <w:rPr>
                <w:color w:val="auto"/>
              </w:rPr>
              <w:t>60</w:t>
            </w:r>
          </w:p>
        </w:tc>
        <w:tc>
          <w:tcPr>
            <w:tcW w:w="835" w:type="pct"/>
            <w:gridSpan w:val="2"/>
            <w:tcBorders>
              <w:tl2br w:val="nil"/>
              <w:tr2bl w:val="nil"/>
            </w:tcBorders>
            <w:vAlign w:val="center"/>
          </w:tcPr>
          <w:p w14:paraId="380698D3">
            <w:pPr>
              <w:jc w:val="center"/>
              <w:rPr>
                <w:color w:val="auto"/>
              </w:rPr>
            </w:pPr>
            <w:r>
              <w:rPr>
                <w:color w:val="auto"/>
              </w:rPr>
              <w:t>140</w:t>
            </w:r>
          </w:p>
        </w:tc>
      </w:tr>
      <w:tr w14:paraId="553D25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429C9BA">
            <w:pPr>
              <w:jc w:val="center"/>
              <w:rPr>
                <w:color w:val="auto"/>
              </w:rPr>
            </w:pPr>
            <w:r>
              <w:rPr>
                <w:color w:val="auto"/>
              </w:rPr>
              <w:t>7</w:t>
            </w:r>
          </w:p>
        </w:tc>
        <w:tc>
          <w:tcPr>
            <w:tcW w:w="1415" w:type="pct"/>
            <w:tcBorders>
              <w:tl2br w:val="nil"/>
              <w:tr2bl w:val="nil"/>
            </w:tcBorders>
            <w:vAlign w:val="center"/>
          </w:tcPr>
          <w:p w14:paraId="622CB651">
            <w:pPr>
              <w:jc w:val="center"/>
              <w:rPr>
                <w:color w:val="auto"/>
              </w:rPr>
            </w:pPr>
            <w:r>
              <w:rPr>
                <w:color w:val="auto"/>
              </w:rPr>
              <w:t>铬（六价）</w:t>
            </w:r>
          </w:p>
        </w:tc>
        <w:tc>
          <w:tcPr>
            <w:tcW w:w="1405" w:type="pct"/>
            <w:tcBorders>
              <w:tl2br w:val="nil"/>
              <w:tr2bl w:val="nil"/>
            </w:tcBorders>
            <w:vAlign w:val="center"/>
          </w:tcPr>
          <w:p w14:paraId="685B21C8">
            <w:pPr>
              <w:jc w:val="center"/>
              <w:rPr>
                <w:color w:val="auto"/>
              </w:rPr>
            </w:pPr>
            <w:r>
              <w:rPr>
                <w:color w:val="auto"/>
              </w:rPr>
              <w:t>18540-29-9</w:t>
            </w:r>
          </w:p>
        </w:tc>
        <w:tc>
          <w:tcPr>
            <w:tcW w:w="820" w:type="pct"/>
            <w:tcBorders>
              <w:tl2br w:val="nil"/>
              <w:tr2bl w:val="nil"/>
            </w:tcBorders>
            <w:vAlign w:val="center"/>
          </w:tcPr>
          <w:p w14:paraId="0B2BE621">
            <w:pPr>
              <w:jc w:val="center"/>
              <w:rPr>
                <w:color w:val="auto"/>
              </w:rPr>
            </w:pPr>
            <w:r>
              <w:rPr>
                <w:color w:val="auto"/>
              </w:rPr>
              <w:t>5.7</w:t>
            </w:r>
          </w:p>
        </w:tc>
        <w:tc>
          <w:tcPr>
            <w:tcW w:w="835" w:type="pct"/>
            <w:gridSpan w:val="2"/>
            <w:tcBorders>
              <w:tl2br w:val="nil"/>
              <w:tr2bl w:val="nil"/>
            </w:tcBorders>
            <w:vAlign w:val="center"/>
          </w:tcPr>
          <w:p w14:paraId="2E2825C1">
            <w:pPr>
              <w:jc w:val="center"/>
              <w:rPr>
                <w:color w:val="auto"/>
              </w:rPr>
            </w:pPr>
            <w:r>
              <w:rPr>
                <w:color w:val="auto"/>
              </w:rPr>
              <w:t>78</w:t>
            </w:r>
          </w:p>
        </w:tc>
      </w:tr>
      <w:tr w14:paraId="48B2DF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25D71E51">
            <w:pPr>
              <w:jc w:val="center"/>
              <w:rPr>
                <w:color w:val="auto"/>
              </w:rPr>
            </w:pPr>
            <w:r>
              <w:rPr>
                <w:color w:val="auto"/>
              </w:rPr>
              <w:t>挥发性有机物</w:t>
            </w:r>
          </w:p>
        </w:tc>
      </w:tr>
      <w:tr w14:paraId="428ED2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1413F54">
            <w:pPr>
              <w:jc w:val="center"/>
              <w:rPr>
                <w:color w:val="auto"/>
              </w:rPr>
            </w:pPr>
            <w:r>
              <w:rPr>
                <w:color w:val="auto"/>
              </w:rPr>
              <w:t>8</w:t>
            </w:r>
          </w:p>
        </w:tc>
        <w:tc>
          <w:tcPr>
            <w:tcW w:w="1415" w:type="pct"/>
            <w:tcBorders>
              <w:tl2br w:val="nil"/>
              <w:tr2bl w:val="nil"/>
            </w:tcBorders>
            <w:vAlign w:val="center"/>
          </w:tcPr>
          <w:p w14:paraId="0F272A4C">
            <w:pPr>
              <w:jc w:val="center"/>
              <w:rPr>
                <w:color w:val="auto"/>
              </w:rPr>
            </w:pPr>
            <w:r>
              <w:rPr>
                <w:color w:val="auto"/>
              </w:rPr>
              <w:t>四氯化碳</w:t>
            </w:r>
          </w:p>
        </w:tc>
        <w:tc>
          <w:tcPr>
            <w:tcW w:w="1405" w:type="pct"/>
            <w:tcBorders>
              <w:tl2br w:val="nil"/>
              <w:tr2bl w:val="nil"/>
            </w:tcBorders>
            <w:vAlign w:val="center"/>
          </w:tcPr>
          <w:p w14:paraId="6C8E6299">
            <w:pPr>
              <w:jc w:val="center"/>
              <w:rPr>
                <w:color w:val="auto"/>
              </w:rPr>
            </w:pPr>
            <w:r>
              <w:rPr>
                <w:color w:val="auto"/>
              </w:rPr>
              <w:t>56-23-5</w:t>
            </w:r>
          </w:p>
        </w:tc>
        <w:tc>
          <w:tcPr>
            <w:tcW w:w="821" w:type="pct"/>
            <w:tcBorders>
              <w:tl2br w:val="nil"/>
              <w:tr2bl w:val="nil"/>
            </w:tcBorders>
            <w:vAlign w:val="center"/>
          </w:tcPr>
          <w:p w14:paraId="2D69823E">
            <w:pPr>
              <w:jc w:val="center"/>
              <w:rPr>
                <w:color w:val="auto"/>
              </w:rPr>
            </w:pPr>
            <w:r>
              <w:rPr>
                <w:color w:val="auto"/>
              </w:rPr>
              <w:t>2.8</w:t>
            </w:r>
          </w:p>
        </w:tc>
        <w:tc>
          <w:tcPr>
            <w:tcW w:w="834" w:type="pct"/>
            <w:gridSpan w:val="2"/>
            <w:tcBorders>
              <w:tl2br w:val="nil"/>
              <w:tr2bl w:val="nil"/>
            </w:tcBorders>
            <w:vAlign w:val="center"/>
          </w:tcPr>
          <w:p w14:paraId="43B64556">
            <w:pPr>
              <w:jc w:val="center"/>
              <w:rPr>
                <w:color w:val="auto"/>
              </w:rPr>
            </w:pPr>
            <w:r>
              <w:rPr>
                <w:color w:val="auto"/>
              </w:rPr>
              <w:t>36</w:t>
            </w:r>
          </w:p>
        </w:tc>
      </w:tr>
      <w:tr w14:paraId="48F00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C342569">
            <w:pPr>
              <w:jc w:val="center"/>
              <w:rPr>
                <w:color w:val="auto"/>
              </w:rPr>
            </w:pPr>
            <w:r>
              <w:rPr>
                <w:color w:val="auto"/>
              </w:rPr>
              <w:t>9</w:t>
            </w:r>
          </w:p>
        </w:tc>
        <w:tc>
          <w:tcPr>
            <w:tcW w:w="1415" w:type="pct"/>
            <w:tcBorders>
              <w:tl2br w:val="nil"/>
              <w:tr2bl w:val="nil"/>
            </w:tcBorders>
            <w:vAlign w:val="center"/>
          </w:tcPr>
          <w:p w14:paraId="778C17B1">
            <w:pPr>
              <w:jc w:val="center"/>
              <w:rPr>
                <w:color w:val="auto"/>
              </w:rPr>
            </w:pPr>
            <w:r>
              <w:rPr>
                <w:color w:val="auto"/>
              </w:rPr>
              <w:t>三氯甲烷</w:t>
            </w:r>
          </w:p>
        </w:tc>
        <w:tc>
          <w:tcPr>
            <w:tcW w:w="1405" w:type="pct"/>
            <w:tcBorders>
              <w:tl2br w:val="nil"/>
              <w:tr2bl w:val="nil"/>
            </w:tcBorders>
            <w:vAlign w:val="center"/>
          </w:tcPr>
          <w:p w14:paraId="5475C687">
            <w:pPr>
              <w:jc w:val="center"/>
              <w:rPr>
                <w:color w:val="auto"/>
              </w:rPr>
            </w:pPr>
            <w:r>
              <w:rPr>
                <w:color w:val="auto"/>
              </w:rPr>
              <w:t>67-66-3</w:t>
            </w:r>
          </w:p>
        </w:tc>
        <w:tc>
          <w:tcPr>
            <w:tcW w:w="821" w:type="pct"/>
            <w:tcBorders>
              <w:tl2br w:val="nil"/>
              <w:tr2bl w:val="nil"/>
            </w:tcBorders>
            <w:vAlign w:val="center"/>
          </w:tcPr>
          <w:p w14:paraId="454E122B">
            <w:pPr>
              <w:jc w:val="center"/>
              <w:rPr>
                <w:color w:val="auto"/>
              </w:rPr>
            </w:pPr>
            <w:r>
              <w:rPr>
                <w:color w:val="auto"/>
              </w:rPr>
              <w:t>0.9</w:t>
            </w:r>
          </w:p>
        </w:tc>
        <w:tc>
          <w:tcPr>
            <w:tcW w:w="834" w:type="pct"/>
            <w:gridSpan w:val="2"/>
            <w:tcBorders>
              <w:tl2br w:val="nil"/>
              <w:tr2bl w:val="nil"/>
            </w:tcBorders>
            <w:vAlign w:val="center"/>
          </w:tcPr>
          <w:p w14:paraId="5F1BCF64">
            <w:pPr>
              <w:jc w:val="center"/>
              <w:rPr>
                <w:color w:val="auto"/>
              </w:rPr>
            </w:pPr>
            <w:r>
              <w:rPr>
                <w:color w:val="auto"/>
              </w:rPr>
              <w:t>10</w:t>
            </w:r>
          </w:p>
        </w:tc>
      </w:tr>
      <w:tr w14:paraId="1F2263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09C361">
            <w:pPr>
              <w:jc w:val="center"/>
              <w:rPr>
                <w:color w:val="auto"/>
              </w:rPr>
            </w:pPr>
            <w:r>
              <w:rPr>
                <w:color w:val="auto"/>
              </w:rPr>
              <w:t>10</w:t>
            </w:r>
          </w:p>
        </w:tc>
        <w:tc>
          <w:tcPr>
            <w:tcW w:w="1415" w:type="pct"/>
            <w:tcBorders>
              <w:tl2br w:val="nil"/>
              <w:tr2bl w:val="nil"/>
            </w:tcBorders>
            <w:vAlign w:val="center"/>
          </w:tcPr>
          <w:p w14:paraId="5D99367B">
            <w:pPr>
              <w:jc w:val="center"/>
              <w:rPr>
                <w:color w:val="auto"/>
              </w:rPr>
            </w:pPr>
            <w:r>
              <w:rPr>
                <w:color w:val="auto"/>
              </w:rPr>
              <w:t>氯甲烷</w:t>
            </w:r>
          </w:p>
        </w:tc>
        <w:tc>
          <w:tcPr>
            <w:tcW w:w="1405" w:type="pct"/>
            <w:tcBorders>
              <w:tl2br w:val="nil"/>
              <w:tr2bl w:val="nil"/>
            </w:tcBorders>
            <w:vAlign w:val="center"/>
          </w:tcPr>
          <w:p w14:paraId="59CBE925">
            <w:pPr>
              <w:jc w:val="center"/>
              <w:rPr>
                <w:color w:val="auto"/>
              </w:rPr>
            </w:pPr>
            <w:r>
              <w:rPr>
                <w:color w:val="auto"/>
              </w:rPr>
              <w:t>74-87-3</w:t>
            </w:r>
          </w:p>
        </w:tc>
        <w:tc>
          <w:tcPr>
            <w:tcW w:w="821" w:type="pct"/>
            <w:tcBorders>
              <w:tl2br w:val="nil"/>
              <w:tr2bl w:val="nil"/>
            </w:tcBorders>
            <w:vAlign w:val="center"/>
          </w:tcPr>
          <w:p w14:paraId="7EBC0FD2">
            <w:pPr>
              <w:jc w:val="center"/>
              <w:rPr>
                <w:color w:val="auto"/>
              </w:rPr>
            </w:pPr>
            <w:r>
              <w:rPr>
                <w:color w:val="auto"/>
              </w:rPr>
              <w:t>37</w:t>
            </w:r>
          </w:p>
        </w:tc>
        <w:tc>
          <w:tcPr>
            <w:tcW w:w="834" w:type="pct"/>
            <w:gridSpan w:val="2"/>
            <w:tcBorders>
              <w:tl2br w:val="nil"/>
              <w:tr2bl w:val="nil"/>
            </w:tcBorders>
            <w:vAlign w:val="center"/>
          </w:tcPr>
          <w:p w14:paraId="0FB7F443">
            <w:pPr>
              <w:jc w:val="center"/>
              <w:rPr>
                <w:color w:val="auto"/>
              </w:rPr>
            </w:pPr>
            <w:r>
              <w:rPr>
                <w:color w:val="auto"/>
              </w:rPr>
              <w:t>120</w:t>
            </w:r>
          </w:p>
        </w:tc>
      </w:tr>
      <w:tr w14:paraId="20DF48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548DE04">
            <w:pPr>
              <w:jc w:val="center"/>
              <w:rPr>
                <w:color w:val="auto"/>
              </w:rPr>
            </w:pPr>
            <w:r>
              <w:rPr>
                <w:color w:val="auto"/>
              </w:rPr>
              <w:t>11</w:t>
            </w:r>
          </w:p>
        </w:tc>
        <w:tc>
          <w:tcPr>
            <w:tcW w:w="1415" w:type="pct"/>
            <w:tcBorders>
              <w:tl2br w:val="nil"/>
              <w:tr2bl w:val="nil"/>
            </w:tcBorders>
            <w:vAlign w:val="center"/>
          </w:tcPr>
          <w:p w14:paraId="5779ECC9">
            <w:pPr>
              <w:jc w:val="center"/>
              <w:rPr>
                <w:color w:val="auto"/>
              </w:rPr>
            </w:pPr>
            <w:r>
              <w:rPr>
                <w:color w:val="auto"/>
              </w:rPr>
              <w:t>1,1-二氯乙烷</w:t>
            </w:r>
          </w:p>
        </w:tc>
        <w:tc>
          <w:tcPr>
            <w:tcW w:w="1405" w:type="pct"/>
            <w:tcBorders>
              <w:tl2br w:val="nil"/>
              <w:tr2bl w:val="nil"/>
            </w:tcBorders>
            <w:vAlign w:val="center"/>
          </w:tcPr>
          <w:p w14:paraId="7B7DB0BC">
            <w:pPr>
              <w:jc w:val="center"/>
              <w:rPr>
                <w:color w:val="auto"/>
              </w:rPr>
            </w:pPr>
            <w:r>
              <w:rPr>
                <w:color w:val="auto"/>
              </w:rPr>
              <w:t>75-34-3</w:t>
            </w:r>
          </w:p>
        </w:tc>
        <w:tc>
          <w:tcPr>
            <w:tcW w:w="821" w:type="pct"/>
            <w:tcBorders>
              <w:tl2br w:val="nil"/>
              <w:tr2bl w:val="nil"/>
            </w:tcBorders>
            <w:vAlign w:val="center"/>
          </w:tcPr>
          <w:p w14:paraId="1FF214B5">
            <w:pPr>
              <w:jc w:val="center"/>
              <w:rPr>
                <w:color w:val="auto"/>
              </w:rPr>
            </w:pPr>
            <w:r>
              <w:rPr>
                <w:color w:val="auto"/>
              </w:rPr>
              <w:t>9</w:t>
            </w:r>
          </w:p>
        </w:tc>
        <w:tc>
          <w:tcPr>
            <w:tcW w:w="834" w:type="pct"/>
            <w:gridSpan w:val="2"/>
            <w:tcBorders>
              <w:tl2br w:val="nil"/>
              <w:tr2bl w:val="nil"/>
            </w:tcBorders>
            <w:vAlign w:val="center"/>
          </w:tcPr>
          <w:p w14:paraId="251139B3">
            <w:pPr>
              <w:jc w:val="center"/>
              <w:rPr>
                <w:color w:val="auto"/>
              </w:rPr>
            </w:pPr>
            <w:r>
              <w:rPr>
                <w:color w:val="auto"/>
              </w:rPr>
              <w:t>100</w:t>
            </w:r>
          </w:p>
        </w:tc>
      </w:tr>
      <w:tr w14:paraId="1B2D02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0F19EE8">
            <w:pPr>
              <w:jc w:val="center"/>
              <w:rPr>
                <w:color w:val="auto"/>
              </w:rPr>
            </w:pPr>
            <w:r>
              <w:rPr>
                <w:color w:val="auto"/>
              </w:rPr>
              <w:t>12</w:t>
            </w:r>
          </w:p>
        </w:tc>
        <w:tc>
          <w:tcPr>
            <w:tcW w:w="1415" w:type="pct"/>
            <w:tcBorders>
              <w:tl2br w:val="nil"/>
              <w:tr2bl w:val="nil"/>
            </w:tcBorders>
            <w:vAlign w:val="center"/>
          </w:tcPr>
          <w:p w14:paraId="4069E506">
            <w:pPr>
              <w:jc w:val="center"/>
              <w:rPr>
                <w:color w:val="auto"/>
              </w:rPr>
            </w:pPr>
            <w:r>
              <w:rPr>
                <w:color w:val="auto"/>
              </w:rPr>
              <w:t>1,2-二氯乙烷</w:t>
            </w:r>
          </w:p>
        </w:tc>
        <w:tc>
          <w:tcPr>
            <w:tcW w:w="1405" w:type="pct"/>
            <w:tcBorders>
              <w:tl2br w:val="nil"/>
              <w:tr2bl w:val="nil"/>
            </w:tcBorders>
            <w:vAlign w:val="center"/>
          </w:tcPr>
          <w:p w14:paraId="3984009B">
            <w:pPr>
              <w:jc w:val="center"/>
              <w:rPr>
                <w:color w:val="auto"/>
              </w:rPr>
            </w:pPr>
            <w:r>
              <w:rPr>
                <w:color w:val="auto"/>
              </w:rPr>
              <w:t>107-06-2</w:t>
            </w:r>
          </w:p>
        </w:tc>
        <w:tc>
          <w:tcPr>
            <w:tcW w:w="821" w:type="pct"/>
            <w:tcBorders>
              <w:tl2br w:val="nil"/>
              <w:tr2bl w:val="nil"/>
            </w:tcBorders>
            <w:vAlign w:val="center"/>
          </w:tcPr>
          <w:p w14:paraId="18180397">
            <w:pPr>
              <w:jc w:val="center"/>
              <w:rPr>
                <w:color w:val="auto"/>
              </w:rPr>
            </w:pPr>
            <w:r>
              <w:rPr>
                <w:color w:val="auto"/>
              </w:rPr>
              <w:t>5</w:t>
            </w:r>
          </w:p>
        </w:tc>
        <w:tc>
          <w:tcPr>
            <w:tcW w:w="834" w:type="pct"/>
            <w:gridSpan w:val="2"/>
            <w:tcBorders>
              <w:tl2br w:val="nil"/>
              <w:tr2bl w:val="nil"/>
            </w:tcBorders>
            <w:vAlign w:val="center"/>
          </w:tcPr>
          <w:p w14:paraId="6C4E840E">
            <w:pPr>
              <w:jc w:val="center"/>
              <w:rPr>
                <w:color w:val="auto"/>
              </w:rPr>
            </w:pPr>
            <w:r>
              <w:rPr>
                <w:color w:val="auto"/>
              </w:rPr>
              <w:t>21</w:t>
            </w:r>
          </w:p>
        </w:tc>
      </w:tr>
      <w:tr w14:paraId="677988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28D41388">
            <w:pPr>
              <w:jc w:val="center"/>
              <w:rPr>
                <w:color w:val="auto"/>
              </w:rPr>
            </w:pPr>
            <w:r>
              <w:rPr>
                <w:color w:val="auto"/>
              </w:rPr>
              <w:t>13</w:t>
            </w:r>
          </w:p>
        </w:tc>
        <w:tc>
          <w:tcPr>
            <w:tcW w:w="1415" w:type="pct"/>
            <w:tcBorders>
              <w:tl2br w:val="nil"/>
              <w:tr2bl w:val="nil"/>
            </w:tcBorders>
            <w:vAlign w:val="center"/>
          </w:tcPr>
          <w:p w14:paraId="6AFE1F2C">
            <w:pPr>
              <w:jc w:val="center"/>
              <w:rPr>
                <w:color w:val="auto"/>
              </w:rPr>
            </w:pPr>
            <w:r>
              <w:rPr>
                <w:color w:val="auto"/>
              </w:rPr>
              <w:t>1,1-二氯乙烯</w:t>
            </w:r>
          </w:p>
        </w:tc>
        <w:tc>
          <w:tcPr>
            <w:tcW w:w="1405" w:type="pct"/>
            <w:tcBorders>
              <w:tl2br w:val="nil"/>
              <w:tr2bl w:val="nil"/>
            </w:tcBorders>
            <w:vAlign w:val="center"/>
          </w:tcPr>
          <w:p w14:paraId="31FEC1DD">
            <w:pPr>
              <w:jc w:val="center"/>
              <w:rPr>
                <w:color w:val="auto"/>
              </w:rPr>
            </w:pPr>
            <w:r>
              <w:rPr>
                <w:color w:val="auto"/>
              </w:rPr>
              <w:t>75-35-4</w:t>
            </w:r>
          </w:p>
        </w:tc>
        <w:tc>
          <w:tcPr>
            <w:tcW w:w="821" w:type="pct"/>
            <w:tcBorders>
              <w:tl2br w:val="nil"/>
              <w:tr2bl w:val="nil"/>
            </w:tcBorders>
            <w:vAlign w:val="center"/>
          </w:tcPr>
          <w:p w14:paraId="155FFDE6">
            <w:pPr>
              <w:jc w:val="center"/>
              <w:rPr>
                <w:color w:val="auto"/>
              </w:rPr>
            </w:pPr>
            <w:r>
              <w:rPr>
                <w:color w:val="auto"/>
              </w:rPr>
              <w:t>66</w:t>
            </w:r>
          </w:p>
        </w:tc>
        <w:tc>
          <w:tcPr>
            <w:tcW w:w="834" w:type="pct"/>
            <w:gridSpan w:val="2"/>
            <w:tcBorders>
              <w:tl2br w:val="nil"/>
              <w:tr2bl w:val="nil"/>
            </w:tcBorders>
            <w:vAlign w:val="center"/>
          </w:tcPr>
          <w:p w14:paraId="1E9C2664">
            <w:pPr>
              <w:jc w:val="center"/>
              <w:rPr>
                <w:color w:val="auto"/>
              </w:rPr>
            </w:pPr>
            <w:r>
              <w:rPr>
                <w:color w:val="auto"/>
              </w:rPr>
              <w:t>200</w:t>
            </w:r>
          </w:p>
        </w:tc>
      </w:tr>
      <w:tr w14:paraId="28ECC8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85865E">
            <w:pPr>
              <w:jc w:val="center"/>
              <w:rPr>
                <w:color w:val="auto"/>
              </w:rPr>
            </w:pPr>
            <w:r>
              <w:rPr>
                <w:color w:val="auto"/>
              </w:rPr>
              <w:t>14</w:t>
            </w:r>
          </w:p>
        </w:tc>
        <w:tc>
          <w:tcPr>
            <w:tcW w:w="1415" w:type="pct"/>
            <w:tcBorders>
              <w:tl2br w:val="nil"/>
              <w:tr2bl w:val="nil"/>
            </w:tcBorders>
            <w:vAlign w:val="center"/>
          </w:tcPr>
          <w:p w14:paraId="6980A16F">
            <w:pPr>
              <w:jc w:val="center"/>
              <w:rPr>
                <w:color w:val="auto"/>
              </w:rPr>
            </w:pPr>
            <w:r>
              <w:rPr>
                <w:color w:val="auto"/>
              </w:rPr>
              <w:t>顺-1,2-二氯乙烯</w:t>
            </w:r>
          </w:p>
        </w:tc>
        <w:tc>
          <w:tcPr>
            <w:tcW w:w="1405" w:type="pct"/>
            <w:tcBorders>
              <w:tl2br w:val="nil"/>
              <w:tr2bl w:val="nil"/>
            </w:tcBorders>
            <w:vAlign w:val="center"/>
          </w:tcPr>
          <w:p w14:paraId="06BDFEA3">
            <w:pPr>
              <w:jc w:val="center"/>
              <w:rPr>
                <w:color w:val="auto"/>
              </w:rPr>
            </w:pPr>
            <w:r>
              <w:rPr>
                <w:color w:val="auto"/>
              </w:rPr>
              <w:t>156-59-2</w:t>
            </w:r>
          </w:p>
        </w:tc>
        <w:tc>
          <w:tcPr>
            <w:tcW w:w="821" w:type="pct"/>
            <w:tcBorders>
              <w:tl2br w:val="nil"/>
              <w:tr2bl w:val="nil"/>
            </w:tcBorders>
            <w:vAlign w:val="center"/>
          </w:tcPr>
          <w:p w14:paraId="41DE687D">
            <w:pPr>
              <w:jc w:val="center"/>
              <w:rPr>
                <w:color w:val="auto"/>
              </w:rPr>
            </w:pPr>
            <w:r>
              <w:rPr>
                <w:color w:val="auto"/>
              </w:rPr>
              <w:t>596</w:t>
            </w:r>
          </w:p>
        </w:tc>
        <w:tc>
          <w:tcPr>
            <w:tcW w:w="834" w:type="pct"/>
            <w:gridSpan w:val="2"/>
            <w:tcBorders>
              <w:tl2br w:val="nil"/>
              <w:tr2bl w:val="nil"/>
            </w:tcBorders>
            <w:vAlign w:val="center"/>
          </w:tcPr>
          <w:p w14:paraId="0C5B62DF">
            <w:pPr>
              <w:jc w:val="center"/>
              <w:rPr>
                <w:color w:val="auto"/>
              </w:rPr>
            </w:pPr>
            <w:r>
              <w:rPr>
                <w:color w:val="auto"/>
              </w:rPr>
              <w:t>2000</w:t>
            </w:r>
          </w:p>
        </w:tc>
      </w:tr>
      <w:tr w14:paraId="6CCD3C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ECA09ED">
            <w:pPr>
              <w:jc w:val="center"/>
              <w:rPr>
                <w:color w:val="auto"/>
              </w:rPr>
            </w:pPr>
            <w:r>
              <w:rPr>
                <w:color w:val="auto"/>
              </w:rPr>
              <w:t>15</w:t>
            </w:r>
          </w:p>
        </w:tc>
        <w:tc>
          <w:tcPr>
            <w:tcW w:w="1415" w:type="pct"/>
            <w:tcBorders>
              <w:tl2br w:val="nil"/>
              <w:tr2bl w:val="nil"/>
            </w:tcBorders>
            <w:vAlign w:val="center"/>
          </w:tcPr>
          <w:p w14:paraId="47EB8D0F">
            <w:pPr>
              <w:jc w:val="center"/>
              <w:rPr>
                <w:color w:val="auto"/>
              </w:rPr>
            </w:pPr>
            <w:r>
              <w:rPr>
                <w:color w:val="auto"/>
              </w:rPr>
              <w:t>反-1,2-二氯乙烯</w:t>
            </w:r>
          </w:p>
        </w:tc>
        <w:tc>
          <w:tcPr>
            <w:tcW w:w="1405" w:type="pct"/>
            <w:tcBorders>
              <w:tl2br w:val="nil"/>
              <w:tr2bl w:val="nil"/>
            </w:tcBorders>
            <w:vAlign w:val="center"/>
          </w:tcPr>
          <w:p w14:paraId="328F48A0">
            <w:pPr>
              <w:jc w:val="center"/>
              <w:rPr>
                <w:color w:val="auto"/>
              </w:rPr>
            </w:pPr>
            <w:r>
              <w:rPr>
                <w:color w:val="auto"/>
              </w:rPr>
              <w:t>156-60-2</w:t>
            </w:r>
          </w:p>
        </w:tc>
        <w:tc>
          <w:tcPr>
            <w:tcW w:w="821" w:type="pct"/>
            <w:tcBorders>
              <w:tl2br w:val="nil"/>
              <w:tr2bl w:val="nil"/>
            </w:tcBorders>
            <w:vAlign w:val="center"/>
          </w:tcPr>
          <w:p w14:paraId="3DE1E33D">
            <w:pPr>
              <w:jc w:val="center"/>
              <w:rPr>
                <w:color w:val="auto"/>
              </w:rPr>
            </w:pPr>
            <w:r>
              <w:rPr>
                <w:color w:val="auto"/>
              </w:rPr>
              <w:t>54</w:t>
            </w:r>
          </w:p>
        </w:tc>
        <w:tc>
          <w:tcPr>
            <w:tcW w:w="834" w:type="pct"/>
            <w:gridSpan w:val="2"/>
            <w:tcBorders>
              <w:tl2br w:val="nil"/>
              <w:tr2bl w:val="nil"/>
            </w:tcBorders>
            <w:vAlign w:val="center"/>
          </w:tcPr>
          <w:p w14:paraId="1DD76F15">
            <w:pPr>
              <w:jc w:val="center"/>
              <w:rPr>
                <w:color w:val="auto"/>
              </w:rPr>
            </w:pPr>
            <w:r>
              <w:rPr>
                <w:color w:val="auto"/>
              </w:rPr>
              <w:t>163</w:t>
            </w:r>
          </w:p>
        </w:tc>
      </w:tr>
      <w:tr w14:paraId="2D2318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8A5BC84">
            <w:pPr>
              <w:jc w:val="center"/>
              <w:rPr>
                <w:color w:val="auto"/>
              </w:rPr>
            </w:pPr>
            <w:r>
              <w:rPr>
                <w:color w:val="auto"/>
              </w:rPr>
              <w:t>16</w:t>
            </w:r>
          </w:p>
        </w:tc>
        <w:tc>
          <w:tcPr>
            <w:tcW w:w="1415" w:type="pct"/>
            <w:tcBorders>
              <w:tl2br w:val="nil"/>
              <w:tr2bl w:val="nil"/>
            </w:tcBorders>
            <w:vAlign w:val="center"/>
          </w:tcPr>
          <w:p w14:paraId="293DC4BC">
            <w:pPr>
              <w:jc w:val="center"/>
              <w:rPr>
                <w:color w:val="auto"/>
              </w:rPr>
            </w:pPr>
            <w:r>
              <w:rPr>
                <w:color w:val="auto"/>
              </w:rPr>
              <w:t>二氯甲烷</w:t>
            </w:r>
          </w:p>
        </w:tc>
        <w:tc>
          <w:tcPr>
            <w:tcW w:w="1405" w:type="pct"/>
            <w:tcBorders>
              <w:tl2br w:val="nil"/>
              <w:tr2bl w:val="nil"/>
            </w:tcBorders>
            <w:vAlign w:val="center"/>
          </w:tcPr>
          <w:p w14:paraId="41B11D4A">
            <w:pPr>
              <w:jc w:val="center"/>
              <w:rPr>
                <w:color w:val="auto"/>
              </w:rPr>
            </w:pPr>
            <w:r>
              <w:rPr>
                <w:color w:val="auto"/>
              </w:rPr>
              <w:t>75-09-2</w:t>
            </w:r>
          </w:p>
        </w:tc>
        <w:tc>
          <w:tcPr>
            <w:tcW w:w="821" w:type="pct"/>
            <w:tcBorders>
              <w:tl2br w:val="nil"/>
              <w:tr2bl w:val="nil"/>
            </w:tcBorders>
            <w:vAlign w:val="center"/>
          </w:tcPr>
          <w:p w14:paraId="42BD742D">
            <w:pPr>
              <w:jc w:val="center"/>
              <w:rPr>
                <w:color w:val="auto"/>
              </w:rPr>
            </w:pPr>
            <w:r>
              <w:rPr>
                <w:color w:val="auto"/>
              </w:rPr>
              <w:t>616</w:t>
            </w:r>
          </w:p>
        </w:tc>
        <w:tc>
          <w:tcPr>
            <w:tcW w:w="834" w:type="pct"/>
            <w:gridSpan w:val="2"/>
            <w:tcBorders>
              <w:tl2br w:val="nil"/>
              <w:tr2bl w:val="nil"/>
            </w:tcBorders>
            <w:vAlign w:val="center"/>
          </w:tcPr>
          <w:p w14:paraId="791EC972">
            <w:pPr>
              <w:jc w:val="center"/>
              <w:rPr>
                <w:color w:val="auto"/>
              </w:rPr>
            </w:pPr>
            <w:r>
              <w:rPr>
                <w:color w:val="auto"/>
              </w:rPr>
              <w:t>2000</w:t>
            </w:r>
          </w:p>
        </w:tc>
      </w:tr>
      <w:tr w14:paraId="3BC54B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664F549">
            <w:pPr>
              <w:jc w:val="center"/>
              <w:rPr>
                <w:color w:val="auto"/>
              </w:rPr>
            </w:pPr>
            <w:r>
              <w:rPr>
                <w:color w:val="auto"/>
              </w:rPr>
              <w:t>17</w:t>
            </w:r>
          </w:p>
        </w:tc>
        <w:tc>
          <w:tcPr>
            <w:tcW w:w="1415" w:type="pct"/>
            <w:tcBorders>
              <w:tl2br w:val="nil"/>
              <w:tr2bl w:val="nil"/>
            </w:tcBorders>
            <w:vAlign w:val="center"/>
          </w:tcPr>
          <w:p w14:paraId="5A22BC4C">
            <w:pPr>
              <w:jc w:val="center"/>
              <w:rPr>
                <w:color w:val="auto"/>
              </w:rPr>
            </w:pPr>
            <w:r>
              <w:rPr>
                <w:color w:val="auto"/>
              </w:rPr>
              <w:t>1,2-二氯丙烷</w:t>
            </w:r>
          </w:p>
        </w:tc>
        <w:tc>
          <w:tcPr>
            <w:tcW w:w="1405" w:type="pct"/>
            <w:tcBorders>
              <w:tl2br w:val="nil"/>
              <w:tr2bl w:val="nil"/>
            </w:tcBorders>
            <w:vAlign w:val="center"/>
          </w:tcPr>
          <w:p w14:paraId="019E9418">
            <w:pPr>
              <w:jc w:val="center"/>
              <w:rPr>
                <w:color w:val="auto"/>
              </w:rPr>
            </w:pPr>
            <w:r>
              <w:rPr>
                <w:color w:val="auto"/>
              </w:rPr>
              <w:t>78-87-5</w:t>
            </w:r>
          </w:p>
        </w:tc>
        <w:tc>
          <w:tcPr>
            <w:tcW w:w="821" w:type="pct"/>
            <w:tcBorders>
              <w:tl2br w:val="nil"/>
              <w:tr2bl w:val="nil"/>
            </w:tcBorders>
            <w:vAlign w:val="center"/>
          </w:tcPr>
          <w:p w14:paraId="3BA40016">
            <w:pPr>
              <w:jc w:val="center"/>
              <w:rPr>
                <w:color w:val="auto"/>
              </w:rPr>
            </w:pPr>
            <w:r>
              <w:rPr>
                <w:color w:val="auto"/>
              </w:rPr>
              <w:t>5</w:t>
            </w:r>
          </w:p>
        </w:tc>
        <w:tc>
          <w:tcPr>
            <w:tcW w:w="834" w:type="pct"/>
            <w:gridSpan w:val="2"/>
            <w:tcBorders>
              <w:tl2br w:val="nil"/>
              <w:tr2bl w:val="nil"/>
            </w:tcBorders>
            <w:vAlign w:val="center"/>
          </w:tcPr>
          <w:p w14:paraId="1DA41BA5">
            <w:pPr>
              <w:jc w:val="center"/>
              <w:rPr>
                <w:color w:val="auto"/>
              </w:rPr>
            </w:pPr>
            <w:r>
              <w:rPr>
                <w:color w:val="auto"/>
              </w:rPr>
              <w:t>47</w:t>
            </w:r>
          </w:p>
        </w:tc>
      </w:tr>
      <w:tr w14:paraId="26A9DC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ADF0D33">
            <w:pPr>
              <w:jc w:val="center"/>
              <w:rPr>
                <w:color w:val="auto"/>
              </w:rPr>
            </w:pPr>
            <w:r>
              <w:rPr>
                <w:color w:val="auto"/>
              </w:rPr>
              <w:t>18</w:t>
            </w:r>
          </w:p>
        </w:tc>
        <w:tc>
          <w:tcPr>
            <w:tcW w:w="1415" w:type="pct"/>
            <w:tcBorders>
              <w:tl2br w:val="nil"/>
              <w:tr2bl w:val="nil"/>
            </w:tcBorders>
            <w:vAlign w:val="center"/>
          </w:tcPr>
          <w:p w14:paraId="7A0A0E74">
            <w:pPr>
              <w:jc w:val="center"/>
              <w:rPr>
                <w:color w:val="auto"/>
              </w:rPr>
            </w:pPr>
            <w:r>
              <w:rPr>
                <w:color w:val="auto"/>
              </w:rPr>
              <w:t>1,1,1,2-四氯乙烷</w:t>
            </w:r>
          </w:p>
        </w:tc>
        <w:tc>
          <w:tcPr>
            <w:tcW w:w="1405" w:type="pct"/>
            <w:tcBorders>
              <w:tl2br w:val="nil"/>
              <w:tr2bl w:val="nil"/>
            </w:tcBorders>
            <w:vAlign w:val="center"/>
          </w:tcPr>
          <w:p w14:paraId="6ED9696E">
            <w:pPr>
              <w:jc w:val="center"/>
              <w:rPr>
                <w:color w:val="auto"/>
              </w:rPr>
            </w:pPr>
            <w:r>
              <w:rPr>
                <w:color w:val="auto"/>
              </w:rPr>
              <w:t>630-20-6</w:t>
            </w:r>
          </w:p>
        </w:tc>
        <w:tc>
          <w:tcPr>
            <w:tcW w:w="821" w:type="pct"/>
            <w:tcBorders>
              <w:tl2br w:val="nil"/>
              <w:tr2bl w:val="nil"/>
            </w:tcBorders>
            <w:vAlign w:val="center"/>
          </w:tcPr>
          <w:p w14:paraId="25AE9361">
            <w:pPr>
              <w:jc w:val="center"/>
              <w:rPr>
                <w:color w:val="auto"/>
              </w:rPr>
            </w:pPr>
            <w:r>
              <w:rPr>
                <w:color w:val="auto"/>
              </w:rPr>
              <w:t>10</w:t>
            </w:r>
          </w:p>
        </w:tc>
        <w:tc>
          <w:tcPr>
            <w:tcW w:w="834" w:type="pct"/>
            <w:gridSpan w:val="2"/>
            <w:tcBorders>
              <w:tl2br w:val="nil"/>
              <w:tr2bl w:val="nil"/>
            </w:tcBorders>
            <w:vAlign w:val="center"/>
          </w:tcPr>
          <w:p w14:paraId="3558B1CD">
            <w:pPr>
              <w:jc w:val="center"/>
              <w:rPr>
                <w:color w:val="auto"/>
              </w:rPr>
            </w:pPr>
            <w:r>
              <w:rPr>
                <w:color w:val="auto"/>
              </w:rPr>
              <w:t>100</w:t>
            </w:r>
          </w:p>
        </w:tc>
      </w:tr>
      <w:tr w14:paraId="5EBE1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D89F600">
            <w:pPr>
              <w:jc w:val="center"/>
              <w:rPr>
                <w:color w:val="auto"/>
              </w:rPr>
            </w:pPr>
            <w:r>
              <w:rPr>
                <w:color w:val="auto"/>
              </w:rPr>
              <w:t>19</w:t>
            </w:r>
          </w:p>
        </w:tc>
        <w:tc>
          <w:tcPr>
            <w:tcW w:w="1415" w:type="pct"/>
            <w:tcBorders>
              <w:tl2br w:val="nil"/>
              <w:tr2bl w:val="nil"/>
            </w:tcBorders>
            <w:vAlign w:val="center"/>
          </w:tcPr>
          <w:p w14:paraId="10AF4C4C">
            <w:pPr>
              <w:jc w:val="center"/>
              <w:rPr>
                <w:color w:val="auto"/>
              </w:rPr>
            </w:pPr>
            <w:r>
              <w:rPr>
                <w:color w:val="auto"/>
              </w:rPr>
              <w:t>1,1,2,2-四氯乙烷</w:t>
            </w:r>
          </w:p>
        </w:tc>
        <w:tc>
          <w:tcPr>
            <w:tcW w:w="1405" w:type="pct"/>
            <w:tcBorders>
              <w:tl2br w:val="nil"/>
              <w:tr2bl w:val="nil"/>
            </w:tcBorders>
            <w:vAlign w:val="center"/>
          </w:tcPr>
          <w:p w14:paraId="300EC179">
            <w:pPr>
              <w:jc w:val="center"/>
              <w:rPr>
                <w:color w:val="auto"/>
              </w:rPr>
            </w:pPr>
            <w:r>
              <w:rPr>
                <w:color w:val="auto"/>
              </w:rPr>
              <w:t>79-34-5</w:t>
            </w:r>
          </w:p>
        </w:tc>
        <w:tc>
          <w:tcPr>
            <w:tcW w:w="821" w:type="pct"/>
            <w:tcBorders>
              <w:tl2br w:val="nil"/>
              <w:tr2bl w:val="nil"/>
            </w:tcBorders>
            <w:vAlign w:val="center"/>
          </w:tcPr>
          <w:p w14:paraId="41210BD5">
            <w:pPr>
              <w:jc w:val="center"/>
              <w:rPr>
                <w:color w:val="auto"/>
              </w:rPr>
            </w:pPr>
            <w:r>
              <w:rPr>
                <w:color w:val="auto"/>
              </w:rPr>
              <w:t>6.8</w:t>
            </w:r>
          </w:p>
        </w:tc>
        <w:tc>
          <w:tcPr>
            <w:tcW w:w="834" w:type="pct"/>
            <w:gridSpan w:val="2"/>
            <w:tcBorders>
              <w:tl2br w:val="nil"/>
              <w:tr2bl w:val="nil"/>
            </w:tcBorders>
            <w:vAlign w:val="center"/>
          </w:tcPr>
          <w:p w14:paraId="2BCFD228">
            <w:pPr>
              <w:jc w:val="center"/>
              <w:rPr>
                <w:color w:val="auto"/>
              </w:rPr>
            </w:pPr>
            <w:r>
              <w:rPr>
                <w:color w:val="auto"/>
              </w:rPr>
              <w:t>50</w:t>
            </w:r>
          </w:p>
        </w:tc>
      </w:tr>
      <w:tr w14:paraId="2CEC31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C3E482">
            <w:pPr>
              <w:jc w:val="center"/>
              <w:rPr>
                <w:color w:val="auto"/>
              </w:rPr>
            </w:pPr>
            <w:r>
              <w:rPr>
                <w:color w:val="auto"/>
              </w:rPr>
              <w:t>20</w:t>
            </w:r>
          </w:p>
        </w:tc>
        <w:tc>
          <w:tcPr>
            <w:tcW w:w="1415" w:type="pct"/>
            <w:tcBorders>
              <w:tl2br w:val="nil"/>
              <w:tr2bl w:val="nil"/>
            </w:tcBorders>
            <w:vAlign w:val="center"/>
          </w:tcPr>
          <w:p w14:paraId="42221669">
            <w:pPr>
              <w:jc w:val="center"/>
              <w:rPr>
                <w:color w:val="auto"/>
              </w:rPr>
            </w:pPr>
            <w:r>
              <w:rPr>
                <w:color w:val="auto"/>
              </w:rPr>
              <w:t>四氯乙烯</w:t>
            </w:r>
          </w:p>
        </w:tc>
        <w:tc>
          <w:tcPr>
            <w:tcW w:w="1405" w:type="pct"/>
            <w:tcBorders>
              <w:tl2br w:val="nil"/>
              <w:tr2bl w:val="nil"/>
            </w:tcBorders>
            <w:vAlign w:val="center"/>
          </w:tcPr>
          <w:p w14:paraId="30C2830D">
            <w:pPr>
              <w:jc w:val="center"/>
              <w:rPr>
                <w:color w:val="auto"/>
              </w:rPr>
            </w:pPr>
            <w:r>
              <w:rPr>
                <w:color w:val="auto"/>
              </w:rPr>
              <w:t>127-18-4</w:t>
            </w:r>
          </w:p>
        </w:tc>
        <w:tc>
          <w:tcPr>
            <w:tcW w:w="821" w:type="pct"/>
            <w:tcBorders>
              <w:tl2br w:val="nil"/>
              <w:tr2bl w:val="nil"/>
            </w:tcBorders>
            <w:vAlign w:val="center"/>
          </w:tcPr>
          <w:p w14:paraId="312A5973">
            <w:pPr>
              <w:jc w:val="center"/>
              <w:rPr>
                <w:color w:val="auto"/>
              </w:rPr>
            </w:pPr>
            <w:r>
              <w:rPr>
                <w:color w:val="auto"/>
              </w:rPr>
              <w:t>53</w:t>
            </w:r>
          </w:p>
        </w:tc>
        <w:tc>
          <w:tcPr>
            <w:tcW w:w="834" w:type="pct"/>
            <w:gridSpan w:val="2"/>
            <w:tcBorders>
              <w:tl2br w:val="nil"/>
              <w:tr2bl w:val="nil"/>
            </w:tcBorders>
            <w:vAlign w:val="center"/>
          </w:tcPr>
          <w:p w14:paraId="40B64E72">
            <w:pPr>
              <w:jc w:val="center"/>
              <w:rPr>
                <w:color w:val="auto"/>
              </w:rPr>
            </w:pPr>
            <w:r>
              <w:rPr>
                <w:color w:val="auto"/>
              </w:rPr>
              <w:t>183</w:t>
            </w:r>
          </w:p>
        </w:tc>
      </w:tr>
      <w:tr w14:paraId="51C7B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C3B6209">
            <w:pPr>
              <w:jc w:val="center"/>
              <w:rPr>
                <w:color w:val="auto"/>
              </w:rPr>
            </w:pPr>
            <w:r>
              <w:rPr>
                <w:color w:val="auto"/>
              </w:rPr>
              <w:t>21</w:t>
            </w:r>
          </w:p>
        </w:tc>
        <w:tc>
          <w:tcPr>
            <w:tcW w:w="1415" w:type="pct"/>
            <w:tcBorders>
              <w:tl2br w:val="nil"/>
              <w:tr2bl w:val="nil"/>
            </w:tcBorders>
            <w:vAlign w:val="center"/>
          </w:tcPr>
          <w:p w14:paraId="0D2CF473">
            <w:pPr>
              <w:jc w:val="center"/>
              <w:rPr>
                <w:color w:val="auto"/>
              </w:rPr>
            </w:pPr>
            <w:r>
              <w:rPr>
                <w:color w:val="auto"/>
              </w:rPr>
              <w:t>1,1,1-三氯乙烷</w:t>
            </w:r>
          </w:p>
        </w:tc>
        <w:tc>
          <w:tcPr>
            <w:tcW w:w="1405" w:type="pct"/>
            <w:tcBorders>
              <w:tl2br w:val="nil"/>
              <w:tr2bl w:val="nil"/>
            </w:tcBorders>
            <w:vAlign w:val="center"/>
          </w:tcPr>
          <w:p w14:paraId="10AA98F3">
            <w:pPr>
              <w:jc w:val="center"/>
              <w:rPr>
                <w:color w:val="auto"/>
              </w:rPr>
            </w:pPr>
            <w:r>
              <w:rPr>
                <w:color w:val="auto"/>
              </w:rPr>
              <w:t>71-55-6</w:t>
            </w:r>
          </w:p>
        </w:tc>
        <w:tc>
          <w:tcPr>
            <w:tcW w:w="821" w:type="pct"/>
            <w:tcBorders>
              <w:tl2br w:val="nil"/>
              <w:tr2bl w:val="nil"/>
            </w:tcBorders>
            <w:vAlign w:val="center"/>
          </w:tcPr>
          <w:p w14:paraId="7BBA6C74">
            <w:pPr>
              <w:jc w:val="center"/>
              <w:rPr>
                <w:color w:val="auto"/>
              </w:rPr>
            </w:pPr>
            <w:r>
              <w:rPr>
                <w:color w:val="auto"/>
              </w:rPr>
              <w:t>840</w:t>
            </w:r>
          </w:p>
        </w:tc>
        <w:tc>
          <w:tcPr>
            <w:tcW w:w="834" w:type="pct"/>
            <w:gridSpan w:val="2"/>
            <w:tcBorders>
              <w:tl2br w:val="nil"/>
              <w:tr2bl w:val="nil"/>
            </w:tcBorders>
            <w:vAlign w:val="center"/>
          </w:tcPr>
          <w:p w14:paraId="39DF979A">
            <w:pPr>
              <w:jc w:val="center"/>
              <w:rPr>
                <w:color w:val="auto"/>
              </w:rPr>
            </w:pPr>
            <w:r>
              <w:rPr>
                <w:color w:val="auto"/>
              </w:rPr>
              <w:t>840</w:t>
            </w:r>
          </w:p>
        </w:tc>
      </w:tr>
      <w:tr w14:paraId="7A0397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5387DAD">
            <w:pPr>
              <w:jc w:val="center"/>
              <w:rPr>
                <w:color w:val="auto"/>
              </w:rPr>
            </w:pPr>
            <w:r>
              <w:rPr>
                <w:color w:val="auto"/>
              </w:rPr>
              <w:t>22</w:t>
            </w:r>
          </w:p>
        </w:tc>
        <w:tc>
          <w:tcPr>
            <w:tcW w:w="1415" w:type="pct"/>
            <w:tcBorders>
              <w:tl2br w:val="nil"/>
              <w:tr2bl w:val="nil"/>
            </w:tcBorders>
            <w:vAlign w:val="center"/>
          </w:tcPr>
          <w:p w14:paraId="133A4AF7">
            <w:pPr>
              <w:jc w:val="center"/>
              <w:rPr>
                <w:color w:val="auto"/>
              </w:rPr>
            </w:pPr>
            <w:r>
              <w:rPr>
                <w:color w:val="auto"/>
              </w:rPr>
              <w:t>1,1,2-三氯乙烷</w:t>
            </w:r>
          </w:p>
        </w:tc>
        <w:tc>
          <w:tcPr>
            <w:tcW w:w="1405" w:type="pct"/>
            <w:tcBorders>
              <w:tl2br w:val="nil"/>
              <w:tr2bl w:val="nil"/>
            </w:tcBorders>
            <w:vAlign w:val="center"/>
          </w:tcPr>
          <w:p w14:paraId="3E5A959C">
            <w:pPr>
              <w:jc w:val="center"/>
              <w:rPr>
                <w:color w:val="auto"/>
              </w:rPr>
            </w:pPr>
            <w:r>
              <w:rPr>
                <w:color w:val="auto"/>
              </w:rPr>
              <w:t>79-00-5</w:t>
            </w:r>
          </w:p>
        </w:tc>
        <w:tc>
          <w:tcPr>
            <w:tcW w:w="821" w:type="pct"/>
            <w:tcBorders>
              <w:tl2br w:val="nil"/>
              <w:tr2bl w:val="nil"/>
            </w:tcBorders>
            <w:vAlign w:val="center"/>
          </w:tcPr>
          <w:p w14:paraId="342A5E22">
            <w:pPr>
              <w:jc w:val="center"/>
              <w:rPr>
                <w:color w:val="auto"/>
              </w:rPr>
            </w:pPr>
            <w:r>
              <w:rPr>
                <w:color w:val="auto"/>
              </w:rPr>
              <w:t>2.8</w:t>
            </w:r>
          </w:p>
        </w:tc>
        <w:tc>
          <w:tcPr>
            <w:tcW w:w="834" w:type="pct"/>
            <w:gridSpan w:val="2"/>
            <w:tcBorders>
              <w:tl2br w:val="nil"/>
              <w:tr2bl w:val="nil"/>
            </w:tcBorders>
            <w:vAlign w:val="center"/>
          </w:tcPr>
          <w:p w14:paraId="586A1DBC">
            <w:pPr>
              <w:jc w:val="center"/>
              <w:rPr>
                <w:color w:val="auto"/>
              </w:rPr>
            </w:pPr>
            <w:r>
              <w:rPr>
                <w:color w:val="auto"/>
              </w:rPr>
              <w:t>15</w:t>
            </w:r>
          </w:p>
        </w:tc>
      </w:tr>
      <w:tr w14:paraId="06106C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6E75441">
            <w:pPr>
              <w:jc w:val="center"/>
              <w:rPr>
                <w:color w:val="auto"/>
              </w:rPr>
            </w:pPr>
            <w:r>
              <w:rPr>
                <w:color w:val="auto"/>
              </w:rPr>
              <w:t>23</w:t>
            </w:r>
          </w:p>
        </w:tc>
        <w:tc>
          <w:tcPr>
            <w:tcW w:w="1415" w:type="pct"/>
            <w:tcBorders>
              <w:tl2br w:val="nil"/>
              <w:tr2bl w:val="nil"/>
            </w:tcBorders>
            <w:vAlign w:val="center"/>
          </w:tcPr>
          <w:p w14:paraId="23982BA4">
            <w:pPr>
              <w:jc w:val="center"/>
              <w:rPr>
                <w:color w:val="auto"/>
              </w:rPr>
            </w:pPr>
            <w:r>
              <w:rPr>
                <w:color w:val="auto"/>
              </w:rPr>
              <w:t>三氯乙烯</w:t>
            </w:r>
          </w:p>
        </w:tc>
        <w:tc>
          <w:tcPr>
            <w:tcW w:w="1405" w:type="pct"/>
            <w:tcBorders>
              <w:tl2br w:val="nil"/>
              <w:tr2bl w:val="nil"/>
            </w:tcBorders>
            <w:vAlign w:val="center"/>
          </w:tcPr>
          <w:p w14:paraId="1FCEE6F5">
            <w:pPr>
              <w:jc w:val="center"/>
              <w:rPr>
                <w:color w:val="auto"/>
              </w:rPr>
            </w:pPr>
            <w:r>
              <w:rPr>
                <w:color w:val="auto"/>
              </w:rPr>
              <w:t>79-01-6</w:t>
            </w:r>
          </w:p>
        </w:tc>
        <w:tc>
          <w:tcPr>
            <w:tcW w:w="821" w:type="pct"/>
            <w:tcBorders>
              <w:tl2br w:val="nil"/>
              <w:tr2bl w:val="nil"/>
            </w:tcBorders>
            <w:vAlign w:val="center"/>
          </w:tcPr>
          <w:p w14:paraId="5F7EF734">
            <w:pPr>
              <w:jc w:val="center"/>
              <w:rPr>
                <w:color w:val="auto"/>
              </w:rPr>
            </w:pPr>
            <w:r>
              <w:rPr>
                <w:color w:val="auto"/>
              </w:rPr>
              <w:t>2.8</w:t>
            </w:r>
          </w:p>
        </w:tc>
        <w:tc>
          <w:tcPr>
            <w:tcW w:w="834" w:type="pct"/>
            <w:gridSpan w:val="2"/>
            <w:tcBorders>
              <w:tl2br w:val="nil"/>
              <w:tr2bl w:val="nil"/>
            </w:tcBorders>
            <w:vAlign w:val="center"/>
          </w:tcPr>
          <w:p w14:paraId="24DE7A8E">
            <w:pPr>
              <w:jc w:val="center"/>
              <w:rPr>
                <w:color w:val="auto"/>
              </w:rPr>
            </w:pPr>
            <w:r>
              <w:rPr>
                <w:color w:val="auto"/>
              </w:rPr>
              <w:t>20</w:t>
            </w:r>
          </w:p>
        </w:tc>
      </w:tr>
      <w:tr w14:paraId="48248F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F17DA8E">
            <w:pPr>
              <w:jc w:val="center"/>
              <w:rPr>
                <w:color w:val="auto"/>
              </w:rPr>
            </w:pPr>
            <w:r>
              <w:rPr>
                <w:color w:val="auto"/>
              </w:rPr>
              <w:t>24</w:t>
            </w:r>
          </w:p>
        </w:tc>
        <w:tc>
          <w:tcPr>
            <w:tcW w:w="1415" w:type="pct"/>
            <w:tcBorders>
              <w:tl2br w:val="nil"/>
              <w:tr2bl w:val="nil"/>
            </w:tcBorders>
            <w:vAlign w:val="center"/>
          </w:tcPr>
          <w:p w14:paraId="11285AD9">
            <w:pPr>
              <w:jc w:val="center"/>
              <w:rPr>
                <w:color w:val="auto"/>
              </w:rPr>
            </w:pPr>
            <w:r>
              <w:rPr>
                <w:color w:val="auto"/>
              </w:rPr>
              <w:t>1,2,3-三氯丙烷</w:t>
            </w:r>
          </w:p>
        </w:tc>
        <w:tc>
          <w:tcPr>
            <w:tcW w:w="1405" w:type="pct"/>
            <w:tcBorders>
              <w:tl2br w:val="nil"/>
              <w:tr2bl w:val="nil"/>
            </w:tcBorders>
            <w:vAlign w:val="center"/>
          </w:tcPr>
          <w:p w14:paraId="5431E177">
            <w:pPr>
              <w:jc w:val="center"/>
              <w:rPr>
                <w:color w:val="auto"/>
              </w:rPr>
            </w:pPr>
            <w:r>
              <w:rPr>
                <w:color w:val="auto"/>
              </w:rPr>
              <w:t>96-18-4</w:t>
            </w:r>
          </w:p>
        </w:tc>
        <w:tc>
          <w:tcPr>
            <w:tcW w:w="821" w:type="pct"/>
            <w:tcBorders>
              <w:tl2br w:val="nil"/>
              <w:tr2bl w:val="nil"/>
            </w:tcBorders>
            <w:vAlign w:val="center"/>
          </w:tcPr>
          <w:p w14:paraId="18A379A2">
            <w:pPr>
              <w:jc w:val="center"/>
              <w:rPr>
                <w:color w:val="auto"/>
              </w:rPr>
            </w:pPr>
            <w:r>
              <w:rPr>
                <w:color w:val="auto"/>
              </w:rPr>
              <w:t>0.5</w:t>
            </w:r>
          </w:p>
        </w:tc>
        <w:tc>
          <w:tcPr>
            <w:tcW w:w="834" w:type="pct"/>
            <w:gridSpan w:val="2"/>
            <w:tcBorders>
              <w:tl2br w:val="nil"/>
              <w:tr2bl w:val="nil"/>
            </w:tcBorders>
            <w:vAlign w:val="center"/>
          </w:tcPr>
          <w:p w14:paraId="527E08CD">
            <w:pPr>
              <w:jc w:val="center"/>
              <w:rPr>
                <w:color w:val="auto"/>
              </w:rPr>
            </w:pPr>
            <w:r>
              <w:rPr>
                <w:color w:val="auto"/>
              </w:rPr>
              <w:t>5</w:t>
            </w:r>
          </w:p>
        </w:tc>
      </w:tr>
      <w:tr w14:paraId="49F165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D971CA7">
            <w:pPr>
              <w:jc w:val="center"/>
              <w:rPr>
                <w:color w:val="auto"/>
              </w:rPr>
            </w:pPr>
            <w:r>
              <w:rPr>
                <w:color w:val="auto"/>
              </w:rPr>
              <w:t>25</w:t>
            </w:r>
          </w:p>
        </w:tc>
        <w:tc>
          <w:tcPr>
            <w:tcW w:w="1415" w:type="pct"/>
            <w:tcBorders>
              <w:tl2br w:val="nil"/>
              <w:tr2bl w:val="nil"/>
            </w:tcBorders>
            <w:vAlign w:val="center"/>
          </w:tcPr>
          <w:p w14:paraId="69330D2E">
            <w:pPr>
              <w:jc w:val="center"/>
              <w:rPr>
                <w:color w:val="auto"/>
              </w:rPr>
            </w:pPr>
            <w:r>
              <w:rPr>
                <w:color w:val="auto"/>
              </w:rPr>
              <w:t>氯乙烯</w:t>
            </w:r>
          </w:p>
        </w:tc>
        <w:tc>
          <w:tcPr>
            <w:tcW w:w="1405" w:type="pct"/>
            <w:tcBorders>
              <w:tl2br w:val="nil"/>
              <w:tr2bl w:val="nil"/>
            </w:tcBorders>
            <w:vAlign w:val="center"/>
          </w:tcPr>
          <w:p w14:paraId="668D87BC">
            <w:pPr>
              <w:jc w:val="center"/>
              <w:rPr>
                <w:color w:val="auto"/>
              </w:rPr>
            </w:pPr>
            <w:r>
              <w:rPr>
                <w:color w:val="auto"/>
              </w:rPr>
              <w:t>75-01-4</w:t>
            </w:r>
          </w:p>
        </w:tc>
        <w:tc>
          <w:tcPr>
            <w:tcW w:w="821" w:type="pct"/>
            <w:tcBorders>
              <w:tl2br w:val="nil"/>
              <w:tr2bl w:val="nil"/>
            </w:tcBorders>
            <w:vAlign w:val="center"/>
          </w:tcPr>
          <w:p w14:paraId="5E9D11F5">
            <w:pPr>
              <w:jc w:val="center"/>
              <w:rPr>
                <w:color w:val="auto"/>
              </w:rPr>
            </w:pPr>
            <w:r>
              <w:rPr>
                <w:color w:val="auto"/>
              </w:rPr>
              <w:t>0.43</w:t>
            </w:r>
          </w:p>
        </w:tc>
        <w:tc>
          <w:tcPr>
            <w:tcW w:w="834" w:type="pct"/>
            <w:gridSpan w:val="2"/>
            <w:tcBorders>
              <w:tl2br w:val="nil"/>
              <w:tr2bl w:val="nil"/>
            </w:tcBorders>
            <w:vAlign w:val="center"/>
          </w:tcPr>
          <w:p w14:paraId="4AC6DBF7">
            <w:pPr>
              <w:jc w:val="center"/>
              <w:rPr>
                <w:color w:val="auto"/>
              </w:rPr>
            </w:pPr>
            <w:r>
              <w:rPr>
                <w:color w:val="auto"/>
              </w:rPr>
              <w:t>4.3</w:t>
            </w:r>
          </w:p>
        </w:tc>
      </w:tr>
      <w:tr w14:paraId="3370F3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CC25B84">
            <w:pPr>
              <w:jc w:val="center"/>
              <w:rPr>
                <w:color w:val="auto"/>
              </w:rPr>
            </w:pPr>
            <w:r>
              <w:rPr>
                <w:color w:val="auto"/>
              </w:rPr>
              <w:t>26</w:t>
            </w:r>
          </w:p>
        </w:tc>
        <w:tc>
          <w:tcPr>
            <w:tcW w:w="1415" w:type="pct"/>
            <w:tcBorders>
              <w:tl2br w:val="nil"/>
              <w:tr2bl w:val="nil"/>
            </w:tcBorders>
            <w:vAlign w:val="center"/>
          </w:tcPr>
          <w:p w14:paraId="573DA254">
            <w:pPr>
              <w:jc w:val="center"/>
              <w:rPr>
                <w:color w:val="auto"/>
              </w:rPr>
            </w:pPr>
            <w:r>
              <w:rPr>
                <w:color w:val="auto"/>
              </w:rPr>
              <w:t>苯</w:t>
            </w:r>
          </w:p>
        </w:tc>
        <w:tc>
          <w:tcPr>
            <w:tcW w:w="1405" w:type="pct"/>
            <w:tcBorders>
              <w:tl2br w:val="nil"/>
              <w:tr2bl w:val="nil"/>
            </w:tcBorders>
            <w:vAlign w:val="center"/>
          </w:tcPr>
          <w:p w14:paraId="72896660">
            <w:pPr>
              <w:jc w:val="center"/>
              <w:rPr>
                <w:color w:val="auto"/>
              </w:rPr>
            </w:pPr>
            <w:r>
              <w:rPr>
                <w:color w:val="auto"/>
              </w:rPr>
              <w:t>71-43-2</w:t>
            </w:r>
          </w:p>
        </w:tc>
        <w:tc>
          <w:tcPr>
            <w:tcW w:w="821" w:type="pct"/>
            <w:tcBorders>
              <w:tl2br w:val="nil"/>
              <w:tr2bl w:val="nil"/>
            </w:tcBorders>
            <w:vAlign w:val="center"/>
          </w:tcPr>
          <w:p w14:paraId="1C29665D">
            <w:pPr>
              <w:jc w:val="center"/>
              <w:rPr>
                <w:color w:val="auto"/>
              </w:rPr>
            </w:pPr>
            <w:r>
              <w:rPr>
                <w:color w:val="auto"/>
              </w:rPr>
              <w:t>4</w:t>
            </w:r>
          </w:p>
        </w:tc>
        <w:tc>
          <w:tcPr>
            <w:tcW w:w="834" w:type="pct"/>
            <w:gridSpan w:val="2"/>
            <w:tcBorders>
              <w:tl2br w:val="nil"/>
              <w:tr2bl w:val="nil"/>
            </w:tcBorders>
            <w:vAlign w:val="center"/>
          </w:tcPr>
          <w:p w14:paraId="7B48D06E">
            <w:pPr>
              <w:jc w:val="center"/>
              <w:rPr>
                <w:color w:val="auto"/>
              </w:rPr>
            </w:pPr>
            <w:r>
              <w:rPr>
                <w:color w:val="auto"/>
              </w:rPr>
              <w:t>40</w:t>
            </w:r>
          </w:p>
        </w:tc>
      </w:tr>
      <w:tr w14:paraId="4C5FEA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F2F4426">
            <w:pPr>
              <w:jc w:val="center"/>
              <w:rPr>
                <w:color w:val="auto"/>
              </w:rPr>
            </w:pPr>
            <w:r>
              <w:rPr>
                <w:color w:val="auto"/>
              </w:rPr>
              <w:t>27</w:t>
            </w:r>
          </w:p>
        </w:tc>
        <w:tc>
          <w:tcPr>
            <w:tcW w:w="1415" w:type="pct"/>
            <w:tcBorders>
              <w:tl2br w:val="nil"/>
              <w:tr2bl w:val="nil"/>
            </w:tcBorders>
            <w:vAlign w:val="center"/>
          </w:tcPr>
          <w:p w14:paraId="23561E01">
            <w:pPr>
              <w:jc w:val="center"/>
              <w:rPr>
                <w:color w:val="auto"/>
              </w:rPr>
            </w:pPr>
            <w:r>
              <w:rPr>
                <w:color w:val="auto"/>
              </w:rPr>
              <w:t>氯苯</w:t>
            </w:r>
          </w:p>
        </w:tc>
        <w:tc>
          <w:tcPr>
            <w:tcW w:w="1405" w:type="pct"/>
            <w:tcBorders>
              <w:tl2br w:val="nil"/>
              <w:tr2bl w:val="nil"/>
            </w:tcBorders>
            <w:vAlign w:val="center"/>
          </w:tcPr>
          <w:p w14:paraId="39C9C8AE">
            <w:pPr>
              <w:jc w:val="center"/>
              <w:rPr>
                <w:color w:val="auto"/>
              </w:rPr>
            </w:pPr>
            <w:r>
              <w:rPr>
                <w:color w:val="auto"/>
              </w:rPr>
              <w:t>108-90-7</w:t>
            </w:r>
          </w:p>
        </w:tc>
        <w:tc>
          <w:tcPr>
            <w:tcW w:w="821" w:type="pct"/>
            <w:tcBorders>
              <w:tl2br w:val="nil"/>
              <w:tr2bl w:val="nil"/>
            </w:tcBorders>
            <w:vAlign w:val="center"/>
          </w:tcPr>
          <w:p w14:paraId="0D249D85">
            <w:pPr>
              <w:jc w:val="center"/>
              <w:rPr>
                <w:color w:val="auto"/>
              </w:rPr>
            </w:pPr>
            <w:r>
              <w:rPr>
                <w:color w:val="auto"/>
              </w:rPr>
              <w:t>270</w:t>
            </w:r>
          </w:p>
        </w:tc>
        <w:tc>
          <w:tcPr>
            <w:tcW w:w="834" w:type="pct"/>
            <w:gridSpan w:val="2"/>
            <w:tcBorders>
              <w:tl2br w:val="nil"/>
              <w:tr2bl w:val="nil"/>
            </w:tcBorders>
            <w:vAlign w:val="center"/>
          </w:tcPr>
          <w:p w14:paraId="50BBB6C8">
            <w:pPr>
              <w:jc w:val="center"/>
              <w:rPr>
                <w:color w:val="auto"/>
              </w:rPr>
            </w:pPr>
            <w:r>
              <w:rPr>
                <w:color w:val="auto"/>
              </w:rPr>
              <w:t>1000</w:t>
            </w:r>
          </w:p>
        </w:tc>
      </w:tr>
      <w:tr w14:paraId="355BA8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6BCB3C5">
            <w:pPr>
              <w:jc w:val="center"/>
              <w:rPr>
                <w:color w:val="auto"/>
              </w:rPr>
            </w:pPr>
            <w:r>
              <w:rPr>
                <w:color w:val="auto"/>
              </w:rPr>
              <w:t>28</w:t>
            </w:r>
          </w:p>
        </w:tc>
        <w:tc>
          <w:tcPr>
            <w:tcW w:w="1415" w:type="pct"/>
            <w:tcBorders>
              <w:tl2br w:val="nil"/>
              <w:tr2bl w:val="nil"/>
            </w:tcBorders>
            <w:vAlign w:val="center"/>
          </w:tcPr>
          <w:p w14:paraId="60494A02">
            <w:pPr>
              <w:jc w:val="center"/>
              <w:rPr>
                <w:color w:val="auto"/>
              </w:rPr>
            </w:pPr>
            <w:r>
              <w:rPr>
                <w:color w:val="auto"/>
              </w:rPr>
              <w:t>1,2-二氯苯</w:t>
            </w:r>
          </w:p>
        </w:tc>
        <w:tc>
          <w:tcPr>
            <w:tcW w:w="1405" w:type="pct"/>
            <w:tcBorders>
              <w:tl2br w:val="nil"/>
              <w:tr2bl w:val="nil"/>
            </w:tcBorders>
            <w:vAlign w:val="center"/>
          </w:tcPr>
          <w:p w14:paraId="76A90677">
            <w:pPr>
              <w:jc w:val="center"/>
              <w:rPr>
                <w:color w:val="auto"/>
              </w:rPr>
            </w:pPr>
            <w:r>
              <w:rPr>
                <w:color w:val="auto"/>
              </w:rPr>
              <w:t>95-50-1</w:t>
            </w:r>
          </w:p>
        </w:tc>
        <w:tc>
          <w:tcPr>
            <w:tcW w:w="821" w:type="pct"/>
            <w:tcBorders>
              <w:tl2br w:val="nil"/>
              <w:tr2bl w:val="nil"/>
            </w:tcBorders>
            <w:vAlign w:val="center"/>
          </w:tcPr>
          <w:p w14:paraId="4D69F7F8">
            <w:pPr>
              <w:jc w:val="center"/>
              <w:rPr>
                <w:color w:val="auto"/>
              </w:rPr>
            </w:pPr>
            <w:r>
              <w:rPr>
                <w:color w:val="auto"/>
              </w:rPr>
              <w:t>560</w:t>
            </w:r>
          </w:p>
        </w:tc>
        <w:tc>
          <w:tcPr>
            <w:tcW w:w="834" w:type="pct"/>
            <w:gridSpan w:val="2"/>
            <w:tcBorders>
              <w:tl2br w:val="nil"/>
              <w:tr2bl w:val="nil"/>
            </w:tcBorders>
            <w:vAlign w:val="center"/>
          </w:tcPr>
          <w:p w14:paraId="755ABEEE">
            <w:pPr>
              <w:jc w:val="center"/>
              <w:rPr>
                <w:color w:val="auto"/>
              </w:rPr>
            </w:pPr>
            <w:r>
              <w:rPr>
                <w:color w:val="auto"/>
              </w:rPr>
              <w:t>560</w:t>
            </w:r>
          </w:p>
        </w:tc>
      </w:tr>
      <w:tr w14:paraId="4A9A1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85BE9AE">
            <w:pPr>
              <w:jc w:val="center"/>
              <w:rPr>
                <w:color w:val="auto"/>
              </w:rPr>
            </w:pPr>
            <w:r>
              <w:rPr>
                <w:color w:val="auto"/>
              </w:rPr>
              <w:t>29</w:t>
            </w:r>
          </w:p>
        </w:tc>
        <w:tc>
          <w:tcPr>
            <w:tcW w:w="1415" w:type="pct"/>
            <w:tcBorders>
              <w:tl2br w:val="nil"/>
              <w:tr2bl w:val="nil"/>
            </w:tcBorders>
            <w:vAlign w:val="center"/>
          </w:tcPr>
          <w:p w14:paraId="19206E03">
            <w:pPr>
              <w:jc w:val="center"/>
              <w:rPr>
                <w:color w:val="auto"/>
              </w:rPr>
            </w:pPr>
            <w:r>
              <w:rPr>
                <w:color w:val="auto"/>
              </w:rPr>
              <w:t>1,4-二氯苯</w:t>
            </w:r>
          </w:p>
        </w:tc>
        <w:tc>
          <w:tcPr>
            <w:tcW w:w="1405" w:type="pct"/>
            <w:tcBorders>
              <w:tl2br w:val="nil"/>
              <w:tr2bl w:val="nil"/>
            </w:tcBorders>
            <w:vAlign w:val="center"/>
          </w:tcPr>
          <w:p w14:paraId="0C292C9B">
            <w:pPr>
              <w:jc w:val="center"/>
              <w:rPr>
                <w:color w:val="auto"/>
              </w:rPr>
            </w:pPr>
            <w:r>
              <w:rPr>
                <w:color w:val="auto"/>
              </w:rPr>
              <w:t>106-46-7</w:t>
            </w:r>
          </w:p>
        </w:tc>
        <w:tc>
          <w:tcPr>
            <w:tcW w:w="821" w:type="pct"/>
            <w:tcBorders>
              <w:tl2br w:val="nil"/>
              <w:tr2bl w:val="nil"/>
            </w:tcBorders>
            <w:vAlign w:val="center"/>
          </w:tcPr>
          <w:p w14:paraId="22A0DCAD">
            <w:pPr>
              <w:jc w:val="center"/>
              <w:rPr>
                <w:color w:val="auto"/>
              </w:rPr>
            </w:pPr>
            <w:r>
              <w:rPr>
                <w:color w:val="auto"/>
              </w:rPr>
              <w:t>20</w:t>
            </w:r>
          </w:p>
        </w:tc>
        <w:tc>
          <w:tcPr>
            <w:tcW w:w="834" w:type="pct"/>
            <w:gridSpan w:val="2"/>
            <w:tcBorders>
              <w:tl2br w:val="nil"/>
              <w:tr2bl w:val="nil"/>
            </w:tcBorders>
            <w:vAlign w:val="center"/>
          </w:tcPr>
          <w:p w14:paraId="103E8C54">
            <w:pPr>
              <w:jc w:val="center"/>
              <w:rPr>
                <w:color w:val="auto"/>
              </w:rPr>
            </w:pPr>
            <w:r>
              <w:rPr>
                <w:color w:val="auto"/>
              </w:rPr>
              <w:t>200</w:t>
            </w:r>
          </w:p>
        </w:tc>
      </w:tr>
      <w:tr w14:paraId="70DF4D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577010B">
            <w:pPr>
              <w:jc w:val="center"/>
              <w:rPr>
                <w:color w:val="auto"/>
              </w:rPr>
            </w:pPr>
            <w:r>
              <w:rPr>
                <w:color w:val="auto"/>
              </w:rPr>
              <w:t>30</w:t>
            </w:r>
          </w:p>
        </w:tc>
        <w:tc>
          <w:tcPr>
            <w:tcW w:w="1415" w:type="pct"/>
            <w:tcBorders>
              <w:tl2br w:val="nil"/>
              <w:tr2bl w:val="nil"/>
            </w:tcBorders>
            <w:vAlign w:val="center"/>
          </w:tcPr>
          <w:p w14:paraId="116FD139">
            <w:pPr>
              <w:jc w:val="center"/>
              <w:rPr>
                <w:color w:val="auto"/>
              </w:rPr>
            </w:pPr>
            <w:r>
              <w:rPr>
                <w:color w:val="auto"/>
              </w:rPr>
              <w:t>乙苯</w:t>
            </w:r>
          </w:p>
        </w:tc>
        <w:tc>
          <w:tcPr>
            <w:tcW w:w="1405" w:type="pct"/>
            <w:tcBorders>
              <w:tl2br w:val="nil"/>
              <w:tr2bl w:val="nil"/>
            </w:tcBorders>
            <w:vAlign w:val="center"/>
          </w:tcPr>
          <w:p w14:paraId="09BA4377">
            <w:pPr>
              <w:jc w:val="center"/>
              <w:rPr>
                <w:color w:val="auto"/>
              </w:rPr>
            </w:pPr>
            <w:r>
              <w:rPr>
                <w:color w:val="auto"/>
              </w:rPr>
              <w:t>100-41-4</w:t>
            </w:r>
          </w:p>
        </w:tc>
        <w:tc>
          <w:tcPr>
            <w:tcW w:w="821" w:type="pct"/>
            <w:tcBorders>
              <w:tl2br w:val="nil"/>
              <w:tr2bl w:val="nil"/>
            </w:tcBorders>
            <w:vAlign w:val="center"/>
          </w:tcPr>
          <w:p w14:paraId="49BAD1D8">
            <w:pPr>
              <w:jc w:val="center"/>
              <w:rPr>
                <w:color w:val="auto"/>
              </w:rPr>
            </w:pPr>
            <w:r>
              <w:rPr>
                <w:color w:val="auto"/>
              </w:rPr>
              <w:t>28</w:t>
            </w:r>
          </w:p>
        </w:tc>
        <w:tc>
          <w:tcPr>
            <w:tcW w:w="834" w:type="pct"/>
            <w:gridSpan w:val="2"/>
            <w:tcBorders>
              <w:tl2br w:val="nil"/>
              <w:tr2bl w:val="nil"/>
            </w:tcBorders>
            <w:vAlign w:val="center"/>
          </w:tcPr>
          <w:p w14:paraId="1F112C5A">
            <w:pPr>
              <w:jc w:val="center"/>
              <w:rPr>
                <w:color w:val="auto"/>
              </w:rPr>
            </w:pPr>
            <w:r>
              <w:rPr>
                <w:color w:val="auto"/>
              </w:rPr>
              <w:t>280</w:t>
            </w:r>
          </w:p>
        </w:tc>
      </w:tr>
      <w:tr w14:paraId="177730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1A20CA0">
            <w:pPr>
              <w:jc w:val="center"/>
              <w:rPr>
                <w:color w:val="auto"/>
              </w:rPr>
            </w:pPr>
            <w:r>
              <w:rPr>
                <w:color w:val="auto"/>
              </w:rPr>
              <w:t>31</w:t>
            </w:r>
          </w:p>
        </w:tc>
        <w:tc>
          <w:tcPr>
            <w:tcW w:w="1415" w:type="pct"/>
            <w:tcBorders>
              <w:tl2br w:val="nil"/>
              <w:tr2bl w:val="nil"/>
            </w:tcBorders>
            <w:vAlign w:val="center"/>
          </w:tcPr>
          <w:p w14:paraId="00CB2148">
            <w:pPr>
              <w:jc w:val="center"/>
              <w:rPr>
                <w:color w:val="auto"/>
              </w:rPr>
            </w:pPr>
            <w:r>
              <w:rPr>
                <w:color w:val="auto"/>
              </w:rPr>
              <w:t>苯乙烯</w:t>
            </w:r>
          </w:p>
        </w:tc>
        <w:tc>
          <w:tcPr>
            <w:tcW w:w="1405" w:type="pct"/>
            <w:tcBorders>
              <w:tl2br w:val="nil"/>
              <w:tr2bl w:val="nil"/>
            </w:tcBorders>
            <w:vAlign w:val="center"/>
          </w:tcPr>
          <w:p w14:paraId="0BC881C1">
            <w:pPr>
              <w:jc w:val="center"/>
              <w:rPr>
                <w:color w:val="auto"/>
              </w:rPr>
            </w:pPr>
            <w:r>
              <w:rPr>
                <w:color w:val="auto"/>
              </w:rPr>
              <w:t>100-42-5</w:t>
            </w:r>
          </w:p>
        </w:tc>
        <w:tc>
          <w:tcPr>
            <w:tcW w:w="821" w:type="pct"/>
            <w:tcBorders>
              <w:tl2br w:val="nil"/>
              <w:tr2bl w:val="nil"/>
            </w:tcBorders>
            <w:vAlign w:val="center"/>
          </w:tcPr>
          <w:p w14:paraId="26267E3E">
            <w:pPr>
              <w:jc w:val="center"/>
              <w:rPr>
                <w:color w:val="auto"/>
              </w:rPr>
            </w:pPr>
            <w:r>
              <w:rPr>
                <w:color w:val="auto"/>
              </w:rPr>
              <w:t>1290</w:t>
            </w:r>
          </w:p>
        </w:tc>
        <w:tc>
          <w:tcPr>
            <w:tcW w:w="834" w:type="pct"/>
            <w:gridSpan w:val="2"/>
            <w:tcBorders>
              <w:tl2br w:val="nil"/>
              <w:tr2bl w:val="nil"/>
            </w:tcBorders>
            <w:vAlign w:val="center"/>
          </w:tcPr>
          <w:p w14:paraId="2DC5C72F">
            <w:pPr>
              <w:jc w:val="center"/>
              <w:rPr>
                <w:color w:val="auto"/>
              </w:rPr>
            </w:pPr>
            <w:r>
              <w:rPr>
                <w:color w:val="auto"/>
              </w:rPr>
              <w:t>1290</w:t>
            </w:r>
          </w:p>
        </w:tc>
      </w:tr>
      <w:tr w14:paraId="1A659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280053A">
            <w:pPr>
              <w:jc w:val="center"/>
              <w:rPr>
                <w:color w:val="auto"/>
              </w:rPr>
            </w:pPr>
            <w:r>
              <w:rPr>
                <w:color w:val="auto"/>
              </w:rPr>
              <w:t>32</w:t>
            </w:r>
          </w:p>
        </w:tc>
        <w:tc>
          <w:tcPr>
            <w:tcW w:w="1415" w:type="pct"/>
            <w:tcBorders>
              <w:tl2br w:val="nil"/>
              <w:tr2bl w:val="nil"/>
            </w:tcBorders>
            <w:vAlign w:val="center"/>
          </w:tcPr>
          <w:p w14:paraId="14556039">
            <w:pPr>
              <w:jc w:val="center"/>
              <w:rPr>
                <w:color w:val="auto"/>
              </w:rPr>
            </w:pPr>
            <w:r>
              <w:rPr>
                <w:color w:val="auto"/>
              </w:rPr>
              <w:t>甲苯</w:t>
            </w:r>
          </w:p>
        </w:tc>
        <w:tc>
          <w:tcPr>
            <w:tcW w:w="1405" w:type="pct"/>
            <w:tcBorders>
              <w:tl2br w:val="nil"/>
              <w:tr2bl w:val="nil"/>
            </w:tcBorders>
            <w:vAlign w:val="center"/>
          </w:tcPr>
          <w:p w14:paraId="2A5913EB">
            <w:pPr>
              <w:jc w:val="center"/>
              <w:rPr>
                <w:color w:val="auto"/>
              </w:rPr>
            </w:pPr>
            <w:r>
              <w:rPr>
                <w:color w:val="auto"/>
              </w:rPr>
              <w:t>108-88-3</w:t>
            </w:r>
          </w:p>
        </w:tc>
        <w:tc>
          <w:tcPr>
            <w:tcW w:w="821" w:type="pct"/>
            <w:tcBorders>
              <w:tl2br w:val="nil"/>
              <w:tr2bl w:val="nil"/>
            </w:tcBorders>
            <w:vAlign w:val="center"/>
          </w:tcPr>
          <w:p w14:paraId="365DF477">
            <w:pPr>
              <w:jc w:val="center"/>
              <w:rPr>
                <w:color w:val="auto"/>
              </w:rPr>
            </w:pPr>
            <w:r>
              <w:rPr>
                <w:color w:val="auto"/>
              </w:rPr>
              <w:t>1200</w:t>
            </w:r>
          </w:p>
        </w:tc>
        <w:tc>
          <w:tcPr>
            <w:tcW w:w="834" w:type="pct"/>
            <w:gridSpan w:val="2"/>
            <w:tcBorders>
              <w:tl2br w:val="nil"/>
              <w:tr2bl w:val="nil"/>
            </w:tcBorders>
            <w:vAlign w:val="center"/>
          </w:tcPr>
          <w:p w14:paraId="4D7847C1">
            <w:pPr>
              <w:jc w:val="center"/>
              <w:rPr>
                <w:color w:val="auto"/>
              </w:rPr>
            </w:pPr>
            <w:r>
              <w:rPr>
                <w:color w:val="auto"/>
              </w:rPr>
              <w:t>1200</w:t>
            </w:r>
          </w:p>
        </w:tc>
      </w:tr>
      <w:tr w14:paraId="7B356C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7879A84">
            <w:pPr>
              <w:jc w:val="center"/>
              <w:rPr>
                <w:color w:val="auto"/>
              </w:rPr>
            </w:pPr>
            <w:r>
              <w:rPr>
                <w:color w:val="auto"/>
              </w:rPr>
              <w:t>33</w:t>
            </w:r>
          </w:p>
        </w:tc>
        <w:tc>
          <w:tcPr>
            <w:tcW w:w="1415" w:type="pct"/>
            <w:tcBorders>
              <w:tl2br w:val="nil"/>
              <w:tr2bl w:val="nil"/>
            </w:tcBorders>
            <w:vAlign w:val="center"/>
          </w:tcPr>
          <w:p w14:paraId="383F9C56">
            <w:pPr>
              <w:jc w:val="center"/>
              <w:rPr>
                <w:color w:val="auto"/>
              </w:rPr>
            </w:pPr>
            <w:r>
              <w:rPr>
                <w:color w:val="auto"/>
              </w:rPr>
              <w:t>间二甲苯+对二甲苯</w:t>
            </w:r>
          </w:p>
        </w:tc>
        <w:tc>
          <w:tcPr>
            <w:tcW w:w="1405" w:type="pct"/>
            <w:tcBorders>
              <w:tl2br w:val="nil"/>
              <w:tr2bl w:val="nil"/>
            </w:tcBorders>
            <w:vAlign w:val="center"/>
          </w:tcPr>
          <w:p w14:paraId="7B5D55AC">
            <w:pPr>
              <w:jc w:val="center"/>
              <w:rPr>
                <w:color w:val="auto"/>
              </w:rPr>
            </w:pPr>
            <w:r>
              <w:rPr>
                <w:color w:val="auto"/>
              </w:rPr>
              <w:t>108-38-3；106-42-3</w:t>
            </w:r>
          </w:p>
        </w:tc>
        <w:tc>
          <w:tcPr>
            <w:tcW w:w="821" w:type="pct"/>
            <w:tcBorders>
              <w:tl2br w:val="nil"/>
              <w:tr2bl w:val="nil"/>
            </w:tcBorders>
            <w:vAlign w:val="center"/>
          </w:tcPr>
          <w:p w14:paraId="46AC9DCC">
            <w:pPr>
              <w:jc w:val="center"/>
              <w:rPr>
                <w:color w:val="auto"/>
              </w:rPr>
            </w:pPr>
            <w:r>
              <w:rPr>
                <w:color w:val="auto"/>
              </w:rPr>
              <w:t>570</w:t>
            </w:r>
          </w:p>
        </w:tc>
        <w:tc>
          <w:tcPr>
            <w:tcW w:w="834" w:type="pct"/>
            <w:gridSpan w:val="2"/>
            <w:tcBorders>
              <w:tl2br w:val="nil"/>
              <w:tr2bl w:val="nil"/>
            </w:tcBorders>
            <w:vAlign w:val="center"/>
          </w:tcPr>
          <w:p w14:paraId="672E6DC1">
            <w:pPr>
              <w:jc w:val="center"/>
              <w:rPr>
                <w:color w:val="auto"/>
              </w:rPr>
            </w:pPr>
            <w:r>
              <w:rPr>
                <w:color w:val="auto"/>
              </w:rPr>
              <w:t>570</w:t>
            </w:r>
          </w:p>
        </w:tc>
      </w:tr>
      <w:tr w14:paraId="6C19A1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B8B112A">
            <w:pPr>
              <w:jc w:val="center"/>
              <w:rPr>
                <w:color w:val="auto"/>
              </w:rPr>
            </w:pPr>
            <w:r>
              <w:rPr>
                <w:color w:val="auto"/>
              </w:rPr>
              <w:t>34</w:t>
            </w:r>
          </w:p>
        </w:tc>
        <w:tc>
          <w:tcPr>
            <w:tcW w:w="1415" w:type="pct"/>
            <w:tcBorders>
              <w:tl2br w:val="nil"/>
              <w:tr2bl w:val="nil"/>
            </w:tcBorders>
            <w:vAlign w:val="center"/>
          </w:tcPr>
          <w:p w14:paraId="311E48F5">
            <w:pPr>
              <w:jc w:val="center"/>
              <w:rPr>
                <w:color w:val="auto"/>
              </w:rPr>
            </w:pPr>
            <w:r>
              <w:rPr>
                <w:color w:val="auto"/>
              </w:rPr>
              <w:t>邻二甲苯</w:t>
            </w:r>
          </w:p>
        </w:tc>
        <w:tc>
          <w:tcPr>
            <w:tcW w:w="1405" w:type="pct"/>
            <w:tcBorders>
              <w:tl2br w:val="nil"/>
              <w:tr2bl w:val="nil"/>
            </w:tcBorders>
            <w:vAlign w:val="center"/>
          </w:tcPr>
          <w:p w14:paraId="71E1AA87">
            <w:pPr>
              <w:jc w:val="center"/>
              <w:rPr>
                <w:color w:val="auto"/>
              </w:rPr>
            </w:pPr>
            <w:r>
              <w:rPr>
                <w:color w:val="auto"/>
              </w:rPr>
              <w:t>95-47-6</w:t>
            </w:r>
          </w:p>
        </w:tc>
        <w:tc>
          <w:tcPr>
            <w:tcW w:w="821" w:type="pct"/>
            <w:tcBorders>
              <w:tl2br w:val="nil"/>
              <w:tr2bl w:val="nil"/>
            </w:tcBorders>
            <w:vAlign w:val="center"/>
          </w:tcPr>
          <w:p w14:paraId="795800D7">
            <w:pPr>
              <w:jc w:val="center"/>
              <w:rPr>
                <w:color w:val="auto"/>
              </w:rPr>
            </w:pPr>
            <w:r>
              <w:rPr>
                <w:color w:val="auto"/>
              </w:rPr>
              <w:t>640</w:t>
            </w:r>
          </w:p>
        </w:tc>
        <w:tc>
          <w:tcPr>
            <w:tcW w:w="834" w:type="pct"/>
            <w:gridSpan w:val="2"/>
            <w:tcBorders>
              <w:tl2br w:val="nil"/>
              <w:tr2bl w:val="nil"/>
            </w:tcBorders>
            <w:vAlign w:val="center"/>
          </w:tcPr>
          <w:p w14:paraId="4025256D">
            <w:pPr>
              <w:jc w:val="center"/>
              <w:rPr>
                <w:color w:val="auto"/>
              </w:rPr>
            </w:pPr>
            <w:r>
              <w:rPr>
                <w:color w:val="auto"/>
              </w:rPr>
              <w:t>640</w:t>
            </w:r>
          </w:p>
        </w:tc>
      </w:tr>
      <w:tr w14:paraId="772984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2E43B953">
            <w:pPr>
              <w:jc w:val="center"/>
              <w:rPr>
                <w:color w:val="auto"/>
              </w:rPr>
            </w:pPr>
            <w:r>
              <w:rPr>
                <w:color w:val="auto"/>
              </w:rPr>
              <w:t>半挥发性有机物</w:t>
            </w:r>
          </w:p>
        </w:tc>
      </w:tr>
      <w:tr w14:paraId="26C988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EBD1F28">
            <w:pPr>
              <w:jc w:val="center"/>
              <w:rPr>
                <w:color w:val="auto"/>
              </w:rPr>
            </w:pPr>
            <w:r>
              <w:rPr>
                <w:color w:val="auto"/>
              </w:rPr>
              <w:t>35</w:t>
            </w:r>
          </w:p>
        </w:tc>
        <w:tc>
          <w:tcPr>
            <w:tcW w:w="1415" w:type="pct"/>
            <w:tcBorders>
              <w:tl2br w:val="nil"/>
              <w:tr2bl w:val="nil"/>
            </w:tcBorders>
            <w:vAlign w:val="center"/>
          </w:tcPr>
          <w:p w14:paraId="0860E906">
            <w:pPr>
              <w:jc w:val="center"/>
              <w:rPr>
                <w:color w:val="auto"/>
              </w:rPr>
            </w:pPr>
            <w:r>
              <w:rPr>
                <w:color w:val="auto"/>
              </w:rPr>
              <w:t>硝基苯</w:t>
            </w:r>
          </w:p>
        </w:tc>
        <w:tc>
          <w:tcPr>
            <w:tcW w:w="1405" w:type="pct"/>
            <w:tcBorders>
              <w:tl2br w:val="nil"/>
              <w:tr2bl w:val="nil"/>
            </w:tcBorders>
            <w:vAlign w:val="center"/>
          </w:tcPr>
          <w:p w14:paraId="08D83418">
            <w:pPr>
              <w:jc w:val="center"/>
              <w:rPr>
                <w:color w:val="auto"/>
              </w:rPr>
            </w:pPr>
            <w:r>
              <w:rPr>
                <w:color w:val="auto"/>
              </w:rPr>
              <w:t>98-95-3</w:t>
            </w:r>
          </w:p>
        </w:tc>
        <w:tc>
          <w:tcPr>
            <w:tcW w:w="823" w:type="pct"/>
            <w:gridSpan w:val="2"/>
            <w:tcBorders>
              <w:tl2br w:val="nil"/>
              <w:tr2bl w:val="nil"/>
            </w:tcBorders>
            <w:vAlign w:val="center"/>
          </w:tcPr>
          <w:p w14:paraId="695336F0">
            <w:pPr>
              <w:jc w:val="center"/>
              <w:rPr>
                <w:color w:val="auto"/>
              </w:rPr>
            </w:pPr>
            <w:r>
              <w:rPr>
                <w:color w:val="auto"/>
              </w:rPr>
              <w:t>76</w:t>
            </w:r>
          </w:p>
        </w:tc>
        <w:tc>
          <w:tcPr>
            <w:tcW w:w="831" w:type="pct"/>
            <w:tcBorders>
              <w:tl2br w:val="nil"/>
              <w:tr2bl w:val="nil"/>
            </w:tcBorders>
            <w:vAlign w:val="center"/>
          </w:tcPr>
          <w:p w14:paraId="386F7433">
            <w:pPr>
              <w:jc w:val="center"/>
              <w:rPr>
                <w:color w:val="auto"/>
              </w:rPr>
            </w:pPr>
            <w:r>
              <w:rPr>
                <w:color w:val="auto"/>
              </w:rPr>
              <w:t>760</w:t>
            </w:r>
          </w:p>
        </w:tc>
      </w:tr>
      <w:tr w14:paraId="3C110D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C7E6ED4">
            <w:pPr>
              <w:jc w:val="center"/>
              <w:rPr>
                <w:color w:val="auto"/>
              </w:rPr>
            </w:pPr>
            <w:r>
              <w:rPr>
                <w:color w:val="auto"/>
              </w:rPr>
              <w:t>36</w:t>
            </w:r>
          </w:p>
        </w:tc>
        <w:tc>
          <w:tcPr>
            <w:tcW w:w="1415" w:type="pct"/>
            <w:tcBorders>
              <w:tl2br w:val="nil"/>
              <w:tr2bl w:val="nil"/>
            </w:tcBorders>
            <w:vAlign w:val="center"/>
          </w:tcPr>
          <w:p w14:paraId="396E7CBA">
            <w:pPr>
              <w:jc w:val="center"/>
              <w:rPr>
                <w:color w:val="auto"/>
              </w:rPr>
            </w:pPr>
            <w:r>
              <w:rPr>
                <w:color w:val="auto"/>
              </w:rPr>
              <w:t>苯胺</w:t>
            </w:r>
          </w:p>
        </w:tc>
        <w:tc>
          <w:tcPr>
            <w:tcW w:w="1405" w:type="pct"/>
            <w:tcBorders>
              <w:tl2br w:val="nil"/>
              <w:tr2bl w:val="nil"/>
            </w:tcBorders>
            <w:vAlign w:val="center"/>
          </w:tcPr>
          <w:p w14:paraId="5EB3D0DF">
            <w:pPr>
              <w:jc w:val="center"/>
              <w:rPr>
                <w:color w:val="auto"/>
              </w:rPr>
            </w:pPr>
            <w:r>
              <w:rPr>
                <w:color w:val="auto"/>
              </w:rPr>
              <w:t>62-53-3</w:t>
            </w:r>
          </w:p>
        </w:tc>
        <w:tc>
          <w:tcPr>
            <w:tcW w:w="823" w:type="pct"/>
            <w:gridSpan w:val="2"/>
            <w:tcBorders>
              <w:tl2br w:val="nil"/>
              <w:tr2bl w:val="nil"/>
            </w:tcBorders>
            <w:vAlign w:val="center"/>
          </w:tcPr>
          <w:p w14:paraId="3360EB08">
            <w:pPr>
              <w:jc w:val="center"/>
              <w:rPr>
                <w:color w:val="auto"/>
              </w:rPr>
            </w:pPr>
            <w:r>
              <w:rPr>
                <w:color w:val="auto"/>
              </w:rPr>
              <w:t>260</w:t>
            </w:r>
          </w:p>
        </w:tc>
        <w:tc>
          <w:tcPr>
            <w:tcW w:w="831" w:type="pct"/>
            <w:tcBorders>
              <w:tl2br w:val="nil"/>
              <w:tr2bl w:val="nil"/>
            </w:tcBorders>
            <w:vAlign w:val="center"/>
          </w:tcPr>
          <w:p w14:paraId="28255A97">
            <w:pPr>
              <w:jc w:val="center"/>
              <w:rPr>
                <w:color w:val="auto"/>
              </w:rPr>
            </w:pPr>
            <w:r>
              <w:rPr>
                <w:color w:val="auto"/>
              </w:rPr>
              <w:t>663</w:t>
            </w:r>
          </w:p>
        </w:tc>
      </w:tr>
      <w:tr w14:paraId="060895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5466FE0">
            <w:pPr>
              <w:jc w:val="center"/>
              <w:rPr>
                <w:color w:val="auto"/>
              </w:rPr>
            </w:pPr>
            <w:r>
              <w:rPr>
                <w:color w:val="auto"/>
              </w:rPr>
              <w:t>37</w:t>
            </w:r>
          </w:p>
        </w:tc>
        <w:tc>
          <w:tcPr>
            <w:tcW w:w="1415" w:type="pct"/>
            <w:tcBorders>
              <w:tl2br w:val="nil"/>
              <w:tr2bl w:val="nil"/>
            </w:tcBorders>
            <w:vAlign w:val="center"/>
          </w:tcPr>
          <w:p w14:paraId="2A3ECFE6">
            <w:pPr>
              <w:jc w:val="center"/>
              <w:rPr>
                <w:color w:val="auto"/>
              </w:rPr>
            </w:pPr>
            <w:r>
              <w:rPr>
                <w:color w:val="auto"/>
              </w:rPr>
              <w:t>2-氯酚</w:t>
            </w:r>
          </w:p>
        </w:tc>
        <w:tc>
          <w:tcPr>
            <w:tcW w:w="1405" w:type="pct"/>
            <w:tcBorders>
              <w:tl2br w:val="nil"/>
              <w:tr2bl w:val="nil"/>
            </w:tcBorders>
            <w:vAlign w:val="center"/>
          </w:tcPr>
          <w:p w14:paraId="46BA7735">
            <w:pPr>
              <w:jc w:val="center"/>
              <w:rPr>
                <w:color w:val="auto"/>
              </w:rPr>
            </w:pPr>
            <w:r>
              <w:rPr>
                <w:color w:val="auto"/>
              </w:rPr>
              <w:t>95-57-3</w:t>
            </w:r>
          </w:p>
        </w:tc>
        <w:tc>
          <w:tcPr>
            <w:tcW w:w="823" w:type="pct"/>
            <w:gridSpan w:val="2"/>
            <w:tcBorders>
              <w:tl2br w:val="nil"/>
              <w:tr2bl w:val="nil"/>
            </w:tcBorders>
            <w:vAlign w:val="center"/>
          </w:tcPr>
          <w:p w14:paraId="7A7BFF1F">
            <w:pPr>
              <w:jc w:val="center"/>
              <w:rPr>
                <w:color w:val="auto"/>
              </w:rPr>
            </w:pPr>
            <w:r>
              <w:rPr>
                <w:color w:val="auto"/>
              </w:rPr>
              <w:t>2256</w:t>
            </w:r>
          </w:p>
        </w:tc>
        <w:tc>
          <w:tcPr>
            <w:tcW w:w="831" w:type="pct"/>
            <w:tcBorders>
              <w:tl2br w:val="nil"/>
              <w:tr2bl w:val="nil"/>
            </w:tcBorders>
            <w:vAlign w:val="center"/>
          </w:tcPr>
          <w:p w14:paraId="01F7446C">
            <w:pPr>
              <w:jc w:val="center"/>
              <w:rPr>
                <w:color w:val="auto"/>
              </w:rPr>
            </w:pPr>
            <w:r>
              <w:rPr>
                <w:color w:val="auto"/>
              </w:rPr>
              <w:t>4500</w:t>
            </w:r>
          </w:p>
        </w:tc>
      </w:tr>
      <w:tr w14:paraId="255543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26DD716">
            <w:pPr>
              <w:jc w:val="center"/>
              <w:rPr>
                <w:color w:val="auto"/>
              </w:rPr>
            </w:pPr>
            <w:r>
              <w:rPr>
                <w:color w:val="auto"/>
              </w:rPr>
              <w:t>38</w:t>
            </w:r>
          </w:p>
        </w:tc>
        <w:tc>
          <w:tcPr>
            <w:tcW w:w="1415" w:type="pct"/>
            <w:tcBorders>
              <w:tl2br w:val="nil"/>
              <w:tr2bl w:val="nil"/>
            </w:tcBorders>
            <w:vAlign w:val="center"/>
          </w:tcPr>
          <w:p w14:paraId="1AE133DD">
            <w:pPr>
              <w:jc w:val="center"/>
              <w:rPr>
                <w:color w:val="auto"/>
              </w:rPr>
            </w:pPr>
            <w:r>
              <w:rPr>
                <w:color w:val="auto"/>
              </w:rPr>
              <w:t>苯并[a]蒽</w:t>
            </w:r>
          </w:p>
        </w:tc>
        <w:tc>
          <w:tcPr>
            <w:tcW w:w="1405" w:type="pct"/>
            <w:tcBorders>
              <w:tl2br w:val="nil"/>
              <w:tr2bl w:val="nil"/>
            </w:tcBorders>
            <w:vAlign w:val="center"/>
          </w:tcPr>
          <w:p w14:paraId="4C8F5773">
            <w:pPr>
              <w:jc w:val="center"/>
              <w:rPr>
                <w:color w:val="auto"/>
              </w:rPr>
            </w:pPr>
            <w:r>
              <w:rPr>
                <w:color w:val="auto"/>
              </w:rPr>
              <w:t>56-55-3</w:t>
            </w:r>
          </w:p>
        </w:tc>
        <w:tc>
          <w:tcPr>
            <w:tcW w:w="823" w:type="pct"/>
            <w:gridSpan w:val="2"/>
            <w:tcBorders>
              <w:tl2br w:val="nil"/>
              <w:tr2bl w:val="nil"/>
            </w:tcBorders>
            <w:vAlign w:val="center"/>
          </w:tcPr>
          <w:p w14:paraId="321AB4C7">
            <w:pPr>
              <w:jc w:val="center"/>
              <w:rPr>
                <w:color w:val="auto"/>
              </w:rPr>
            </w:pPr>
            <w:r>
              <w:rPr>
                <w:color w:val="auto"/>
              </w:rPr>
              <w:t>15</w:t>
            </w:r>
          </w:p>
        </w:tc>
        <w:tc>
          <w:tcPr>
            <w:tcW w:w="831" w:type="pct"/>
            <w:tcBorders>
              <w:tl2br w:val="nil"/>
              <w:tr2bl w:val="nil"/>
            </w:tcBorders>
            <w:vAlign w:val="center"/>
          </w:tcPr>
          <w:p w14:paraId="4595F7EE">
            <w:pPr>
              <w:jc w:val="center"/>
              <w:rPr>
                <w:color w:val="auto"/>
              </w:rPr>
            </w:pPr>
            <w:r>
              <w:rPr>
                <w:color w:val="auto"/>
              </w:rPr>
              <w:t>151</w:t>
            </w:r>
          </w:p>
        </w:tc>
      </w:tr>
      <w:tr w14:paraId="2C72D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316B6E2">
            <w:pPr>
              <w:jc w:val="center"/>
              <w:rPr>
                <w:color w:val="auto"/>
              </w:rPr>
            </w:pPr>
            <w:r>
              <w:rPr>
                <w:color w:val="auto"/>
              </w:rPr>
              <w:t>39</w:t>
            </w:r>
          </w:p>
        </w:tc>
        <w:tc>
          <w:tcPr>
            <w:tcW w:w="1415" w:type="pct"/>
            <w:tcBorders>
              <w:tl2br w:val="nil"/>
              <w:tr2bl w:val="nil"/>
            </w:tcBorders>
            <w:vAlign w:val="center"/>
          </w:tcPr>
          <w:p w14:paraId="2972EAC6">
            <w:pPr>
              <w:jc w:val="center"/>
              <w:rPr>
                <w:color w:val="auto"/>
              </w:rPr>
            </w:pPr>
            <w:r>
              <w:rPr>
                <w:color w:val="auto"/>
              </w:rPr>
              <w:t>苯并[a]芘</w:t>
            </w:r>
          </w:p>
        </w:tc>
        <w:tc>
          <w:tcPr>
            <w:tcW w:w="1405" w:type="pct"/>
            <w:tcBorders>
              <w:tl2br w:val="nil"/>
              <w:tr2bl w:val="nil"/>
            </w:tcBorders>
            <w:vAlign w:val="center"/>
          </w:tcPr>
          <w:p w14:paraId="38A56C45">
            <w:pPr>
              <w:jc w:val="center"/>
              <w:rPr>
                <w:color w:val="auto"/>
              </w:rPr>
            </w:pPr>
            <w:r>
              <w:rPr>
                <w:color w:val="auto"/>
              </w:rPr>
              <w:t>50-32-8</w:t>
            </w:r>
          </w:p>
        </w:tc>
        <w:tc>
          <w:tcPr>
            <w:tcW w:w="823" w:type="pct"/>
            <w:gridSpan w:val="2"/>
            <w:tcBorders>
              <w:tl2br w:val="nil"/>
              <w:tr2bl w:val="nil"/>
            </w:tcBorders>
            <w:vAlign w:val="center"/>
          </w:tcPr>
          <w:p w14:paraId="3D3771B4">
            <w:pPr>
              <w:jc w:val="center"/>
              <w:rPr>
                <w:color w:val="auto"/>
              </w:rPr>
            </w:pPr>
            <w:r>
              <w:rPr>
                <w:color w:val="auto"/>
              </w:rPr>
              <w:t>1.5</w:t>
            </w:r>
          </w:p>
        </w:tc>
        <w:tc>
          <w:tcPr>
            <w:tcW w:w="831" w:type="pct"/>
            <w:tcBorders>
              <w:tl2br w:val="nil"/>
              <w:tr2bl w:val="nil"/>
            </w:tcBorders>
            <w:vAlign w:val="center"/>
          </w:tcPr>
          <w:p w14:paraId="1311C9AE">
            <w:pPr>
              <w:jc w:val="center"/>
              <w:rPr>
                <w:color w:val="auto"/>
              </w:rPr>
            </w:pPr>
            <w:r>
              <w:rPr>
                <w:color w:val="auto"/>
              </w:rPr>
              <w:t>15</w:t>
            </w:r>
          </w:p>
        </w:tc>
      </w:tr>
      <w:tr w14:paraId="3DAB75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BA3A91C">
            <w:pPr>
              <w:jc w:val="center"/>
              <w:rPr>
                <w:color w:val="auto"/>
              </w:rPr>
            </w:pPr>
            <w:r>
              <w:rPr>
                <w:color w:val="auto"/>
              </w:rPr>
              <w:t>40</w:t>
            </w:r>
          </w:p>
        </w:tc>
        <w:tc>
          <w:tcPr>
            <w:tcW w:w="1415" w:type="pct"/>
            <w:tcBorders>
              <w:tl2br w:val="nil"/>
              <w:tr2bl w:val="nil"/>
            </w:tcBorders>
            <w:vAlign w:val="center"/>
          </w:tcPr>
          <w:p w14:paraId="609B67B8">
            <w:pPr>
              <w:jc w:val="center"/>
              <w:rPr>
                <w:color w:val="auto"/>
              </w:rPr>
            </w:pPr>
            <w:r>
              <w:rPr>
                <w:color w:val="auto"/>
              </w:rPr>
              <w:t>苯并[b]荧蒽</w:t>
            </w:r>
          </w:p>
        </w:tc>
        <w:tc>
          <w:tcPr>
            <w:tcW w:w="1405" w:type="pct"/>
            <w:tcBorders>
              <w:tl2br w:val="nil"/>
              <w:tr2bl w:val="nil"/>
            </w:tcBorders>
            <w:vAlign w:val="center"/>
          </w:tcPr>
          <w:p w14:paraId="44E6E1CC">
            <w:pPr>
              <w:jc w:val="center"/>
              <w:rPr>
                <w:color w:val="auto"/>
              </w:rPr>
            </w:pPr>
            <w:r>
              <w:rPr>
                <w:color w:val="auto"/>
              </w:rPr>
              <w:t>205-99-2</w:t>
            </w:r>
          </w:p>
        </w:tc>
        <w:tc>
          <w:tcPr>
            <w:tcW w:w="823" w:type="pct"/>
            <w:gridSpan w:val="2"/>
            <w:tcBorders>
              <w:tl2br w:val="nil"/>
              <w:tr2bl w:val="nil"/>
            </w:tcBorders>
            <w:vAlign w:val="center"/>
          </w:tcPr>
          <w:p w14:paraId="687134C9">
            <w:pPr>
              <w:jc w:val="center"/>
              <w:rPr>
                <w:color w:val="auto"/>
              </w:rPr>
            </w:pPr>
            <w:r>
              <w:rPr>
                <w:color w:val="auto"/>
              </w:rPr>
              <w:t>15</w:t>
            </w:r>
          </w:p>
        </w:tc>
        <w:tc>
          <w:tcPr>
            <w:tcW w:w="831" w:type="pct"/>
            <w:tcBorders>
              <w:tl2br w:val="nil"/>
              <w:tr2bl w:val="nil"/>
            </w:tcBorders>
            <w:vAlign w:val="center"/>
          </w:tcPr>
          <w:p w14:paraId="5A02EF84">
            <w:pPr>
              <w:jc w:val="center"/>
              <w:rPr>
                <w:color w:val="auto"/>
              </w:rPr>
            </w:pPr>
            <w:r>
              <w:rPr>
                <w:color w:val="auto"/>
              </w:rPr>
              <w:t>151</w:t>
            </w:r>
          </w:p>
        </w:tc>
      </w:tr>
      <w:tr w14:paraId="4DDFB1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5C36061">
            <w:pPr>
              <w:jc w:val="center"/>
              <w:rPr>
                <w:color w:val="auto"/>
              </w:rPr>
            </w:pPr>
            <w:r>
              <w:rPr>
                <w:color w:val="auto"/>
              </w:rPr>
              <w:t>41</w:t>
            </w:r>
          </w:p>
        </w:tc>
        <w:tc>
          <w:tcPr>
            <w:tcW w:w="1415" w:type="pct"/>
            <w:tcBorders>
              <w:tl2br w:val="nil"/>
              <w:tr2bl w:val="nil"/>
            </w:tcBorders>
            <w:vAlign w:val="center"/>
          </w:tcPr>
          <w:p w14:paraId="63556E62">
            <w:pPr>
              <w:jc w:val="center"/>
              <w:rPr>
                <w:color w:val="auto"/>
              </w:rPr>
            </w:pPr>
            <w:r>
              <w:rPr>
                <w:color w:val="auto"/>
              </w:rPr>
              <w:t>苯并[k] 荧蒽</w:t>
            </w:r>
          </w:p>
        </w:tc>
        <w:tc>
          <w:tcPr>
            <w:tcW w:w="1405" w:type="pct"/>
            <w:tcBorders>
              <w:tl2br w:val="nil"/>
              <w:tr2bl w:val="nil"/>
            </w:tcBorders>
            <w:vAlign w:val="center"/>
          </w:tcPr>
          <w:p w14:paraId="5F789D43">
            <w:pPr>
              <w:jc w:val="center"/>
              <w:rPr>
                <w:color w:val="auto"/>
              </w:rPr>
            </w:pPr>
            <w:r>
              <w:rPr>
                <w:color w:val="auto"/>
              </w:rPr>
              <w:t>207-08-9</w:t>
            </w:r>
          </w:p>
        </w:tc>
        <w:tc>
          <w:tcPr>
            <w:tcW w:w="823" w:type="pct"/>
            <w:gridSpan w:val="2"/>
            <w:tcBorders>
              <w:tl2br w:val="nil"/>
              <w:tr2bl w:val="nil"/>
            </w:tcBorders>
            <w:vAlign w:val="center"/>
          </w:tcPr>
          <w:p w14:paraId="3135F041">
            <w:pPr>
              <w:jc w:val="center"/>
              <w:rPr>
                <w:color w:val="auto"/>
              </w:rPr>
            </w:pPr>
            <w:r>
              <w:rPr>
                <w:color w:val="auto"/>
              </w:rPr>
              <w:t>151</w:t>
            </w:r>
          </w:p>
        </w:tc>
        <w:tc>
          <w:tcPr>
            <w:tcW w:w="831" w:type="pct"/>
            <w:tcBorders>
              <w:tl2br w:val="nil"/>
              <w:tr2bl w:val="nil"/>
            </w:tcBorders>
            <w:vAlign w:val="center"/>
          </w:tcPr>
          <w:p w14:paraId="7D4EAA14">
            <w:pPr>
              <w:jc w:val="center"/>
              <w:rPr>
                <w:color w:val="auto"/>
              </w:rPr>
            </w:pPr>
            <w:r>
              <w:rPr>
                <w:color w:val="auto"/>
              </w:rPr>
              <w:t>1500</w:t>
            </w:r>
          </w:p>
        </w:tc>
      </w:tr>
      <w:tr w14:paraId="5FBF11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9A9A5F7">
            <w:pPr>
              <w:jc w:val="center"/>
              <w:rPr>
                <w:color w:val="auto"/>
              </w:rPr>
            </w:pPr>
            <w:r>
              <w:rPr>
                <w:color w:val="auto"/>
              </w:rPr>
              <w:t>42</w:t>
            </w:r>
          </w:p>
        </w:tc>
        <w:tc>
          <w:tcPr>
            <w:tcW w:w="1415" w:type="pct"/>
            <w:tcBorders>
              <w:tl2br w:val="nil"/>
              <w:tr2bl w:val="nil"/>
            </w:tcBorders>
            <w:vAlign w:val="center"/>
          </w:tcPr>
          <w:p w14:paraId="1C50B120">
            <w:pPr>
              <w:jc w:val="center"/>
              <w:rPr>
                <w:color w:val="auto"/>
              </w:rPr>
            </w:pPr>
            <w:r>
              <w:rPr>
                <w:color w:val="auto"/>
              </w:rPr>
              <w:t>䓛</w:t>
            </w:r>
          </w:p>
        </w:tc>
        <w:tc>
          <w:tcPr>
            <w:tcW w:w="1405" w:type="pct"/>
            <w:tcBorders>
              <w:tl2br w:val="nil"/>
              <w:tr2bl w:val="nil"/>
            </w:tcBorders>
            <w:vAlign w:val="center"/>
          </w:tcPr>
          <w:p w14:paraId="5EA7DB89">
            <w:pPr>
              <w:jc w:val="center"/>
              <w:rPr>
                <w:color w:val="auto"/>
              </w:rPr>
            </w:pPr>
            <w:r>
              <w:rPr>
                <w:color w:val="auto"/>
              </w:rPr>
              <w:t>218-01-9</w:t>
            </w:r>
          </w:p>
        </w:tc>
        <w:tc>
          <w:tcPr>
            <w:tcW w:w="823" w:type="pct"/>
            <w:gridSpan w:val="2"/>
            <w:tcBorders>
              <w:tl2br w:val="nil"/>
              <w:tr2bl w:val="nil"/>
            </w:tcBorders>
            <w:vAlign w:val="center"/>
          </w:tcPr>
          <w:p w14:paraId="689DF879">
            <w:pPr>
              <w:jc w:val="center"/>
              <w:rPr>
                <w:color w:val="auto"/>
              </w:rPr>
            </w:pPr>
            <w:r>
              <w:rPr>
                <w:color w:val="auto"/>
              </w:rPr>
              <w:t>1293</w:t>
            </w:r>
          </w:p>
        </w:tc>
        <w:tc>
          <w:tcPr>
            <w:tcW w:w="831" w:type="pct"/>
            <w:tcBorders>
              <w:tl2br w:val="nil"/>
              <w:tr2bl w:val="nil"/>
            </w:tcBorders>
            <w:vAlign w:val="center"/>
          </w:tcPr>
          <w:p w14:paraId="0F5234C5">
            <w:pPr>
              <w:jc w:val="center"/>
              <w:rPr>
                <w:color w:val="auto"/>
              </w:rPr>
            </w:pPr>
            <w:r>
              <w:rPr>
                <w:color w:val="auto"/>
              </w:rPr>
              <w:t>12900</w:t>
            </w:r>
          </w:p>
        </w:tc>
      </w:tr>
      <w:tr w14:paraId="04B8F7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01DB3F0">
            <w:pPr>
              <w:jc w:val="center"/>
              <w:rPr>
                <w:color w:val="auto"/>
              </w:rPr>
            </w:pPr>
            <w:r>
              <w:rPr>
                <w:color w:val="auto"/>
              </w:rPr>
              <w:t>43</w:t>
            </w:r>
          </w:p>
        </w:tc>
        <w:tc>
          <w:tcPr>
            <w:tcW w:w="1415" w:type="pct"/>
            <w:tcBorders>
              <w:tl2br w:val="nil"/>
              <w:tr2bl w:val="nil"/>
            </w:tcBorders>
            <w:vAlign w:val="center"/>
          </w:tcPr>
          <w:p w14:paraId="4E8CD7CD">
            <w:pPr>
              <w:jc w:val="center"/>
              <w:rPr>
                <w:color w:val="auto"/>
              </w:rPr>
            </w:pPr>
            <w:r>
              <w:rPr>
                <w:color w:val="auto"/>
              </w:rPr>
              <w:t>二苯并[a,h]蒽</w:t>
            </w:r>
          </w:p>
        </w:tc>
        <w:tc>
          <w:tcPr>
            <w:tcW w:w="1405" w:type="pct"/>
            <w:tcBorders>
              <w:tl2br w:val="nil"/>
              <w:tr2bl w:val="nil"/>
            </w:tcBorders>
            <w:vAlign w:val="center"/>
          </w:tcPr>
          <w:p w14:paraId="0C3FB69B">
            <w:pPr>
              <w:jc w:val="center"/>
              <w:rPr>
                <w:color w:val="auto"/>
              </w:rPr>
            </w:pPr>
            <w:r>
              <w:rPr>
                <w:color w:val="auto"/>
              </w:rPr>
              <w:t>53-70-3</w:t>
            </w:r>
          </w:p>
        </w:tc>
        <w:tc>
          <w:tcPr>
            <w:tcW w:w="823" w:type="pct"/>
            <w:gridSpan w:val="2"/>
            <w:tcBorders>
              <w:tl2br w:val="nil"/>
              <w:tr2bl w:val="nil"/>
            </w:tcBorders>
            <w:vAlign w:val="center"/>
          </w:tcPr>
          <w:p w14:paraId="034D17B4">
            <w:pPr>
              <w:jc w:val="center"/>
              <w:rPr>
                <w:color w:val="auto"/>
              </w:rPr>
            </w:pPr>
            <w:r>
              <w:rPr>
                <w:color w:val="auto"/>
              </w:rPr>
              <w:t>1.5</w:t>
            </w:r>
          </w:p>
        </w:tc>
        <w:tc>
          <w:tcPr>
            <w:tcW w:w="831" w:type="pct"/>
            <w:tcBorders>
              <w:tl2br w:val="nil"/>
              <w:tr2bl w:val="nil"/>
            </w:tcBorders>
            <w:vAlign w:val="center"/>
          </w:tcPr>
          <w:p w14:paraId="3F92FB21">
            <w:pPr>
              <w:jc w:val="center"/>
              <w:rPr>
                <w:color w:val="auto"/>
              </w:rPr>
            </w:pPr>
            <w:r>
              <w:rPr>
                <w:color w:val="auto"/>
              </w:rPr>
              <w:t>15</w:t>
            </w:r>
          </w:p>
        </w:tc>
      </w:tr>
      <w:tr w14:paraId="67A6BB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6F465C5">
            <w:pPr>
              <w:jc w:val="center"/>
              <w:rPr>
                <w:color w:val="auto"/>
              </w:rPr>
            </w:pPr>
            <w:r>
              <w:rPr>
                <w:color w:val="auto"/>
              </w:rPr>
              <w:t>44</w:t>
            </w:r>
          </w:p>
        </w:tc>
        <w:tc>
          <w:tcPr>
            <w:tcW w:w="1415" w:type="pct"/>
            <w:tcBorders>
              <w:tl2br w:val="nil"/>
              <w:tr2bl w:val="nil"/>
            </w:tcBorders>
            <w:vAlign w:val="center"/>
          </w:tcPr>
          <w:p w14:paraId="28F108C4">
            <w:pPr>
              <w:jc w:val="center"/>
              <w:rPr>
                <w:color w:val="auto"/>
              </w:rPr>
            </w:pPr>
            <w:r>
              <w:rPr>
                <w:color w:val="auto"/>
              </w:rPr>
              <w:t>茚并[1,2,3-cd]芘</w:t>
            </w:r>
          </w:p>
        </w:tc>
        <w:tc>
          <w:tcPr>
            <w:tcW w:w="1405" w:type="pct"/>
            <w:tcBorders>
              <w:tl2br w:val="nil"/>
              <w:tr2bl w:val="nil"/>
            </w:tcBorders>
            <w:vAlign w:val="center"/>
          </w:tcPr>
          <w:p w14:paraId="41EA04A5">
            <w:pPr>
              <w:jc w:val="center"/>
              <w:rPr>
                <w:color w:val="auto"/>
              </w:rPr>
            </w:pPr>
            <w:r>
              <w:rPr>
                <w:color w:val="auto"/>
              </w:rPr>
              <w:t>193-39-5</w:t>
            </w:r>
          </w:p>
        </w:tc>
        <w:tc>
          <w:tcPr>
            <w:tcW w:w="823" w:type="pct"/>
            <w:gridSpan w:val="2"/>
            <w:tcBorders>
              <w:tl2br w:val="nil"/>
              <w:tr2bl w:val="nil"/>
            </w:tcBorders>
            <w:vAlign w:val="center"/>
          </w:tcPr>
          <w:p w14:paraId="49C105AF">
            <w:pPr>
              <w:jc w:val="center"/>
              <w:rPr>
                <w:color w:val="auto"/>
              </w:rPr>
            </w:pPr>
            <w:r>
              <w:rPr>
                <w:color w:val="auto"/>
              </w:rPr>
              <w:t>15</w:t>
            </w:r>
          </w:p>
        </w:tc>
        <w:tc>
          <w:tcPr>
            <w:tcW w:w="831" w:type="pct"/>
            <w:tcBorders>
              <w:tl2br w:val="nil"/>
              <w:tr2bl w:val="nil"/>
            </w:tcBorders>
            <w:vAlign w:val="center"/>
          </w:tcPr>
          <w:p w14:paraId="0D03D8F4">
            <w:pPr>
              <w:jc w:val="center"/>
              <w:rPr>
                <w:color w:val="auto"/>
              </w:rPr>
            </w:pPr>
            <w:r>
              <w:rPr>
                <w:color w:val="auto"/>
              </w:rPr>
              <w:t>151</w:t>
            </w:r>
          </w:p>
        </w:tc>
      </w:tr>
      <w:tr w14:paraId="2FD143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285DCD5">
            <w:pPr>
              <w:jc w:val="center"/>
              <w:rPr>
                <w:color w:val="auto"/>
              </w:rPr>
            </w:pPr>
            <w:r>
              <w:rPr>
                <w:color w:val="auto"/>
              </w:rPr>
              <w:t>45</w:t>
            </w:r>
          </w:p>
        </w:tc>
        <w:tc>
          <w:tcPr>
            <w:tcW w:w="1415" w:type="pct"/>
            <w:tcBorders>
              <w:tl2br w:val="nil"/>
              <w:tr2bl w:val="nil"/>
            </w:tcBorders>
            <w:vAlign w:val="center"/>
          </w:tcPr>
          <w:p w14:paraId="647592A5">
            <w:pPr>
              <w:jc w:val="center"/>
              <w:rPr>
                <w:color w:val="auto"/>
              </w:rPr>
            </w:pPr>
            <w:r>
              <w:rPr>
                <w:color w:val="auto"/>
              </w:rPr>
              <w:t>萘</w:t>
            </w:r>
          </w:p>
        </w:tc>
        <w:tc>
          <w:tcPr>
            <w:tcW w:w="1405" w:type="pct"/>
            <w:tcBorders>
              <w:tl2br w:val="nil"/>
              <w:tr2bl w:val="nil"/>
            </w:tcBorders>
            <w:vAlign w:val="center"/>
          </w:tcPr>
          <w:p w14:paraId="0D87B7C9">
            <w:pPr>
              <w:jc w:val="center"/>
              <w:rPr>
                <w:color w:val="auto"/>
              </w:rPr>
            </w:pPr>
            <w:r>
              <w:rPr>
                <w:color w:val="auto"/>
              </w:rPr>
              <w:t>91-20-3</w:t>
            </w:r>
          </w:p>
        </w:tc>
        <w:tc>
          <w:tcPr>
            <w:tcW w:w="823" w:type="pct"/>
            <w:gridSpan w:val="2"/>
            <w:tcBorders>
              <w:tl2br w:val="nil"/>
              <w:tr2bl w:val="nil"/>
            </w:tcBorders>
            <w:vAlign w:val="center"/>
          </w:tcPr>
          <w:p w14:paraId="2AA25D75">
            <w:pPr>
              <w:jc w:val="center"/>
              <w:rPr>
                <w:color w:val="auto"/>
              </w:rPr>
            </w:pPr>
            <w:r>
              <w:rPr>
                <w:color w:val="auto"/>
              </w:rPr>
              <w:t>70</w:t>
            </w:r>
          </w:p>
        </w:tc>
        <w:tc>
          <w:tcPr>
            <w:tcW w:w="831" w:type="pct"/>
            <w:tcBorders>
              <w:tl2br w:val="nil"/>
              <w:tr2bl w:val="nil"/>
            </w:tcBorders>
            <w:vAlign w:val="center"/>
          </w:tcPr>
          <w:p w14:paraId="31E81743">
            <w:pPr>
              <w:jc w:val="center"/>
              <w:rPr>
                <w:color w:val="auto"/>
              </w:rPr>
            </w:pPr>
            <w:r>
              <w:rPr>
                <w:color w:val="auto"/>
              </w:rPr>
              <w:t>700</w:t>
            </w:r>
          </w:p>
        </w:tc>
      </w:tr>
      <w:tr w14:paraId="1736D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0A0FB246">
            <w:pPr>
              <w:jc w:val="center"/>
              <w:rPr>
                <w:color w:val="auto"/>
              </w:rPr>
            </w:pPr>
            <w:r>
              <w:rPr>
                <w:color w:val="auto"/>
              </w:rPr>
              <w:t>其他项目</w:t>
            </w:r>
          </w:p>
        </w:tc>
      </w:tr>
      <w:tr w14:paraId="52E5AF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2EEEA2A7">
            <w:pPr>
              <w:jc w:val="center"/>
              <w:rPr>
                <w:color w:val="auto"/>
              </w:rPr>
            </w:pPr>
            <w:r>
              <w:rPr>
                <w:color w:val="auto"/>
              </w:rPr>
              <w:t>1</w:t>
            </w:r>
          </w:p>
        </w:tc>
        <w:tc>
          <w:tcPr>
            <w:tcW w:w="1415" w:type="pct"/>
            <w:tcBorders>
              <w:tl2br w:val="nil"/>
              <w:tr2bl w:val="nil"/>
            </w:tcBorders>
            <w:vAlign w:val="center"/>
          </w:tcPr>
          <w:p w14:paraId="13E2AA8D">
            <w:pPr>
              <w:jc w:val="center"/>
              <w:rPr>
                <w:rFonts w:hint="eastAsia" w:eastAsia="宋体"/>
                <w:color w:val="auto"/>
                <w:lang w:val="en-US" w:eastAsia="zh-CN"/>
              </w:rPr>
            </w:pPr>
            <w:r>
              <w:rPr>
                <w:rFonts w:hint="eastAsia"/>
                <w:color w:val="auto"/>
                <w:lang w:val="en-US" w:eastAsia="zh-CN"/>
              </w:rPr>
              <w:t>二噁英</w:t>
            </w:r>
          </w:p>
        </w:tc>
        <w:tc>
          <w:tcPr>
            <w:tcW w:w="1405" w:type="pct"/>
            <w:tcBorders>
              <w:tl2br w:val="nil"/>
              <w:tr2bl w:val="nil"/>
            </w:tcBorders>
            <w:vAlign w:val="center"/>
          </w:tcPr>
          <w:p w14:paraId="79B59A71">
            <w:pPr>
              <w:jc w:val="center"/>
              <w:rPr>
                <w:color w:val="auto"/>
              </w:rPr>
            </w:pPr>
            <w:r>
              <w:rPr>
                <w:color w:val="auto"/>
              </w:rPr>
              <w:t>——</w:t>
            </w:r>
          </w:p>
        </w:tc>
        <w:tc>
          <w:tcPr>
            <w:tcW w:w="824" w:type="pct"/>
            <w:gridSpan w:val="2"/>
            <w:tcBorders>
              <w:tl2br w:val="nil"/>
              <w:tr2bl w:val="nil"/>
            </w:tcBorders>
            <w:vAlign w:val="center"/>
          </w:tcPr>
          <w:p w14:paraId="46F2DC3C">
            <w:pPr>
              <w:jc w:val="center"/>
              <w:rPr>
                <w:rFonts w:hint="default" w:eastAsia="宋体"/>
                <w:color w:val="auto"/>
                <w:lang w:val="en-US" w:eastAsia="zh-CN"/>
              </w:rPr>
            </w:pPr>
            <w:r>
              <w:rPr>
                <w:rFonts w:hint="eastAsia"/>
                <w:color w:val="auto"/>
                <w:lang w:val="en-US" w:eastAsia="zh-CN"/>
              </w:rPr>
              <w:t>4×10</w:t>
            </w:r>
            <w:r>
              <w:rPr>
                <w:rFonts w:hint="eastAsia"/>
                <w:color w:val="auto"/>
                <w:vertAlign w:val="superscript"/>
                <w:lang w:val="en-US" w:eastAsia="zh-CN"/>
              </w:rPr>
              <w:t>-5</w:t>
            </w:r>
          </w:p>
        </w:tc>
        <w:tc>
          <w:tcPr>
            <w:tcW w:w="830" w:type="pct"/>
            <w:tcBorders>
              <w:tl2br w:val="nil"/>
              <w:tr2bl w:val="nil"/>
            </w:tcBorders>
            <w:vAlign w:val="center"/>
          </w:tcPr>
          <w:p w14:paraId="6DF7B4F3">
            <w:pPr>
              <w:jc w:val="center"/>
              <w:rPr>
                <w:rFonts w:hint="default"/>
                <w:color w:val="auto"/>
                <w:lang w:val="en-US"/>
              </w:rPr>
            </w:pPr>
            <w:r>
              <w:rPr>
                <w:rFonts w:hint="eastAsia"/>
                <w:color w:val="auto"/>
                <w:lang w:val="en-US" w:eastAsia="zh-CN"/>
              </w:rPr>
              <w:t>4×10</w:t>
            </w:r>
            <w:r>
              <w:rPr>
                <w:rFonts w:hint="eastAsia"/>
                <w:color w:val="auto"/>
                <w:vertAlign w:val="superscript"/>
                <w:lang w:val="en-US" w:eastAsia="zh-CN"/>
              </w:rPr>
              <w:t>-4</w:t>
            </w:r>
          </w:p>
        </w:tc>
      </w:tr>
    </w:tbl>
    <w:p w14:paraId="756856C3">
      <w:pPr>
        <w:adjustRightInd w:val="0"/>
        <w:snapToGrid w:val="0"/>
        <w:spacing w:line="360" w:lineRule="auto"/>
        <w:outlineLvl w:val="2"/>
        <w:rPr>
          <w:b/>
          <w:bCs/>
          <w:color w:val="auto"/>
          <w:sz w:val="24"/>
          <w:szCs w:val="32"/>
        </w:rPr>
      </w:pPr>
      <w:bookmarkStart w:id="111" w:name="_Toc2912"/>
      <w:bookmarkStart w:id="112" w:name="_Toc32661"/>
    </w:p>
    <w:p w14:paraId="50806C6F">
      <w:pPr>
        <w:adjustRightInd w:val="0"/>
        <w:snapToGrid w:val="0"/>
        <w:spacing w:line="360" w:lineRule="auto"/>
        <w:outlineLvl w:val="2"/>
        <w:rPr>
          <w:b/>
          <w:bCs/>
          <w:color w:val="auto"/>
          <w:sz w:val="24"/>
          <w:szCs w:val="32"/>
        </w:rPr>
      </w:pPr>
      <w:r>
        <w:rPr>
          <w:b/>
          <w:bCs/>
          <w:color w:val="auto"/>
          <w:sz w:val="24"/>
          <w:szCs w:val="32"/>
        </w:rPr>
        <w:t>1.6.2 污染物排放标准</w:t>
      </w:r>
      <w:bookmarkEnd w:id="111"/>
      <w:bookmarkEnd w:id="112"/>
    </w:p>
    <w:p w14:paraId="69CCBDC8">
      <w:pPr>
        <w:adjustRightInd w:val="0"/>
        <w:snapToGrid w:val="0"/>
        <w:spacing w:line="360" w:lineRule="auto"/>
        <w:ind w:firstLine="480" w:firstLineChars="200"/>
        <w:rPr>
          <w:color w:val="auto"/>
          <w:sz w:val="24"/>
          <w:szCs w:val="32"/>
        </w:rPr>
      </w:pPr>
      <w:bookmarkStart w:id="113" w:name="_Toc17000"/>
      <w:bookmarkStart w:id="114" w:name="_Toc17193"/>
      <w:bookmarkStart w:id="115" w:name="_Toc10687"/>
      <w:bookmarkStart w:id="116" w:name="_Toc21008"/>
      <w:r>
        <w:rPr>
          <w:color w:val="auto"/>
          <w:sz w:val="24"/>
          <w:szCs w:val="32"/>
        </w:rPr>
        <w:t>1、废气污染物排放标准</w:t>
      </w:r>
      <w:bookmarkEnd w:id="113"/>
      <w:bookmarkEnd w:id="114"/>
      <w:bookmarkEnd w:id="115"/>
      <w:bookmarkEnd w:id="116"/>
    </w:p>
    <w:p w14:paraId="137F2DA7">
      <w:pPr>
        <w:adjustRightInd w:val="0"/>
        <w:snapToGrid w:val="0"/>
        <w:spacing w:line="360" w:lineRule="auto"/>
        <w:ind w:firstLine="482" w:firstLineChars="200"/>
        <w:rPr>
          <w:color w:val="auto"/>
          <w:sz w:val="24"/>
        </w:rPr>
      </w:pPr>
      <w:bookmarkStart w:id="117" w:name="_Toc17154"/>
      <w:r>
        <w:rPr>
          <w:b/>
          <w:bCs/>
          <w:color w:val="auto"/>
          <w:sz w:val="24"/>
        </w:rPr>
        <w:t>原环评评价阶段：</w:t>
      </w:r>
      <w:bookmarkEnd w:id="117"/>
      <w:r>
        <w:rPr>
          <w:color w:val="auto"/>
          <w:sz w:val="24"/>
        </w:rPr>
        <w:t>项目营运期烟尘、SO</w:t>
      </w:r>
      <w:r>
        <w:rPr>
          <w:color w:val="auto"/>
          <w:sz w:val="24"/>
          <w:vertAlign w:val="subscript"/>
        </w:rPr>
        <w:t>2</w:t>
      </w:r>
      <w:r>
        <w:rPr>
          <w:color w:val="auto"/>
          <w:sz w:val="24"/>
        </w:rPr>
        <w:t>、NO</w:t>
      </w:r>
      <w:r>
        <w:rPr>
          <w:color w:val="auto"/>
          <w:sz w:val="24"/>
          <w:vertAlign w:val="subscript"/>
        </w:rPr>
        <w:t>X</w:t>
      </w:r>
      <w:r>
        <w:rPr>
          <w:color w:val="auto"/>
          <w:sz w:val="24"/>
        </w:rPr>
        <w:t>、氟化物、HCl、二噁英类、砷及其化合物、铅及其化合物、锡及其化合物、镉及其化合物、铬及其化合物</w:t>
      </w:r>
      <w:r>
        <w:rPr>
          <w:rFonts w:hint="eastAsia"/>
          <w:color w:val="auto"/>
          <w:sz w:val="24"/>
          <w:lang w:val="en-US" w:eastAsia="zh-CN"/>
        </w:rPr>
        <w:t>有组织废气</w:t>
      </w:r>
      <w:r>
        <w:rPr>
          <w:color w:val="auto"/>
          <w:sz w:val="24"/>
        </w:rPr>
        <w:t>排放参照执行《再生铜、铝、铅、锌工业污染物排放标准》（GB 31574-2015）中表3大气污染物排放限值</w:t>
      </w:r>
      <w:r>
        <w:rPr>
          <w:rFonts w:hint="eastAsia"/>
          <w:color w:val="auto"/>
          <w:sz w:val="24"/>
          <w:lang w:eastAsia="zh-CN"/>
        </w:rPr>
        <w:t>；</w:t>
      </w:r>
      <w:r>
        <w:rPr>
          <w:rFonts w:hint="default" w:ascii="Times New Roman" w:hAnsi="Times New Roman" w:eastAsia="宋体" w:cs="Times New Roman"/>
          <w:color w:val="auto"/>
          <w:kern w:val="0"/>
          <w:sz w:val="24"/>
          <w:szCs w:val="20"/>
        </w:rPr>
        <w:t>无组织废气氯化氢、</w:t>
      </w:r>
      <w:r>
        <w:rPr>
          <w:rFonts w:hint="eastAsia" w:ascii="Times New Roman" w:hAnsi="Times New Roman" w:eastAsia="宋体" w:cs="Times New Roman"/>
          <w:color w:val="auto"/>
          <w:kern w:val="0"/>
          <w:sz w:val="24"/>
          <w:szCs w:val="20"/>
          <w:lang w:eastAsia="zh-CN"/>
        </w:rPr>
        <w:t>氟化物</w:t>
      </w:r>
      <w:r>
        <w:rPr>
          <w:rFonts w:hint="default" w:ascii="Times New Roman" w:hAnsi="Times New Roman" w:eastAsia="宋体" w:cs="Times New Roman"/>
          <w:color w:val="auto"/>
          <w:kern w:val="0"/>
          <w:sz w:val="24"/>
          <w:szCs w:val="20"/>
        </w:rPr>
        <w:t>、砷及其化合物、铅及其化合物、锡及其化合物、镉及其化合物、铬及其化合物等污染物排放限值执行《再生铜、铝、铅、锌工业污染物排放标准》（GB31574-2015）表5 企业边界大气污染物限值，</w:t>
      </w:r>
      <w:r>
        <w:rPr>
          <w:rFonts w:hint="default" w:ascii="Times New Roman" w:hAnsi="Times New Roman" w:eastAsia="宋体" w:cs="Times New Roman"/>
          <w:color w:val="auto"/>
          <w:sz w:val="24"/>
          <w:szCs w:val="22"/>
        </w:rPr>
        <w:t>无组织排放的颗粒物厂界监控浓度执行《大气污染物综合排放标准》（GB16297-1996）表2无组织排放浓度限值</w:t>
      </w:r>
      <w:r>
        <w:rPr>
          <w:rFonts w:hint="default" w:ascii="Times New Roman" w:hAnsi="Times New Roman" w:eastAsia="宋体" w:cs="Times New Roman"/>
          <w:color w:val="auto"/>
          <w:kern w:val="0"/>
          <w:sz w:val="24"/>
          <w:szCs w:val="20"/>
        </w:rPr>
        <w:t>。</w:t>
      </w:r>
      <w:r>
        <w:rPr>
          <w:color w:val="auto"/>
          <w:sz w:val="24"/>
        </w:rPr>
        <w:t>具体限值详见下表：</w:t>
      </w:r>
    </w:p>
    <w:p w14:paraId="110723A2">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10</w:t>
      </w:r>
      <w:r>
        <w:rPr>
          <w:b/>
          <w:bCs/>
          <w:color w:val="auto"/>
          <w:sz w:val="24"/>
          <w:szCs w:val="32"/>
        </w:rPr>
        <w:t xml:space="preserve"> </w:t>
      </w:r>
      <w:r>
        <w:rPr>
          <w:b/>
          <w:bCs/>
          <w:color w:val="auto"/>
          <w:sz w:val="24"/>
        </w:rPr>
        <w:t>原环评评价阶段</w:t>
      </w:r>
      <w:r>
        <w:rPr>
          <w:rFonts w:hint="eastAsia" w:ascii="Times New Roman" w:hAnsi="Times New Roman" w:eastAsia="宋体" w:cs="Times New Roman"/>
          <w:b/>
          <w:bCs/>
          <w:color w:val="auto"/>
          <w:sz w:val="24"/>
          <w:szCs w:val="24"/>
          <w:lang w:val="en-US" w:eastAsia="zh-CN"/>
        </w:rPr>
        <w:t>项目有组织废气污染物排放执行标准</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073"/>
        <w:gridCol w:w="863"/>
        <w:gridCol w:w="1159"/>
        <w:gridCol w:w="3255"/>
        <w:gridCol w:w="2608"/>
      </w:tblGrid>
      <w:tr w14:paraId="3090194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vMerge w:val="restart"/>
            <w:tcBorders>
              <w:tl2br w:val="nil"/>
              <w:tr2bl w:val="nil"/>
            </w:tcBorders>
            <w:shd w:val="clear" w:color="auto" w:fill="auto"/>
            <w:noWrap w:val="0"/>
            <w:vAlign w:val="center"/>
          </w:tcPr>
          <w:p w14:paraId="63241777">
            <w:pPr>
              <w:spacing w:before="31" w:beforeLines="10" w:line="264" w:lineRule="auto"/>
              <w:jc w:val="center"/>
              <w:rPr>
                <w:b/>
                <w:color w:val="auto"/>
              </w:rPr>
            </w:pPr>
            <w:r>
              <w:rPr>
                <w:b/>
                <w:color w:val="auto"/>
              </w:rPr>
              <w:t>污染物项目</w:t>
            </w:r>
          </w:p>
        </w:tc>
        <w:tc>
          <w:tcPr>
            <w:tcW w:w="2649" w:type="pct"/>
            <w:gridSpan w:val="3"/>
            <w:tcBorders>
              <w:tl2br w:val="nil"/>
              <w:tr2bl w:val="nil"/>
            </w:tcBorders>
            <w:shd w:val="clear" w:color="auto" w:fill="auto"/>
            <w:noWrap w:val="0"/>
            <w:vAlign w:val="center"/>
          </w:tcPr>
          <w:p w14:paraId="60412067">
            <w:pPr>
              <w:spacing w:before="31" w:beforeLines="10" w:line="264" w:lineRule="auto"/>
              <w:jc w:val="center"/>
              <w:rPr>
                <w:b/>
                <w:color w:val="auto"/>
              </w:rPr>
            </w:pPr>
            <w:r>
              <w:rPr>
                <w:b/>
                <w:color w:val="auto"/>
              </w:rPr>
              <w:t>新建企业大气污染物排放限值</w:t>
            </w:r>
          </w:p>
        </w:tc>
        <w:tc>
          <w:tcPr>
            <w:tcW w:w="1309" w:type="pct"/>
            <w:vMerge w:val="restart"/>
            <w:tcBorders>
              <w:tl2br w:val="nil"/>
              <w:tr2bl w:val="nil"/>
            </w:tcBorders>
            <w:shd w:val="clear" w:color="auto" w:fill="auto"/>
            <w:noWrap w:val="0"/>
            <w:vAlign w:val="center"/>
          </w:tcPr>
          <w:p w14:paraId="1FDF2F77">
            <w:pPr>
              <w:spacing w:before="31" w:beforeLines="10" w:line="264" w:lineRule="auto"/>
              <w:jc w:val="center"/>
              <w:rPr>
                <w:b/>
                <w:color w:val="auto"/>
              </w:rPr>
            </w:pPr>
            <w:r>
              <w:rPr>
                <w:b/>
                <w:color w:val="auto"/>
              </w:rPr>
              <w:t>标准来源</w:t>
            </w:r>
          </w:p>
        </w:tc>
      </w:tr>
      <w:tr w14:paraId="582633D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vMerge w:val="continue"/>
            <w:tcBorders>
              <w:tl2br w:val="nil"/>
              <w:tr2bl w:val="nil"/>
            </w:tcBorders>
            <w:shd w:val="clear" w:color="auto" w:fill="auto"/>
            <w:noWrap w:val="0"/>
            <w:vAlign w:val="center"/>
          </w:tcPr>
          <w:p w14:paraId="4CC88ABD">
            <w:pPr>
              <w:spacing w:before="31" w:beforeLines="10" w:line="264" w:lineRule="auto"/>
              <w:jc w:val="center"/>
              <w:rPr>
                <w:b/>
                <w:color w:val="auto"/>
              </w:rPr>
            </w:pPr>
          </w:p>
        </w:tc>
        <w:tc>
          <w:tcPr>
            <w:tcW w:w="1015" w:type="pct"/>
            <w:gridSpan w:val="2"/>
            <w:tcBorders>
              <w:tl2br w:val="nil"/>
              <w:tr2bl w:val="nil"/>
            </w:tcBorders>
            <w:shd w:val="clear" w:color="auto" w:fill="auto"/>
            <w:noWrap w:val="0"/>
            <w:vAlign w:val="center"/>
          </w:tcPr>
          <w:p w14:paraId="6468DD57">
            <w:pPr>
              <w:spacing w:before="31" w:beforeLines="10" w:line="264" w:lineRule="auto"/>
              <w:jc w:val="center"/>
              <w:rPr>
                <w:b/>
                <w:color w:val="auto"/>
              </w:rPr>
            </w:pPr>
            <w:r>
              <w:rPr>
                <w:b/>
                <w:color w:val="auto"/>
                <w:szCs w:val="21"/>
              </w:rPr>
              <w:t>限值(mg/m</w:t>
            </w:r>
            <w:r>
              <w:rPr>
                <w:b/>
                <w:color w:val="auto"/>
                <w:szCs w:val="21"/>
                <w:vertAlign w:val="superscript"/>
              </w:rPr>
              <w:t>3</w:t>
            </w:r>
            <w:r>
              <w:rPr>
                <w:b/>
                <w:color w:val="auto"/>
                <w:szCs w:val="21"/>
              </w:rPr>
              <w:t>)</w:t>
            </w:r>
          </w:p>
        </w:tc>
        <w:tc>
          <w:tcPr>
            <w:tcW w:w="1634" w:type="pct"/>
            <w:tcBorders>
              <w:tl2br w:val="nil"/>
              <w:tr2bl w:val="nil"/>
            </w:tcBorders>
            <w:shd w:val="clear" w:color="auto" w:fill="auto"/>
            <w:noWrap w:val="0"/>
            <w:vAlign w:val="center"/>
          </w:tcPr>
          <w:p w14:paraId="0B73F48A">
            <w:pPr>
              <w:spacing w:before="31" w:beforeLines="10" w:line="264" w:lineRule="auto"/>
              <w:jc w:val="center"/>
              <w:rPr>
                <w:b/>
                <w:color w:val="auto"/>
              </w:rPr>
            </w:pPr>
            <w:r>
              <w:rPr>
                <w:b/>
                <w:color w:val="auto"/>
                <w:szCs w:val="21"/>
              </w:rPr>
              <w:t>污染物排放监控位置</w:t>
            </w:r>
          </w:p>
        </w:tc>
        <w:tc>
          <w:tcPr>
            <w:tcW w:w="1309" w:type="pct"/>
            <w:vMerge w:val="continue"/>
            <w:tcBorders>
              <w:tl2br w:val="nil"/>
              <w:tr2bl w:val="nil"/>
            </w:tcBorders>
            <w:shd w:val="clear" w:color="auto" w:fill="auto"/>
            <w:noWrap w:val="0"/>
            <w:vAlign w:val="center"/>
          </w:tcPr>
          <w:p w14:paraId="4BA06A76">
            <w:pPr>
              <w:spacing w:before="31" w:beforeLines="10" w:line="264" w:lineRule="auto"/>
              <w:jc w:val="center"/>
              <w:rPr>
                <w:b/>
                <w:color w:val="auto"/>
              </w:rPr>
            </w:pPr>
          </w:p>
        </w:tc>
      </w:tr>
      <w:tr w14:paraId="471D988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02B48D20">
            <w:pPr>
              <w:spacing w:before="31" w:beforeLines="10" w:line="264" w:lineRule="auto"/>
              <w:jc w:val="center"/>
              <w:rPr>
                <w:color w:val="auto"/>
                <w:szCs w:val="21"/>
              </w:rPr>
            </w:pPr>
            <w:r>
              <w:rPr>
                <w:color w:val="auto"/>
                <w:szCs w:val="21"/>
              </w:rPr>
              <w:t>颗粒物</w:t>
            </w:r>
          </w:p>
        </w:tc>
        <w:tc>
          <w:tcPr>
            <w:tcW w:w="1015" w:type="pct"/>
            <w:gridSpan w:val="2"/>
            <w:tcBorders>
              <w:tl2br w:val="nil"/>
              <w:tr2bl w:val="nil"/>
            </w:tcBorders>
            <w:shd w:val="clear" w:color="auto" w:fill="auto"/>
            <w:noWrap w:val="0"/>
            <w:vAlign w:val="center"/>
          </w:tcPr>
          <w:p w14:paraId="6177CA12">
            <w:pPr>
              <w:spacing w:before="31" w:beforeLines="10" w:line="264" w:lineRule="auto"/>
              <w:jc w:val="center"/>
              <w:rPr>
                <w:color w:val="auto"/>
                <w:szCs w:val="21"/>
              </w:rPr>
            </w:pPr>
            <w:r>
              <w:rPr>
                <w:color w:val="auto"/>
                <w:szCs w:val="21"/>
              </w:rPr>
              <w:t>30</w:t>
            </w:r>
          </w:p>
        </w:tc>
        <w:tc>
          <w:tcPr>
            <w:tcW w:w="1634" w:type="pct"/>
            <w:vMerge w:val="restart"/>
            <w:tcBorders>
              <w:tl2br w:val="nil"/>
              <w:tr2bl w:val="nil"/>
            </w:tcBorders>
            <w:shd w:val="clear" w:color="auto" w:fill="auto"/>
            <w:noWrap w:val="0"/>
            <w:vAlign w:val="center"/>
          </w:tcPr>
          <w:p w14:paraId="4BC7AA29">
            <w:pPr>
              <w:spacing w:before="31" w:beforeLines="10" w:line="264" w:lineRule="auto"/>
              <w:jc w:val="center"/>
              <w:rPr>
                <w:color w:val="auto"/>
                <w:szCs w:val="21"/>
              </w:rPr>
            </w:pPr>
            <w:r>
              <w:rPr>
                <w:rFonts w:hint="eastAsia"/>
                <w:color w:val="auto"/>
                <w:szCs w:val="21"/>
                <w:lang w:val="en-US" w:eastAsia="zh-CN"/>
              </w:rPr>
              <w:t>DA001</w:t>
            </w:r>
            <w:r>
              <w:rPr>
                <w:color w:val="auto"/>
                <w:szCs w:val="21"/>
              </w:rPr>
              <w:t>排气筒</w:t>
            </w:r>
          </w:p>
        </w:tc>
        <w:tc>
          <w:tcPr>
            <w:tcW w:w="1309" w:type="pct"/>
            <w:vMerge w:val="restart"/>
            <w:tcBorders>
              <w:tl2br w:val="nil"/>
              <w:tr2bl w:val="nil"/>
            </w:tcBorders>
            <w:shd w:val="clear" w:color="auto" w:fill="auto"/>
            <w:noWrap w:val="0"/>
            <w:vAlign w:val="center"/>
          </w:tcPr>
          <w:p w14:paraId="49F04823">
            <w:pPr>
              <w:spacing w:before="31" w:beforeLines="10" w:line="264" w:lineRule="auto"/>
              <w:jc w:val="center"/>
              <w:rPr>
                <w:b/>
                <w:color w:val="auto"/>
                <w:szCs w:val="21"/>
              </w:rPr>
            </w:pPr>
            <w:r>
              <w:rPr>
                <w:color w:val="auto"/>
                <w:szCs w:val="21"/>
              </w:rPr>
              <w:t>《再生铜、铝、铅、锌工业污染物排放标准》（GB 31574-2015）</w:t>
            </w:r>
          </w:p>
        </w:tc>
      </w:tr>
      <w:tr w14:paraId="67DFC92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2FD5583E">
            <w:pPr>
              <w:spacing w:before="31" w:beforeLines="10" w:line="264" w:lineRule="auto"/>
              <w:jc w:val="center"/>
              <w:rPr>
                <w:color w:val="auto"/>
                <w:szCs w:val="21"/>
              </w:rPr>
            </w:pPr>
            <w:r>
              <w:rPr>
                <w:color w:val="auto"/>
                <w:szCs w:val="21"/>
              </w:rPr>
              <w:t>SO</w:t>
            </w:r>
            <w:r>
              <w:rPr>
                <w:color w:val="auto"/>
                <w:szCs w:val="21"/>
                <w:vertAlign w:val="subscript"/>
              </w:rPr>
              <w:t>2</w:t>
            </w:r>
          </w:p>
        </w:tc>
        <w:tc>
          <w:tcPr>
            <w:tcW w:w="1015" w:type="pct"/>
            <w:gridSpan w:val="2"/>
            <w:tcBorders>
              <w:tl2br w:val="nil"/>
              <w:tr2bl w:val="nil"/>
            </w:tcBorders>
            <w:shd w:val="clear" w:color="auto" w:fill="auto"/>
            <w:noWrap w:val="0"/>
            <w:vAlign w:val="center"/>
          </w:tcPr>
          <w:p w14:paraId="1BAEDE67">
            <w:pPr>
              <w:spacing w:before="31" w:beforeLines="10" w:line="264" w:lineRule="auto"/>
              <w:jc w:val="center"/>
              <w:rPr>
                <w:color w:val="auto"/>
                <w:szCs w:val="21"/>
              </w:rPr>
            </w:pPr>
            <w:r>
              <w:rPr>
                <w:color w:val="auto"/>
                <w:szCs w:val="21"/>
              </w:rPr>
              <w:t>150</w:t>
            </w:r>
          </w:p>
        </w:tc>
        <w:tc>
          <w:tcPr>
            <w:tcW w:w="1634" w:type="pct"/>
            <w:vMerge w:val="continue"/>
            <w:tcBorders>
              <w:tl2br w:val="nil"/>
              <w:tr2bl w:val="nil"/>
            </w:tcBorders>
            <w:shd w:val="clear" w:color="auto" w:fill="auto"/>
            <w:noWrap w:val="0"/>
            <w:vAlign w:val="center"/>
          </w:tcPr>
          <w:p w14:paraId="0D680B30">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3CF166CE">
            <w:pPr>
              <w:spacing w:before="31" w:beforeLines="10" w:line="264" w:lineRule="auto"/>
              <w:jc w:val="center"/>
              <w:rPr>
                <w:b/>
                <w:color w:val="auto"/>
                <w:szCs w:val="21"/>
              </w:rPr>
            </w:pPr>
          </w:p>
        </w:tc>
      </w:tr>
      <w:tr w14:paraId="31695ED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1F1B085">
            <w:pPr>
              <w:spacing w:before="31" w:beforeLines="10" w:line="264" w:lineRule="auto"/>
              <w:jc w:val="center"/>
              <w:rPr>
                <w:color w:val="auto"/>
                <w:szCs w:val="21"/>
              </w:rPr>
            </w:pPr>
            <w:r>
              <w:rPr>
                <w:color w:val="auto"/>
                <w:szCs w:val="21"/>
              </w:rPr>
              <w:t>NO</w:t>
            </w:r>
            <w:r>
              <w:rPr>
                <w:color w:val="auto"/>
                <w:szCs w:val="21"/>
                <w:vertAlign w:val="subscript"/>
              </w:rPr>
              <w:t>X</w:t>
            </w:r>
          </w:p>
        </w:tc>
        <w:tc>
          <w:tcPr>
            <w:tcW w:w="1015" w:type="pct"/>
            <w:gridSpan w:val="2"/>
            <w:tcBorders>
              <w:tl2br w:val="nil"/>
              <w:tr2bl w:val="nil"/>
            </w:tcBorders>
            <w:shd w:val="clear" w:color="auto" w:fill="auto"/>
            <w:noWrap w:val="0"/>
            <w:vAlign w:val="center"/>
          </w:tcPr>
          <w:p w14:paraId="5A69C76C">
            <w:pPr>
              <w:spacing w:before="31" w:beforeLines="10" w:line="264" w:lineRule="auto"/>
              <w:jc w:val="center"/>
              <w:rPr>
                <w:color w:val="auto"/>
                <w:szCs w:val="21"/>
              </w:rPr>
            </w:pPr>
            <w:r>
              <w:rPr>
                <w:color w:val="auto"/>
                <w:szCs w:val="21"/>
              </w:rPr>
              <w:t>200</w:t>
            </w:r>
          </w:p>
        </w:tc>
        <w:tc>
          <w:tcPr>
            <w:tcW w:w="1634" w:type="pct"/>
            <w:vMerge w:val="continue"/>
            <w:tcBorders>
              <w:tl2br w:val="nil"/>
              <w:tr2bl w:val="nil"/>
            </w:tcBorders>
            <w:shd w:val="clear" w:color="auto" w:fill="auto"/>
            <w:noWrap w:val="0"/>
            <w:vAlign w:val="center"/>
          </w:tcPr>
          <w:p w14:paraId="377D928C">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54727BB1">
            <w:pPr>
              <w:spacing w:before="31" w:beforeLines="10" w:line="264" w:lineRule="auto"/>
              <w:jc w:val="center"/>
              <w:rPr>
                <w:b/>
                <w:color w:val="auto"/>
                <w:szCs w:val="21"/>
              </w:rPr>
            </w:pPr>
          </w:p>
        </w:tc>
      </w:tr>
      <w:tr w14:paraId="5EC2198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3BB1776B">
            <w:pPr>
              <w:spacing w:before="31" w:beforeLines="10" w:line="264" w:lineRule="auto"/>
              <w:jc w:val="center"/>
              <w:rPr>
                <w:color w:val="auto"/>
                <w:szCs w:val="21"/>
              </w:rPr>
            </w:pPr>
            <w:r>
              <w:rPr>
                <w:color w:val="auto"/>
                <w:szCs w:val="21"/>
              </w:rPr>
              <w:t>氟化物</w:t>
            </w:r>
          </w:p>
        </w:tc>
        <w:tc>
          <w:tcPr>
            <w:tcW w:w="1015" w:type="pct"/>
            <w:gridSpan w:val="2"/>
            <w:tcBorders>
              <w:tl2br w:val="nil"/>
              <w:tr2bl w:val="nil"/>
            </w:tcBorders>
            <w:shd w:val="clear" w:color="auto" w:fill="auto"/>
            <w:noWrap w:val="0"/>
            <w:vAlign w:val="center"/>
          </w:tcPr>
          <w:p w14:paraId="133FDC14">
            <w:pPr>
              <w:spacing w:before="31" w:beforeLines="10" w:line="264" w:lineRule="auto"/>
              <w:jc w:val="center"/>
              <w:rPr>
                <w:color w:val="auto"/>
                <w:szCs w:val="21"/>
              </w:rPr>
            </w:pPr>
            <w:r>
              <w:rPr>
                <w:color w:val="auto"/>
                <w:szCs w:val="21"/>
              </w:rPr>
              <w:t>3</w:t>
            </w:r>
          </w:p>
        </w:tc>
        <w:tc>
          <w:tcPr>
            <w:tcW w:w="1634" w:type="pct"/>
            <w:vMerge w:val="continue"/>
            <w:tcBorders>
              <w:tl2br w:val="nil"/>
              <w:tr2bl w:val="nil"/>
            </w:tcBorders>
            <w:shd w:val="clear" w:color="auto" w:fill="auto"/>
            <w:noWrap w:val="0"/>
            <w:vAlign w:val="center"/>
          </w:tcPr>
          <w:p w14:paraId="48D781FF">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1A5AE5A3">
            <w:pPr>
              <w:spacing w:before="31" w:beforeLines="10" w:line="264" w:lineRule="auto"/>
              <w:jc w:val="center"/>
              <w:rPr>
                <w:b/>
                <w:color w:val="auto"/>
                <w:szCs w:val="21"/>
              </w:rPr>
            </w:pPr>
          </w:p>
        </w:tc>
      </w:tr>
      <w:tr w14:paraId="7683F40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2A323420">
            <w:pPr>
              <w:spacing w:before="31" w:beforeLines="10" w:line="264" w:lineRule="auto"/>
              <w:jc w:val="center"/>
              <w:rPr>
                <w:color w:val="auto"/>
                <w:szCs w:val="21"/>
              </w:rPr>
            </w:pPr>
            <w:r>
              <w:rPr>
                <w:color w:val="auto"/>
                <w:szCs w:val="21"/>
              </w:rPr>
              <w:t>HCl</w:t>
            </w:r>
          </w:p>
        </w:tc>
        <w:tc>
          <w:tcPr>
            <w:tcW w:w="1015" w:type="pct"/>
            <w:gridSpan w:val="2"/>
            <w:tcBorders>
              <w:tl2br w:val="nil"/>
              <w:tr2bl w:val="nil"/>
            </w:tcBorders>
            <w:shd w:val="clear" w:color="auto" w:fill="auto"/>
            <w:noWrap w:val="0"/>
            <w:vAlign w:val="center"/>
          </w:tcPr>
          <w:p w14:paraId="02C29088">
            <w:pPr>
              <w:spacing w:before="31" w:beforeLines="10" w:line="264" w:lineRule="auto"/>
              <w:jc w:val="center"/>
              <w:rPr>
                <w:color w:val="auto"/>
                <w:szCs w:val="21"/>
              </w:rPr>
            </w:pPr>
            <w:r>
              <w:rPr>
                <w:color w:val="auto"/>
                <w:szCs w:val="21"/>
              </w:rPr>
              <w:t>30</w:t>
            </w:r>
          </w:p>
        </w:tc>
        <w:tc>
          <w:tcPr>
            <w:tcW w:w="1634" w:type="pct"/>
            <w:vMerge w:val="continue"/>
            <w:tcBorders>
              <w:tl2br w:val="nil"/>
              <w:tr2bl w:val="nil"/>
            </w:tcBorders>
            <w:shd w:val="clear" w:color="auto" w:fill="auto"/>
            <w:noWrap w:val="0"/>
            <w:vAlign w:val="center"/>
          </w:tcPr>
          <w:p w14:paraId="4C723171">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61AA3E8E">
            <w:pPr>
              <w:spacing w:before="31" w:beforeLines="10" w:line="264" w:lineRule="auto"/>
              <w:jc w:val="center"/>
              <w:rPr>
                <w:b/>
                <w:color w:val="auto"/>
                <w:szCs w:val="21"/>
              </w:rPr>
            </w:pPr>
          </w:p>
        </w:tc>
      </w:tr>
      <w:tr w14:paraId="76CE77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21501578">
            <w:pPr>
              <w:spacing w:before="31" w:beforeLines="10" w:line="264" w:lineRule="auto"/>
              <w:jc w:val="center"/>
              <w:rPr>
                <w:color w:val="auto"/>
                <w:szCs w:val="21"/>
              </w:rPr>
            </w:pPr>
            <w:r>
              <w:rPr>
                <w:color w:val="auto"/>
                <w:szCs w:val="21"/>
              </w:rPr>
              <w:t>二噁英类</w:t>
            </w:r>
          </w:p>
        </w:tc>
        <w:tc>
          <w:tcPr>
            <w:tcW w:w="1015" w:type="pct"/>
            <w:gridSpan w:val="2"/>
            <w:tcBorders>
              <w:tl2br w:val="nil"/>
              <w:tr2bl w:val="nil"/>
            </w:tcBorders>
            <w:shd w:val="clear" w:color="auto" w:fill="auto"/>
            <w:noWrap w:val="0"/>
            <w:vAlign w:val="center"/>
          </w:tcPr>
          <w:p w14:paraId="20DD0273">
            <w:pPr>
              <w:spacing w:before="31" w:beforeLines="10" w:line="264" w:lineRule="auto"/>
              <w:jc w:val="center"/>
              <w:rPr>
                <w:color w:val="auto"/>
                <w:szCs w:val="21"/>
              </w:rPr>
            </w:pPr>
            <w:r>
              <w:rPr>
                <w:color w:val="auto"/>
                <w:szCs w:val="21"/>
              </w:rPr>
              <w:t>0.5ng TEQ/m</w:t>
            </w:r>
            <w:r>
              <w:rPr>
                <w:color w:val="auto"/>
                <w:szCs w:val="21"/>
                <w:vertAlign w:val="superscript"/>
              </w:rPr>
              <w:t>3</w:t>
            </w:r>
          </w:p>
        </w:tc>
        <w:tc>
          <w:tcPr>
            <w:tcW w:w="1634" w:type="pct"/>
            <w:vMerge w:val="continue"/>
            <w:tcBorders>
              <w:tl2br w:val="nil"/>
              <w:tr2bl w:val="nil"/>
            </w:tcBorders>
            <w:shd w:val="clear" w:color="auto" w:fill="auto"/>
            <w:noWrap w:val="0"/>
            <w:vAlign w:val="center"/>
          </w:tcPr>
          <w:p w14:paraId="693D6604">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5F08D2A4">
            <w:pPr>
              <w:spacing w:before="31" w:beforeLines="10" w:line="264" w:lineRule="auto"/>
              <w:jc w:val="center"/>
              <w:rPr>
                <w:b/>
                <w:color w:val="auto"/>
                <w:szCs w:val="21"/>
              </w:rPr>
            </w:pPr>
          </w:p>
        </w:tc>
      </w:tr>
      <w:tr w14:paraId="036A4AE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599E916">
            <w:pPr>
              <w:spacing w:before="31" w:beforeLines="10" w:line="264" w:lineRule="auto"/>
              <w:jc w:val="center"/>
              <w:rPr>
                <w:color w:val="auto"/>
                <w:szCs w:val="21"/>
              </w:rPr>
            </w:pPr>
            <w:r>
              <w:rPr>
                <w:color w:val="auto"/>
                <w:szCs w:val="21"/>
              </w:rPr>
              <w:t>砷及其化合物</w:t>
            </w:r>
          </w:p>
        </w:tc>
        <w:tc>
          <w:tcPr>
            <w:tcW w:w="1015" w:type="pct"/>
            <w:gridSpan w:val="2"/>
            <w:tcBorders>
              <w:tl2br w:val="nil"/>
              <w:tr2bl w:val="nil"/>
            </w:tcBorders>
            <w:shd w:val="clear" w:color="auto" w:fill="auto"/>
            <w:noWrap w:val="0"/>
            <w:vAlign w:val="center"/>
          </w:tcPr>
          <w:p w14:paraId="35F76BAE">
            <w:pPr>
              <w:spacing w:before="31" w:beforeLines="10" w:line="264" w:lineRule="auto"/>
              <w:jc w:val="center"/>
              <w:rPr>
                <w:color w:val="auto"/>
                <w:szCs w:val="21"/>
              </w:rPr>
            </w:pPr>
            <w:r>
              <w:rPr>
                <w:color w:val="auto"/>
                <w:szCs w:val="21"/>
              </w:rPr>
              <w:t>0.4</w:t>
            </w:r>
          </w:p>
        </w:tc>
        <w:tc>
          <w:tcPr>
            <w:tcW w:w="1634" w:type="pct"/>
            <w:vMerge w:val="continue"/>
            <w:tcBorders>
              <w:tl2br w:val="nil"/>
              <w:tr2bl w:val="nil"/>
            </w:tcBorders>
            <w:shd w:val="clear" w:color="auto" w:fill="auto"/>
            <w:noWrap w:val="0"/>
            <w:vAlign w:val="center"/>
          </w:tcPr>
          <w:p w14:paraId="0269F58D">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1AC90947">
            <w:pPr>
              <w:spacing w:before="31" w:beforeLines="10" w:line="264" w:lineRule="auto"/>
              <w:jc w:val="center"/>
              <w:rPr>
                <w:b/>
                <w:color w:val="auto"/>
                <w:szCs w:val="21"/>
              </w:rPr>
            </w:pPr>
          </w:p>
        </w:tc>
      </w:tr>
      <w:tr w14:paraId="61E2368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32AD84B3">
            <w:pPr>
              <w:spacing w:before="31" w:beforeLines="10" w:line="264" w:lineRule="auto"/>
              <w:jc w:val="center"/>
              <w:rPr>
                <w:color w:val="auto"/>
                <w:szCs w:val="21"/>
              </w:rPr>
            </w:pPr>
            <w:r>
              <w:rPr>
                <w:color w:val="auto"/>
                <w:szCs w:val="21"/>
              </w:rPr>
              <w:t>铅及其化合物</w:t>
            </w:r>
          </w:p>
        </w:tc>
        <w:tc>
          <w:tcPr>
            <w:tcW w:w="1015" w:type="pct"/>
            <w:gridSpan w:val="2"/>
            <w:tcBorders>
              <w:tl2br w:val="nil"/>
              <w:tr2bl w:val="nil"/>
            </w:tcBorders>
            <w:shd w:val="clear" w:color="auto" w:fill="auto"/>
            <w:noWrap w:val="0"/>
            <w:vAlign w:val="center"/>
          </w:tcPr>
          <w:p w14:paraId="34141F07">
            <w:pPr>
              <w:spacing w:before="31" w:beforeLines="10" w:line="264" w:lineRule="auto"/>
              <w:jc w:val="center"/>
              <w:rPr>
                <w:color w:val="auto"/>
                <w:szCs w:val="21"/>
              </w:rPr>
            </w:pPr>
            <w:r>
              <w:rPr>
                <w:color w:val="auto"/>
                <w:szCs w:val="21"/>
              </w:rPr>
              <w:t>1</w:t>
            </w:r>
          </w:p>
        </w:tc>
        <w:tc>
          <w:tcPr>
            <w:tcW w:w="1634" w:type="pct"/>
            <w:vMerge w:val="continue"/>
            <w:tcBorders>
              <w:tl2br w:val="nil"/>
              <w:tr2bl w:val="nil"/>
            </w:tcBorders>
            <w:shd w:val="clear" w:color="auto" w:fill="auto"/>
            <w:noWrap w:val="0"/>
            <w:vAlign w:val="center"/>
          </w:tcPr>
          <w:p w14:paraId="1CCEC555">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6852E064">
            <w:pPr>
              <w:spacing w:before="31" w:beforeLines="10" w:line="264" w:lineRule="auto"/>
              <w:jc w:val="center"/>
              <w:rPr>
                <w:b/>
                <w:color w:val="auto"/>
                <w:szCs w:val="21"/>
              </w:rPr>
            </w:pPr>
          </w:p>
        </w:tc>
      </w:tr>
      <w:tr w14:paraId="130E1D7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6E8725A8">
            <w:pPr>
              <w:spacing w:before="31" w:beforeLines="10" w:line="264" w:lineRule="auto"/>
              <w:jc w:val="center"/>
              <w:rPr>
                <w:color w:val="auto"/>
                <w:szCs w:val="21"/>
              </w:rPr>
            </w:pPr>
            <w:r>
              <w:rPr>
                <w:color w:val="auto"/>
                <w:szCs w:val="21"/>
              </w:rPr>
              <w:t>锡及其化合物</w:t>
            </w:r>
          </w:p>
        </w:tc>
        <w:tc>
          <w:tcPr>
            <w:tcW w:w="1015" w:type="pct"/>
            <w:gridSpan w:val="2"/>
            <w:tcBorders>
              <w:tl2br w:val="nil"/>
              <w:tr2bl w:val="nil"/>
            </w:tcBorders>
            <w:shd w:val="clear" w:color="auto" w:fill="auto"/>
            <w:noWrap w:val="0"/>
            <w:vAlign w:val="center"/>
          </w:tcPr>
          <w:p w14:paraId="55A4EE12">
            <w:pPr>
              <w:spacing w:before="31" w:beforeLines="10" w:line="264" w:lineRule="auto"/>
              <w:jc w:val="center"/>
              <w:rPr>
                <w:color w:val="auto"/>
                <w:szCs w:val="21"/>
              </w:rPr>
            </w:pPr>
            <w:r>
              <w:rPr>
                <w:color w:val="auto"/>
                <w:szCs w:val="21"/>
              </w:rPr>
              <w:t>1</w:t>
            </w:r>
          </w:p>
        </w:tc>
        <w:tc>
          <w:tcPr>
            <w:tcW w:w="1634" w:type="pct"/>
            <w:vMerge w:val="continue"/>
            <w:tcBorders>
              <w:tl2br w:val="nil"/>
              <w:tr2bl w:val="nil"/>
            </w:tcBorders>
            <w:shd w:val="clear" w:color="auto" w:fill="auto"/>
            <w:noWrap w:val="0"/>
            <w:vAlign w:val="center"/>
          </w:tcPr>
          <w:p w14:paraId="08212D3E">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3C5BE694">
            <w:pPr>
              <w:spacing w:before="31" w:beforeLines="10" w:line="264" w:lineRule="auto"/>
              <w:jc w:val="center"/>
              <w:rPr>
                <w:b/>
                <w:color w:val="auto"/>
                <w:szCs w:val="21"/>
              </w:rPr>
            </w:pPr>
          </w:p>
        </w:tc>
      </w:tr>
      <w:tr w14:paraId="37884B4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6C31261">
            <w:pPr>
              <w:spacing w:before="31" w:beforeLines="10" w:line="264" w:lineRule="auto"/>
              <w:jc w:val="center"/>
              <w:rPr>
                <w:color w:val="auto"/>
                <w:szCs w:val="21"/>
              </w:rPr>
            </w:pPr>
            <w:r>
              <w:rPr>
                <w:color w:val="auto"/>
                <w:szCs w:val="21"/>
              </w:rPr>
              <w:t>镉及其化合物</w:t>
            </w:r>
          </w:p>
        </w:tc>
        <w:tc>
          <w:tcPr>
            <w:tcW w:w="1015" w:type="pct"/>
            <w:gridSpan w:val="2"/>
            <w:tcBorders>
              <w:tl2br w:val="nil"/>
              <w:tr2bl w:val="nil"/>
            </w:tcBorders>
            <w:shd w:val="clear" w:color="auto" w:fill="auto"/>
            <w:noWrap w:val="0"/>
            <w:vAlign w:val="center"/>
          </w:tcPr>
          <w:p w14:paraId="7F9B889C">
            <w:pPr>
              <w:spacing w:before="31" w:beforeLines="10" w:line="264" w:lineRule="auto"/>
              <w:jc w:val="center"/>
              <w:rPr>
                <w:color w:val="auto"/>
                <w:szCs w:val="21"/>
              </w:rPr>
            </w:pPr>
            <w:r>
              <w:rPr>
                <w:color w:val="auto"/>
                <w:szCs w:val="21"/>
              </w:rPr>
              <w:t>0.05</w:t>
            </w:r>
          </w:p>
        </w:tc>
        <w:tc>
          <w:tcPr>
            <w:tcW w:w="1634" w:type="pct"/>
            <w:vMerge w:val="continue"/>
            <w:tcBorders>
              <w:tl2br w:val="nil"/>
              <w:tr2bl w:val="nil"/>
            </w:tcBorders>
            <w:shd w:val="clear" w:color="auto" w:fill="auto"/>
            <w:noWrap w:val="0"/>
            <w:vAlign w:val="center"/>
          </w:tcPr>
          <w:p w14:paraId="1B0CF574">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3B92FF1D">
            <w:pPr>
              <w:spacing w:before="31" w:beforeLines="10" w:line="264" w:lineRule="auto"/>
              <w:jc w:val="center"/>
              <w:rPr>
                <w:b/>
                <w:color w:val="auto"/>
                <w:szCs w:val="21"/>
              </w:rPr>
            </w:pPr>
          </w:p>
        </w:tc>
      </w:tr>
      <w:tr w14:paraId="04D49A9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8919213">
            <w:pPr>
              <w:spacing w:before="31" w:beforeLines="10" w:line="264" w:lineRule="auto"/>
              <w:jc w:val="center"/>
              <w:rPr>
                <w:color w:val="auto"/>
                <w:szCs w:val="21"/>
              </w:rPr>
            </w:pPr>
            <w:r>
              <w:rPr>
                <w:color w:val="auto"/>
                <w:szCs w:val="21"/>
              </w:rPr>
              <w:t>铬及其化合物</w:t>
            </w:r>
          </w:p>
        </w:tc>
        <w:tc>
          <w:tcPr>
            <w:tcW w:w="1015" w:type="pct"/>
            <w:gridSpan w:val="2"/>
            <w:tcBorders>
              <w:tl2br w:val="nil"/>
              <w:tr2bl w:val="nil"/>
            </w:tcBorders>
            <w:shd w:val="clear" w:color="auto" w:fill="auto"/>
            <w:noWrap w:val="0"/>
            <w:vAlign w:val="center"/>
          </w:tcPr>
          <w:p w14:paraId="1F28B52F">
            <w:pPr>
              <w:spacing w:before="31" w:beforeLines="10" w:line="264" w:lineRule="auto"/>
              <w:jc w:val="center"/>
              <w:rPr>
                <w:color w:val="auto"/>
                <w:szCs w:val="21"/>
              </w:rPr>
            </w:pPr>
            <w:r>
              <w:rPr>
                <w:rFonts w:hint="eastAsia"/>
                <w:color w:val="auto"/>
                <w:szCs w:val="21"/>
              </w:rPr>
              <w:t>1</w:t>
            </w:r>
          </w:p>
        </w:tc>
        <w:tc>
          <w:tcPr>
            <w:tcW w:w="1634" w:type="pct"/>
            <w:vMerge w:val="continue"/>
            <w:tcBorders>
              <w:tl2br w:val="nil"/>
              <w:tr2bl w:val="nil"/>
            </w:tcBorders>
            <w:shd w:val="clear" w:color="auto" w:fill="auto"/>
            <w:noWrap w:val="0"/>
            <w:vAlign w:val="center"/>
          </w:tcPr>
          <w:p w14:paraId="611B4DFF">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5D3C018E">
            <w:pPr>
              <w:spacing w:before="31" w:beforeLines="10" w:line="264" w:lineRule="auto"/>
              <w:jc w:val="center"/>
              <w:rPr>
                <w:b/>
                <w:color w:val="auto"/>
                <w:szCs w:val="21"/>
              </w:rPr>
            </w:pPr>
          </w:p>
        </w:tc>
      </w:tr>
      <w:tr w14:paraId="6A3C05B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411054E4">
            <w:pPr>
              <w:spacing w:before="31" w:beforeLines="10" w:line="264" w:lineRule="auto"/>
              <w:jc w:val="center"/>
              <w:rPr>
                <w:color w:val="auto"/>
                <w:szCs w:val="21"/>
              </w:rPr>
            </w:pPr>
            <w:r>
              <w:rPr>
                <w:color w:val="auto"/>
                <w:szCs w:val="21"/>
              </w:rPr>
              <w:t>单位产品基准排气量（m</w:t>
            </w:r>
            <w:r>
              <w:rPr>
                <w:color w:val="auto"/>
                <w:szCs w:val="21"/>
                <w:vertAlign w:val="superscript"/>
              </w:rPr>
              <w:t>3</w:t>
            </w:r>
            <w:r>
              <w:rPr>
                <w:color w:val="auto"/>
                <w:szCs w:val="21"/>
              </w:rPr>
              <w:t>/吨产品）</w:t>
            </w:r>
          </w:p>
        </w:tc>
        <w:tc>
          <w:tcPr>
            <w:tcW w:w="433" w:type="pct"/>
            <w:tcBorders>
              <w:tl2br w:val="nil"/>
              <w:tr2bl w:val="nil"/>
            </w:tcBorders>
            <w:shd w:val="clear" w:color="auto" w:fill="auto"/>
            <w:noWrap w:val="0"/>
            <w:vAlign w:val="center"/>
          </w:tcPr>
          <w:p w14:paraId="3B5E83BE">
            <w:pPr>
              <w:spacing w:before="31" w:beforeLines="10" w:line="264" w:lineRule="auto"/>
              <w:jc w:val="center"/>
              <w:rPr>
                <w:color w:val="auto"/>
                <w:szCs w:val="21"/>
              </w:rPr>
            </w:pPr>
            <w:r>
              <w:rPr>
                <w:color w:val="auto"/>
                <w:szCs w:val="21"/>
              </w:rPr>
              <w:t>炉窑</w:t>
            </w:r>
          </w:p>
        </w:tc>
        <w:tc>
          <w:tcPr>
            <w:tcW w:w="582" w:type="pct"/>
            <w:tcBorders>
              <w:tl2br w:val="nil"/>
              <w:tr2bl w:val="nil"/>
            </w:tcBorders>
            <w:shd w:val="clear" w:color="auto" w:fill="auto"/>
            <w:noWrap w:val="0"/>
            <w:vAlign w:val="center"/>
          </w:tcPr>
          <w:p w14:paraId="63FFC195">
            <w:pPr>
              <w:spacing w:before="31" w:beforeLines="10" w:line="264" w:lineRule="auto"/>
              <w:jc w:val="center"/>
              <w:rPr>
                <w:color w:val="auto"/>
                <w:szCs w:val="21"/>
              </w:rPr>
            </w:pPr>
            <w:r>
              <w:rPr>
                <w:color w:val="auto"/>
                <w:szCs w:val="21"/>
              </w:rPr>
              <w:t>10000</w:t>
            </w:r>
          </w:p>
        </w:tc>
        <w:tc>
          <w:tcPr>
            <w:tcW w:w="1634" w:type="pct"/>
            <w:tcBorders>
              <w:tl2br w:val="nil"/>
              <w:tr2bl w:val="nil"/>
            </w:tcBorders>
            <w:shd w:val="clear" w:color="auto" w:fill="auto"/>
            <w:noWrap w:val="0"/>
            <w:vAlign w:val="center"/>
          </w:tcPr>
          <w:p w14:paraId="6C32F5E9">
            <w:pPr>
              <w:spacing w:before="31" w:beforeLines="10" w:line="264" w:lineRule="auto"/>
              <w:jc w:val="center"/>
              <w:rPr>
                <w:color w:val="auto"/>
                <w:szCs w:val="21"/>
              </w:rPr>
            </w:pPr>
            <w:r>
              <w:rPr>
                <w:color w:val="auto"/>
                <w:szCs w:val="21"/>
              </w:rPr>
              <w:t>排气量计量位置与污染物排放监控位置一致</w:t>
            </w:r>
          </w:p>
        </w:tc>
        <w:tc>
          <w:tcPr>
            <w:tcW w:w="1309" w:type="pct"/>
            <w:vMerge w:val="continue"/>
            <w:tcBorders>
              <w:tl2br w:val="nil"/>
              <w:tr2bl w:val="nil"/>
            </w:tcBorders>
            <w:shd w:val="clear" w:color="auto" w:fill="auto"/>
            <w:noWrap w:val="0"/>
            <w:vAlign w:val="center"/>
          </w:tcPr>
          <w:p w14:paraId="5D43C39B">
            <w:pPr>
              <w:spacing w:before="31" w:beforeLines="10" w:line="264" w:lineRule="auto"/>
              <w:jc w:val="center"/>
              <w:rPr>
                <w:b/>
                <w:color w:val="auto"/>
                <w:szCs w:val="21"/>
              </w:rPr>
            </w:pPr>
          </w:p>
        </w:tc>
      </w:tr>
    </w:tbl>
    <w:p w14:paraId="28404486">
      <w:pPr>
        <w:adjustRightInd w:val="0"/>
        <w:snapToGrid w:val="0"/>
        <w:spacing w:line="360" w:lineRule="auto"/>
        <w:jc w:val="center"/>
        <w:rPr>
          <w:b/>
          <w:bCs/>
          <w:color w:val="auto"/>
          <w:sz w:val="24"/>
        </w:rPr>
      </w:pPr>
      <w:r>
        <w:rPr>
          <w:b/>
          <w:bCs/>
          <w:color w:val="auto"/>
          <w:sz w:val="24"/>
        </w:rPr>
        <w:t>表1-1</w:t>
      </w:r>
      <w:r>
        <w:rPr>
          <w:rFonts w:hint="eastAsia"/>
          <w:b/>
          <w:bCs/>
          <w:color w:val="auto"/>
          <w:sz w:val="24"/>
          <w:lang w:val="en-US" w:eastAsia="zh-CN"/>
        </w:rPr>
        <w:t xml:space="preserve">1 </w:t>
      </w:r>
      <w:r>
        <w:rPr>
          <w:b/>
          <w:bCs/>
          <w:color w:val="auto"/>
          <w:sz w:val="24"/>
        </w:rPr>
        <w:t>原环评评价阶段</w:t>
      </w:r>
      <w:r>
        <w:rPr>
          <w:rFonts w:hint="eastAsia" w:ascii="Times New Roman" w:hAnsi="Times New Roman" w:eastAsia="宋体" w:cs="Times New Roman"/>
          <w:b/>
          <w:bCs/>
          <w:color w:val="auto"/>
          <w:sz w:val="24"/>
          <w:szCs w:val="24"/>
          <w:lang w:val="en-US" w:eastAsia="zh-CN"/>
        </w:rPr>
        <w:t>无组织废气排放执行标准</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00"/>
        <w:gridCol w:w="3424"/>
        <w:gridCol w:w="3138"/>
      </w:tblGrid>
      <w:tr w14:paraId="3834DE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07091BF1">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w:t>
            </w:r>
          </w:p>
        </w:tc>
        <w:tc>
          <w:tcPr>
            <w:tcW w:w="1718" w:type="pct"/>
            <w:vAlign w:val="center"/>
          </w:tcPr>
          <w:p w14:paraId="6C1891B7">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最高允许排放浓度（mg/m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rPr>
              <w:t>）</w:t>
            </w:r>
          </w:p>
        </w:tc>
        <w:tc>
          <w:tcPr>
            <w:tcW w:w="1574" w:type="pct"/>
            <w:vAlign w:val="center"/>
          </w:tcPr>
          <w:p w14:paraId="0F0D755F">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09D7F6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5EC58CEE">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氯化氢</w:t>
            </w:r>
          </w:p>
        </w:tc>
        <w:tc>
          <w:tcPr>
            <w:tcW w:w="1718" w:type="pct"/>
            <w:vAlign w:val="center"/>
          </w:tcPr>
          <w:p w14:paraId="5019FCF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w:t>
            </w:r>
          </w:p>
        </w:tc>
        <w:tc>
          <w:tcPr>
            <w:tcW w:w="1574" w:type="pct"/>
            <w:vMerge w:val="restart"/>
            <w:vAlign w:val="center"/>
          </w:tcPr>
          <w:p w14:paraId="253684A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《再生铜、铝、铅、锌工业污染物排放标准》（GB31574-2015）表5企业边界大气污染物限值</w:t>
            </w:r>
          </w:p>
        </w:tc>
      </w:tr>
      <w:tr w14:paraId="2F4CAC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6A783487">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w:t>
            </w:r>
          </w:p>
        </w:tc>
        <w:tc>
          <w:tcPr>
            <w:tcW w:w="1718" w:type="pct"/>
            <w:vAlign w:val="center"/>
          </w:tcPr>
          <w:p w14:paraId="24151D2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0.02</w:t>
            </w:r>
          </w:p>
        </w:tc>
        <w:tc>
          <w:tcPr>
            <w:tcW w:w="1574" w:type="pct"/>
            <w:vMerge w:val="continue"/>
            <w:vAlign w:val="center"/>
          </w:tcPr>
          <w:p w14:paraId="17ED58A5">
            <w:pPr>
              <w:adjustRightInd w:val="0"/>
              <w:snapToGrid w:val="0"/>
              <w:jc w:val="center"/>
              <w:rPr>
                <w:rFonts w:hint="default" w:ascii="Times New Roman" w:hAnsi="Times New Roman" w:eastAsia="宋体" w:cs="Times New Roman"/>
                <w:color w:val="auto"/>
                <w:sz w:val="21"/>
                <w:szCs w:val="21"/>
              </w:rPr>
            </w:pPr>
          </w:p>
        </w:tc>
      </w:tr>
      <w:tr w14:paraId="3BC738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405249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砷及其化合物</w:t>
            </w:r>
          </w:p>
        </w:tc>
        <w:tc>
          <w:tcPr>
            <w:tcW w:w="1718" w:type="pct"/>
            <w:vAlign w:val="center"/>
          </w:tcPr>
          <w:p w14:paraId="72C35EF6">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0.01</w:t>
            </w:r>
          </w:p>
        </w:tc>
        <w:tc>
          <w:tcPr>
            <w:tcW w:w="1574" w:type="pct"/>
            <w:vMerge w:val="continue"/>
            <w:vAlign w:val="center"/>
          </w:tcPr>
          <w:p w14:paraId="21CAF770">
            <w:pPr>
              <w:adjustRightInd w:val="0"/>
              <w:snapToGrid w:val="0"/>
              <w:jc w:val="center"/>
              <w:rPr>
                <w:rFonts w:hint="default" w:ascii="Times New Roman" w:hAnsi="Times New Roman" w:eastAsia="宋体" w:cs="Times New Roman"/>
                <w:color w:val="auto"/>
                <w:sz w:val="21"/>
                <w:szCs w:val="21"/>
              </w:rPr>
            </w:pPr>
          </w:p>
        </w:tc>
      </w:tr>
      <w:tr w14:paraId="72C7E2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67E9D00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铅及其化合物</w:t>
            </w:r>
          </w:p>
        </w:tc>
        <w:tc>
          <w:tcPr>
            <w:tcW w:w="1718" w:type="pct"/>
            <w:vAlign w:val="center"/>
          </w:tcPr>
          <w:p w14:paraId="3A7E31C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10E99D41">
            <w:pPr>
              <w:adjustRightInd w:val="0"/>
              <w:snapToGrid w:val="0"/>
              <w:jc w:val="center"/>
              <w:rPr>
                <w:rFonts w:hint="default" w:ascii="Times New Roman" w:hAnsi="Times New Roman" w:eastAsia="宋体" w:cs="Times New Roman"/>
                <w:color w:val="auto"/>
                <w:sz w:val="21"/>
                <w:szCs w:val="21"/>
              </w:rPr>
            </w:pPr>
          </w:p>
        </w:tc>
      </w:tr>
      <w:tr w14:paraId="165B0C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40860FE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锡及其化合物</w:t>
            </w:r>
          </w:p>
        </w:tc>
        <w:tc>
          <w:tcPr>
            <w:tcW w:w="1718" w:type="pct"/>
            <w:vAlign w:val="center"/>
          </w:tcPr>
          <w:p w14:paraId="0F92E079">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0.24</w:t>
            </w:r>
          </w:p>
        </w:tc>
        <w:tc>
          <w:tcPr>
            <w:tcW w:w="1574" w:type="pct"/>
            <w:vMerge w:val="continue"/>
            <w:vAlign w:val="center"/>
          </w:tcPr>
          <w:p w14:paraId="14301575">
            <w:pPr>
              <w:adjustRightInd w:val="0"/>
              <w:snapToGrid w:val="0"/>
              <w:jc w:val="center"/>
              <w:rPr>
                <w:rFonts w:hint="default" w:ascii="Times New Roman" w:hAnsi="Times New Roman" w:eastAsia="宋体" w:cs="Times New Roman"/>
                <w:color w:val="auto"/>
                <w:sz w:val="21"/>
                <w:szCs w:val="21"/>
              </w:rPr>
            </w:pPr>
          </w:p>
        </w:tc>
      </w:tr>
      <w:tr w14:paraId="6CA5F3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3089432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镉及其化合物</w:t>
            </w:r>
          </w:p>
        </w:tc>
        <w:tc>
          <w:tcPr>
            <w:tcW w:w="1718" w:type="pct"/>
            <w:vAlign w:val="center"/>
          </w:tcPr>
          <w:p w14:paraId="4E4B82BF">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0.0002</w:t>
            </w:r>
          </w:p>
        </w:tc>
        <w:tc>
          <w:tcPr>
            <w:tcW w:w="1574" w:type="pct"/>
            <w:vMerge w:val="continue"/>
            <w:vAlign w:val="center"/>
          </w:tcPr>
          <w:p w14:paraId="3C9DCB1E">
            <w:pPr>
              <w:adjustRightInd w:val="0"/>
              <w:snapToGrid w:val="0"/>
              <w:jc w:val="center"/>
              <w:rPr>
                <w:rFonts w:hint="default" w:ascii="Times New Roman" w:hAnsi="Times New Roman" w:eastAsia="宋体" w:cs="Times New Roman"/>
                <w:color w:val="auto"/>
                <w:sz w:val="21"/>
                <w:szCs w:val="21"/>
              </w:rPr>
            </w:pPr>
          </w:p>
        </w:tc>
      </w:tr>
      <w:tr w14:paraId="04058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671D204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铬及其化合物</w:t>
            </w:r>
          </w:p>
        </w:tc>
        <w:tc>
          <w:tcPr>
            <w:tcW w:w="1718" w:type="pct"/>
            <w:vAlign w:val="center"/>
          </w:tcPr>
          <w:p w14:paraId="74AB600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6D50AF4A">
            <w:pPr>
              <w:adjustRightInd w:val="0"/>
              <w:snapToGrid w:val="0"/>
              <w:jc w:val="center"/>
              <w:rPr>
                <w:rFonts w:hint="default" w:ascii="Times New Roman" w:hAnsi="Times New Roman" w:eastAsia="宋体" w:cs="Times New Roman"/>
                <w:color w:val="auto"/>
                <w:sz w:val="21"/>
                <w:szCs w:val="21"/>
              </w:rPr>
            </w:pPr>
          </w:p>
        </w:tc>
      </w:tr>
      <w:tr w14:paraId="3A6A08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706" w:type="pct"/>
            <w:vAlign w:val="center"/>
          </w:tcPr>
          <w:p w14:paraId="623FFA6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1718" w:type="pct"/>
            <w:vAlign w:val="center"/>
          </w:tcPr>
          <w:p w14:paraId="79D89937">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574" w:type="pct"/>
            <w:vAlign w:val="center"/>
          </w:tcPr>
          <w:p w14:paraId="7DBDC667">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《大气污染物综合排放标准》</w:t>
            </w:r>
          </w:p>
          <w:p w14:paraId="2AC1D938">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（GB16297-1996）</w:t>
            </w:r>
          </w:p>
        </w:tc>
      </w:tr>
    </w:tbl>
    <w:p w14:paraId="5FEA5EA8">
      <w:pPr>
        <w:adjustRightInd w:val="0"/>
        <w:snapToGrid w:val="0"/>
        <w:spacing w:before="152" w:beforeLines="50" w:line="360" w:lineRule="auto"/>
        <w:ind w:firstLine="482" w:firstLineChars="200"/>
        <w:rPr>
          <w:rFonts w:hint="default" w:ascii="Times New Roman" w:hAnsi="Times New Roman" w:eastAsia="宋体" w:cs="Times New Roman"/>
          <w:color w:val="auto"/>
          <w:kern w:val="0"/>
          <w:sz w:val="24"/>
          <w:szCs w:val="20"/>
        </w:rPr>
      </w:pPr>
      <w:bookmarkStart w:id="118" w:name="_Toc15749"/>
      <w:bookmarkStart w:id="119" w:name="_Toc15765"/>
      <w:bookmarkStart w:id="120" w:name="_Toc16606"/>
      <w:r>
        <w:rPr>
          <w:b/>
          <w:bCs/>
          <w:color w:val="auto"/>
          <w:sz w:val="24"/>
        </w:rPr>
        <w:t>后评价阶段：</w:t>
      </w:r>
      <w:bookmarkStart w:id="121" w:name="OLE_LINK487"/>
      <w:r>
        <w:rPr>
          <w:rFonts w:hint="eastAsia" w:cs="Times New Roman"/>
          <w:color w:val="auto"/>
          <w:kern w:val="0"/>
          <w:sz w:val="24"/>
          <w:szCs w:val="20"/>
          <w:lang w:val="en-US" w:eastAsia="zh-CN"/>
        </w:rPr>
        <w:t>DA001排气筒排放</w:t>
      </w:r>
      <w:r>
        <w:rPr>
          <w:rFonts w:hint="default" w:ascii="Times New Roman" w:hAnsi="Times New Roman" w:eastAsia="宋体" w:cs="Times New Roman"/>
          <w:color w:val="auto"/>
          <w:kern w:val="0"/>
          <w:sz w:val="24"/>
          <w:szCs w:val="20"/>
        </w:rPr>
        <w:t>SO</w:t>
      </w:r>
      <w:r>
        <w:rPr>
          <w:rFonts w:hint="default" w:ascii="Times New Roman" w:hAnsi="Times New Roman" w:eastAsia="宋体" w:cs="Times New Roman"/>
          <w:color w:val="auto"/>
          <w:kern w:val="0"/>
          <w:sz w:val="24"/>
          <w:szCs w:val="20"/>
          <w:vertAlign w:val="subscript"/>
        </w:rPr>
        <w:t>2</w:t>
      </w:r>
      <w:r>
        <w:rPr>
          <w:rFonts w:hint="default" w:ascii="Times New Roman" w:hAnsi="Times New Roman" w:eastAsia="宋体" w:cs="Times New Roman"/>
          <w:color w:val="auto"/>
          <w:kern w:val="0"/>
          <w:sz w:val="24"/>
          <w:szCs w:val="20"/>
        </w:rPr>
        <w:t>、NO</w:t>
      </w:r>
      <w:r>
        <w:rPr>
          <w:rFonts w:hint="default" w:ascii="Times New Roman" w:hAnsi="Times New Roman" w:eastAsia="宋体" w:cs="Times New Roman"/>
          <w:color w:val="auto"/>
          <w:kern w:val="0"/>
          <w:sz w:val="24"/>
          <w:szCs w:val="20"/>
          <w:vertAlign w:val="subscript"/>
        </w:rPr>
        <w:t>x</w:t>
      </w:r>
      <w:r>
        <w:rPr>
          <w:rFonts w:hint="default" w:ascii="Times New Roman" w:hAnsi="Times New Roman" w:eastAsia="宋体" w:cs="Times New Roman"/>
          <w:color w:val="auto"/>
          <w:kern w:val="0"/>
          <w:sz w:val="24"/>
          <w:szCs w:val="20"/>
        </w:rPr>
        <w:t>、颗粒物、氯化氢、</w:t>
      </w:r>
      <w:r>
        <w:rPr>
          <w:rFonts w:hint="eastAsia" w:ascii="Times New Roman" w:hAnsi="Times New Roman" w:eastAsia="宋体" w:cs="Times New Roman"/>
          <w:color w:val="auto"/>
          <w:kern w:val="0"/>
          <w:sz w:val="24"/>
          <w:szCs w:val="20"/>
          <w:lang w:eastAsia="zh-CN"/>
        </w:rPr>
        <w:t>氟化物</w:t>
      </w:r>
      <w:r>
        <w:rPr>
          <w:rFonts w:hint="default" w:ascii="Times New Roman" w:hAnsi="Times New Roman" w:eastAsia="宋体" w:cs="Times New Roman"/>
          <w:color w:val="auto"/>
          <w:kern w:val="0"/>
          <w:sz w:val="24"/>
          <w:szCs w:val="20"/>
        </w:rPr>
        <w:t>、二噁英类、砷及其化合物、铅及其化合物、锡及其化合物、镉及其化合物、铬及其化合物</w:t>
      </w:r>
      <w:bookmarkEnd w:id="121"/>
      <w:r>
        <w:rPr>
          <w:rFonts w:hint="default" w:ascii="Times New Roman" w:hAnsi="Times New Roman" w:eastAsia="宋体" w:cs="Times New Roman"/>
          <w:color w:val="auto"/>
          <w:kern w:val="0"/>
          <w:sz w:val="24"/>
          <w:szCs w:val="20"/>
        </w:rPr>
        <w:t>等执行</w:t>
      </w:r>
      <w:bookmarkStart w:id="122" w:name="OLE_LINK488"/>
      <w:r>
        <w:rPr>
          <w:rFonts w:hint="default" w:ascii="Times New Roman" w:hAnsi="Times New Roman" w:eastAsia="宋体" w:cs="Times New Roman"/>
          <w:color w:val="auto"/>
          <w:kern w:val="0"/>
          <w:sz w:val="24"/>
          <w:szCs w:val="20"/>
        </w:rPr>
        <w:t>《再生铜、铝、铅、锌工业污染物排放标准》（GB31574-2015）表4大气污染物特别排放限值</w:t>
      </w:r>
      <w:bookmarkEnd w:id="122"/>
      <w:r>
        <w:rPr>
          <w:rFonts w:hint="eastAsia" w:cs="Times New Roman"/>
          <w:color w:val="auto"/>
          <w:kern w:val="0"/>
          <w:sz w:val="24"/>
          <w:szCs w:val="20"/>
          <w:lang w:eastAsia="zh-CN"/>
        </w:rPr>
        <w:t>；</w:t>
      </w:r>
      <w:r>
        <w:rPr>
          <w:rFonts w:hint="default" w:ascii="Times New Roman" w:hAnsi="Times New Roman" w:eastAsia="宋体" w:cs="Times New Roman"/>
          <w:color w:val="auto"/>
          <w:kern w:val="0"/>
          <w:sz w:val="24"/>
          <w:szCs w:val="20"/>
        </w:rPr>
        <w:t>无组织废气氯化氢、</w:t>
      </w:r>
      <w:r>
        <w:rPr>
          <w:rFonts w:hint="eastAsia" w:ascii="Times New Roman" w:hAnsi="Times New Roman" w:eastAsia="宋体" w:cs="Times New Roman"/>
          <w:color w:val="auto"/>
          <w:kern w:val="0"/>
          <w:sz w:val="24"/>
          <w:szCs w:val="20"/>
          <w:lang w:eastAsia="zh-CN"/>
        </w:rPr>
        <w:t>氟化物</w:t>
      </w:r>
      <w:r>
        <w:rPr>
          <w:rFonts w:hint="default" w:ascii="Times New Roman" w:hAnsi="Times New Roman" w:eastAsia="宋体" w:cs="Times New Roman"/>
          <w:color w:val="auto"/>
          <w:kern w:val="0"/>
          <w:sz w:val="24"/>
          <w:szCs w:val="20"/>
        </w:rPr>
        <w:t>、砷及其化合物、铅及其化合物、锡及其化合物、镉及其化合物、铬及其化合物等污染物排放限值执行《再生铜、铝、铅、锌工业污染物排放标准》（GB31574-2015）表5 企业边界大气污染物限值</w:t>
      </w:r>
      <w:r>
        <w:rPr>
          <w:rFonts w:hint="eastAsia" w:cs="Times New Roman"/>
          <w:color w:val="auto"/>
          <w:kern w:val="0"/>
          <w:sz w:val="24"/>
          <w:szCs w:val="20"/>
          <w:lang w:eastAsia="zh-CN"/>
        </w:rPr>
        <w:t>；</w:t>
      </w:r>
      <w:r>
        <w:rPr>
          <w:rFonts w:hint="eastAsia" w:cs="Times New Roman"/>
          <w:color w:val="auto"/>
          <w:kern w:val="0"/>
          <w:sz w:val="24"/>
          <w:szCs w:val="20"/>
          <w:lang w:val="en-US" w:eastAsia="zh-CN"/>
        </w:rPr>
        <w:t>DA002排气筒排放氨执行《恶臭污染物排放标准》(GB14554-93)中排放限值，</w:t>
      </w:r>
      <w:r>
        <w:rPr>
          <w:rFonts w:hint="default" w:ascii="Times New Roman" w:hAnsi="Times New Roman" w:eastAsia="宋体" w:cs="Times New Roman"/>
          <w:color w:val="auto"/>
          <w:sz w:val="24"/>
          <w:szCs w:val="22"/>
        </w:rPr>
        <w:t>无组织排放的颗粒物厂界监控浓度执行《大气污染物综合排放标准》（GB16297-1996）表2无组织排放浓度限值</w:t>
      </w:r>
      <w:r>
        <w:rPr>
          <w:rFonts w:hint="default" w:ascii="Times New Roman" w:hAnsi="Times New Roman" w:eastAsia="宋体" w:cs="Times New Roman"/>
          <w:color w:val="auto"/>
          <w:kern w:val="0"/>
          <w:sz w:val="24"/>
          <w:szCs w:val="20"/>
        </w:rPr>
        <w:t>。</w:t>
      </w:r>
    </w:p>
    <w:p w14:paraId="6B3EB4B4">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12</w:t>
      </w:r>
      <w:r>
        <w:rPr>
          <w:b/>
          <w:bCs/>
          <w:color w:val="auto"/>
          <w:sz w:val="24"/>
          <w:szCs w:val="32"/>
        </w:rPr>
        <w:t xml:space="preserve"> </w:t>
      </w:r>
      <w:r>
        <w:rPr>
          <w:b/>
          <w:bCs/>
          <w:color w:val="auto"/>
          <w:sz w:val="24"/>
        </w:rPr>
        <w:t>后评价阶段</w:t>
      </w:r>
      <w:r>
        <w:rPr>
          <w:rFonts w:hint="eastAsia" w:ascii="Times New Roman" w:hAnsi="Times New Roman" w:eastAsia="宋体" w:cs="Times New Roman"/>
          <w:b/>
          <w:bCs/>
          <w:color w:val="auto"/>
          <w:sz w:val="24"/>
          <w:szCs w:val="24"/>
          <w:lang w:val="en-US" w:eastAsia="zh-CN"/>
        </w:rPr>
        <w:t>项目有组织废气污染物排放执行标准</w:t>
      </w:r>
    </w:p>
    <w:tbl>
      <w:tblPr>
        <w:tblStyle w:val="31"/>
        <w:tblW w:w="4993"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1635"/>
        <w:gridCol w:w="1831"/>
        <w:gridCol w:w="2002"/>
        <w:gridCol w:w="2414"/>
        <w:gridCol w:w="2066"/>
      </w:tblGrid>
      <w:tr w14:paraId="1A8C23D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vMerge w:val="restart"/>
            <w:tcBorders>
              <w:tl2br w:val="nil"/>
              <w:tr2bl w:val="nil"/>
            </w:tcBorders>
            <w:shd w:val="clear" w:color="auto" w:fill="auto"/>
            <w:noWrap w:val="0"/>
            <w:vAlign w:val="center"/>
          </w:tcPr>
          <w:p w14:paraId="3FF67164">
            <w:pPr>
              <w:spacing w:before="31" w:beforeLines="10" w:line="264" w:lineRule="auto"/>
              <w:jc w:val="center"/>
              <w:rPr>
                <w:b/>
                <w:color w:val="auto"/>
              </w:rPr>
            </w:pPr>
            <w:r>
              <w:rPr>
                <w:b/>
                <w:color w:val="auto"/>
              </w:rPr>
              <w:t>污染物项目</w:t>
            </w:r>
          </w:p>
        </w:tc>
        <w:tc>
          <w:tcPr>
            <w:tcW w:w="3139" w:type="pct"/>
            <w:gridSpan w:val="3"/>
            <w:tcBorders>
              <w:tl2br w:val="nil"/>
              <w:tr2bl w:val="nil"/>
            </w:tcBorders>
            <w:shd w:val="clear" w:color="auto" w:fill="auto"/>
            <w:noWrap w:val="0"/>
            <w:vAlign w:val="center"/>
          </w:tcPr>
          <w:p w14:paraId="00759600">
            <w:pPr>
              <w:spacing w:before="31" w:beforeLines="10" w:line="264" w:lineRule="auto"/>
              <w:jc w:val="center"/>
              <w:rPr>
                <w:b/>
                <w:color w:val="auto"/>
              </w:rPr>
            </w:pPr>
            <w:r>
              <w:rPr>
                <w:b/>
                <w:color w:val="auto"/>
              </w:rPr>
              <w:t>新建企业大气污染物排放限值</w:t>
            </w:r>
          </w:p>
        </w:tc>
        <w:tc>
          <w:tcPr>
            <w:tcW w:w="1038" w:type="pct"/>
            <w:vMerge w:val="restart"/>
            <w:tcBorders>
              <w:tl2br w:val="nil"/>
              <w:tr2bl w:val="nil"/>
            </w:tcBorders>
            <w:shd w:val="clear" w:color="auto" w:fill="auto"/>
            <w:noWrap w:val="0"/>
            <w:vAlign w:val="center"/>
          </w:tcPr>
          <w:p w14:paraId="49A0ED96">
            <w:pPr>
              <w:spacing w:before="31" w:beforeLines="10" w:line="264" w:lineRule="auto"/>
              <w:jc w:val="center"/>
              <w:rPr>
                <w:b/>
                <w:color w:val="auto"/>
              </w:rPr>
            </w:pPr>
            <w:r>
              <w:rPr>
                <w:b/>
                <w:color w:val="auto"/>
              </w:rPr>
              <w:t>标准来源</w:t>
            </w:r>
          </w:p>
        </w:tc>
      </w:tr>
      <w:tr w14:paraId="088E70C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vMerge w:val="continue"/>
            <w:tcBorders>
              <w:tl2br w:val="nil"/>
              <w:tr2bl w:val="nil"/>
            </w:tcBorders>
            <w:shd w:val="clear" w:color="auto" w:fill="auto"/>
            <w:noWrap w:val="0"/>
            <w:vAlign w:val="center"/>
          </w:tcPr>
          <w:p w14:paraId="0290ADD2">
            <w:pPr>
              <w:spacing w:before="31" w:beforeLines="10" w:line="264" w:lineRule="auto"/>
              <w:jc w:val="center"/>
              <w:rPr>
                <w:b/>
                <w:color w:val="auto"/>
              </w:rPr>
            </w:pPr>
          </w:p>
        </w:tc>
        <w:tc>
          <w:tcPr>
            <w:tcW w:w="920" w:type="pct"/>
            <w:tcBorders>
              <w:tl2br w:val="nil"/>
              <w:tr2bl w:val="nil"/>
            </w:tcBorders>
            <w:shd w:val="clear" w:color="auto" w:fill="auto"/>
            <w:noWrap w:val="0"/>
            <w:vAlign w:val="center"/>
          </w:tcPr>
          <w:p w14:paraId="2357BFF1">
            <w:pPr>
              <w:spacing w:before="31" w:beforeLines="10" w:line="264" w:lineRule="auto"/>
              <w:jc w:val="center"/>
              <w:rPr>
                <w:b/>
                <w:color w:val="auto"/>
              </w:rPr>
            </w:pPr>
            <w:r>
              <w:rPr>
                <w:rFonts w:hint="eastAsia"/>
                <w:b/>
                <w:color w:val="auto"/>
                <w:szCs w:val="21"/>
                <w:lang w:val="en-US" w:eastAsia="zh-CN"/>
              </w:rPr>
              <w:t>排放浓度</w:t>
            </w:r>
            <w:r>
              <w:rPr>
                <w:b/>
                <w:color w:val="auto"/>
                <w:szCs w:val="21"/>
              </w:rPr>
              <w:t>(mg/m</w:t>
            </w:r>
            <w:r>
              <w:rPr>
                <w:b/>
                <w:color w:val="auto"/>
                <w:szCs w:val="21"/>
                <w:vertAlign w:val="superscript"/>
              </w:rPr>
              <w:t>3</w:t>
            </w:r>
            <w:r>
              <w:rPr>
                <w:b/>
                <w:color w:val="auto"/>
                <w:szCs w:val="21"/>
              </w:rPr>
              <w:t>)</w:t>
            </w:r>
          </w:p>
        </w:tc>
        <w:tc>
          <w:tcPr>
            <w:tcW w:w="1005" w:type="pct"/>
            <w:tcBorders>
              <w:tl2br w:val="nil"/>
              <w:tr2bl w:val="nil"/>
            </w:tcBorders>
            <w:shd w:val="clear" w:color="auto" w:fill="auto"/>
            <w:noWrap w:val="0"/>
            <w:vAlign w:val="center"/>
          </w:tcPr>
          <w:p w14:paraId="2E491548">
            <w:pPr>
              <w:spacing w:before="31" w:beforeLines="10" w:line="264" w:lineRule="auto"/>
              <w:jc w:val="center"/>
              <w:rPr>
                <w:rFonts w:hint="default"/>
                <w:b/>
                <w:color w:val="auto"/>
                <w:szCs w:val="21"/>
                <w:lang w:val="en-US" w:eastAsia="zh-CN"/>
              </w:rPr>
            </w:pPr>
            <w:r>
              <w:rPr>
                <w:rFonts w:hint="eastAsia"/>
                <w:b/>
                <w:color w:val="auto"/>
                <w:szCs w:val="21"/>
                <w:lang w:val="en-US" w:eastAsia="zh-CN"/>
              </w:rPr>
              <w:t>排放速率（kg/h）</w:t>
            </w:r>
          </w:p>
        </w:tc>
        <w:tc>
          <w:tcPr>
            <w:tcW w:w="1213" w:type="pct"/>
            <w:tcBorders>
              <w:tl2br w:val="nil"/>
              <w:tr2bl w:val="nil"/>
            </w:tcBorders>
            <w:shd w:val="clear" w:color="auto" w:fill="auto"/>
            <w:noWrap w:val="0"/>
            <w:vAlign w:val="center"/>
          </w:tcPr>
          <w:p w14:paraId="2C73CEFE">
            <w:pPr>
              <w:spacing w:before="31" w:beforeLines="10" w:line="264" w:lineRule="auto"/>
              <w:jc w:val="center"/>
              <w:rPr>
                <w:b/>
                <w:color w:val="auto"/>
              </w:rPr>
            </w:pPr>
            <w:r>
              <w:rPr>
                <w:b/>
                <w:color w:val="auto"/>
                <w:szCs w:val="21"/>
              </w:rPr>
              <w:t>污染物排放监控位置</w:t>
            </w:r>
          </w:p>
        </w:tc>
        <w:tc>
          <w:tcPr>
            <w:tcW w:w="1038" w:type="pct"/>
            <w:vMerge w:val="continue"/>
            <w:tcBorders>
              <w:tl2br w:val="nil"/>
              <w:tr2bl w:val="nil"/>
            </w:tcBorders>
            <w:shd w:val="clear" w:color="auto" w:fill="auto"/>
            <w:noWrap w:val="0"/>
            <w:vAlign w:val="center"/>
          </w:tcPr>
          <w:p w14:paraId="28DFE386">
            <w:pPr>
              <w:spacing w:before="31" w:beforeLines="10" w:line="264" w:lineRule="auto"/>
              <w:jc w:val="center"/>
              <w:rPr>
                <w:b/>
                <w:color w:val="auto"/>
              </w:rPr>
            </w:pPr>
          </w:p>
        </w:tc>
      </w:tr>
      <w:tr w14:paraId="79C8171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5B14AC5F">
            <w:pPr>
              <w:spacing w:before="31" w:beforeLines="10" w:line="264" w:lineRule="auto"/>
              <w:jc w:val="center"/>
              <w:rPr>
                <w:color w:val="auto"/>
                <w:szCs w:val="21"/>
              </w:rPr>
            </w:pPr>
            <w:r>
              <w:rPr>
                <w:color w:val="auto"/>
                <w:szCs w:val="21"/>
              </w:rPr>
              <w:t>颗粒物</w:t>
            </w:r>
          </w:p>
        </w:tc>
        <w:tc>
          <w:tcPr>
            <w:tcW w:w="920" w:type="pct"/>
            <w:tcBorders>
              <w:tl2br w:val="nil"/>
              <w:tr2bl w:val="nil"/>
            </w:tcBorders>
            <w:shd w:val="clear" w:color="auto" w:fill="auto"/>
            <w:noWrap w:val="0"/>
            <w:vAlign w:val="center"/>
          </w:tcPr>
          <w:p w14:paraId="49BFA6F5">
            <w:pPr>
              <w:spacing w:before="31" w:beforeLines="10" w:line="264" w:lineRule="auto"/>
              <w:jc w:val="center"/>
              <w:rPr>
                <w:color w:val="auto"/>
                <w:szCs w:val="21"/>
              </w:rPr>
            </w:pPr>
            <w:r>
              <w:rPr>
                <w:color w:val="auto"/>
                <w:szCs w:val="21"/>
              </w:rPr>
              <w:t>30</w:t>
            </w:r>
          </w:p>
        </w:tc>
        <w:tc>
          <w:tcPr>
            <w:tcW w:w="1005" w:type="pct"/>
            <w:tcBorders>
              <w:tl2br w:val="nil"/>
              <w:tr2bl w:val="nil"/>
            </w:tcBorders>
            <w:shd w:val="clear" w:color="auto" w:fill="auto"/>
            <w:noWrap w:val="0"/>
            <w:vAlign w:val="center"/>
          </w:tcPr>
          <w:p w14:paraId="306D03CE">
            <w:pPr>
              <w:spacing w:before="31" w:beforeLines="10" w:line="264" w:lineRule="auto"/>
              <w:jc w:val="center"/>
              <w:rPr>
                <w:rFonts w:hint="eastAsia" w:eastAsia="宋体"/>
                <w:color w:val="auto"/>
                <w:szCs w:val="21"/>
                <w:lang w:val="en-US" w:eastAsia="zh-CN"/>
              </w:rPr>
            </w:pPr>
            <w:r>
              <w:rPr>
                <w:rFonts w:hint="eastAsia"/>
                <w:color w:val="auto"/>
                <w:szCs w:val="21"/>
                <w:lang w:val="en-US" w:eastAsia="zh-CN"/>
              </w:rPr>
              <w:t>/</w:t>
            </w:r>
          </w:p>
        </w:tc>
        <w:tc>
          <w:tcPr>
            <w:tcW w:w="1213" w:type="pct"/>
            <w:vMerge w:val="restart"/>
            <w:tcBorders>
              <w:tl2br w:val="nil"/>
              <w:tr2bl w:val="nil"/>
            </w:tcBorders>
            <w:shd w:val="clear" w:color="auto" w:fill="auto"/>
            <w:noWrap w:val="0"/>
            <w:vAlign w:val="center"/>
          </w:tcPr>
          <w:p w14:paraId="59DEEED2">
            <w:pPr>
              <w:spacing w:before="31" w:beforeLines="10" w:line="264" w:lineRule="auto"/>
              <w:jc w:val="center"/>
              <w:rPr>
                <w:color w:val="auto"/>
                <w:szCs w:val="21"/>
              </w:rPr>
            </w:pPr>
            <w:r>
              <w:rPr>
                <w:rFonts w:hint="eastAsia"/>
                <w:color w:val="auto"/>
                <w:szCs w:val="21"/>
                <w:lang w:val="en-US" w:eastAsia="zh-CN"/>
              </w:rPr>
              <w:t>DA001</w:t>
            </w:r>
            <w:r>
              <w:rPr>
                <w:color w:val="auto"/>
                <w:szCs w:val="21"/>
              </w:rPr>
              <w:t>排气筒</w:t>
            </w:r>
          </w:p>
        </w:tc>
        <w:tc>
          <w:tcPr>
            <w:tcW w:w="1038" w:type="pct"/>
            <w:vMerge w:val="restart"/>
            <w:tcBorders>
              <w:tl2br w:val="nil"/>
              <w:tr2bl w:val="nil"/>
            </w:tcBorders>
            <w:shd w:val="clear" w:color="auto" w:fill="auto"/>
            <w:noWrap w:val="0"/>
            <w:vAlign w:val="center"/>
          </w:tcPr>
          <w:p w14:paraId="126A109D">
            <w:pPr>
              <w:spacing w:before="31" w:beforeLines="10" w:line="264" w:lineRule="auto"/>
              <w:jc w:val="center"/>
              <w:rPr>
                <w:b/>
                <w:color w:val="auto"/>
                <w:szCs w:val="21"/>
              </w:rPr>
            </w:pPr>
            <w:r>
              <w:rPr>
                <w:color w:val="auto"/>
                <w:szCs w:val="21"/>
              </w:rPr>
              <w:t>《再生铜、铝、铅、锌工业污染物排放标准》（GB 31574-2015）</w:t>
            </w:r>
          </w:p>
        </w:tc>
      </w:tr>
      <w:tr w14:paraId="291AEDE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6987C35B">
            <w:pPr>
              <w:spacing w:before="31" w:beforeLines="10" w:line="264" w:lineRule="auto"/>
              <w:jc w:val="center"/>
              <w:rPr>
                <w:color w:val="auto"/>
                <w:szCs w:val="21"/>
              </w:rPr>
            </w:pPr>
            <w:r>
              <w:rPr>
                <w:color w:val="auto"/>
                <w:szCs w:val="21"/>
              </w:rPr>
              <w:t>SO</w:t>
            </w:r>
            <w:r>
              <w:rPr>
                <w:color w:val="auto"/>
                <w:szCs w:val="21"/>
                <w:vertAlign w:val="subscript"/>
              </w:rPr>
              <w:t>2</w:t>
            </w:r>
          </w:p>
        </w:tc>
        <w:tc>
          <w:tcPr>
            <w:tcW w:w="920" w:type="pct"/>
            <w:tcBorders>
              <w:tl2br w:val="nil"/>
              <w:tr2bl w:val="nil"/>
            </w:tcBorders>
            <w:shd w:val="clear" w:color="auto" w:fill="auto"/>
            <w:noWrap w:val="0"/>
            <w:vAlign w:val="center"/>
          </w:tcPr>
          <w:p w14:paraId="62A5A0DD">
            <w:pPr>
              <w:spacing w:before="31" w:beforeLines="10" w:line="264" w:lineRule="auto"/>
              <w:jc w:val="center"/>
              <w:rPr>
                <w:color w:val="auto"/>
                <w:szCs w:val="21"/>
              </w:rPr>
            </w:pPr>
            <w:r>
              <w:rPr>
                <w:color w:val="auto"/>
                <w:szCs w:val="21"/>
              </w:rPr>
              <w:t>150</w:t>
            </w:r>
          </w:p>
        </w:tc>
        <w:tc>
          <w:tcPr>
            <w:tcW w:w="1005" w:type="pct"/>
            <w:tcBorders>
              <w:tl2br w:val="nil"/>
              <w:tr2bl w:val="nil"/>
            </w:tcBorders>
            <w:shd w:val="clear" w:color="auto" w:fill="auto"/>
            <w:noWrap w:val="0"/>
            <w:vAlign w:val="center"/>
          </w:tcPr>
          <w:p w14:paraId="523C0991">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2DA02C00">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4128C5F7">
            <w:pPr>
              <w:spacing w:before="31" w:beforeLines="10" w:line="264" w:lineRule="auto"/>
              <w:jc w:val="center"/>
              <w:rPr>
                <w:b/>
                <w:color w:val="auto"/>
                <w:szCs w:val="21"/>
              </w:rPr>
            </w:pPr>
          </w:p>
        </w:tc>
      </w:tr>
      <w:tr w14:paraId="7A0CE6A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6F2E864A">
            <w:pPr>
              <w:spacing w:before="31" w:beforeLines="10" w:line="264" w:lineRule="auto"/>
              <w:jc w:val="center"/>
              <w:rPr>
                <w:color w:val="auto"/>
                <w:szCs w:val="21"/>
              </w:rPr>
            </w:pPr>
            <w:r>
              <w:rPr>
                <w:color w:val="auto"/>
                <w:szCs w:val="21"/>
              </w:rPr>
              <w:t>NO</w:t>
            </w:r>
            <w:r>
              <w:rPr>
                <w:color w:val="auto"/>
                <w:szCs w:val="21"/>
                <w:vertAlign w:val="subscript"/>
              </w:rPr>
              <w:t>X</w:t>
            </w:r>
          </w:p>
        </w:tc>
        <w:tc>
          <w:tcPr>
            <w:tcW w:w="920" w:type="pct"/>
            <w:tcBorders>
              <w:tl2br w:val="nil"/>
              <w:tr2bl w:val="nil"/>
            </w:tcBorders>
            <w:shd w:val="clear" w:color="auto" w:fill="auto"/>
            <w:noWrap w:val="0"/>
            <w:vAlign w:val="center"/>
          </w:tcPr>
          <w:p w14:paraId="5B4FAD06">
            <w:pPr>
              <w:spacing w:before="31" w:beforeLines="10" w:line="264" w:lineRule="auto"/>
              <w:jc w:val="center"/>
              <w:rPr>
                <w:color w:val="auto"/>
                <w:szCs w:val="21"/>
              </w:rPr>
            </w:pPr>
            <w:r>
              <w:rPr>
                <w:color w:val="auto"/>
                <w:szCs w:val="21"/>
              </w:rPr>
              <w:t>200</w:t>
            </w:r>
          </w:p>
        </w:tc>
        <w:tc>
          <w:tcPr>
            <w:tcW w:w="1005" w:type="pct"/>
            <w:tcBorders>
              <w:tl2br w:val="nil"/>
              <w:tr2bl w:val="nil"/>
            </w:tcBorders>
            <w:shd w:val="clear" w:color="auto" w:fill="auto"/>
            <w:noWrap w:val="0"/>
            <w:vAlign w:val="center"/>
          </w:tcPr>
          <w:p w14:paraId="5F24ED93">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26934F94">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273FD53B">
            <w:pPr>
              <w:spacing w:before="31" w:beforeLines="10" w:line="264" w:lineRule="auto"/>
              <w:jc w:val="center"/>
              <w:rPr>
                <w:b/>
                <w:color w:val="auto"/>
                <w:szCs w:val="21"/>
              </w:rPr>
            </w:pPr>
          </w:p>
        </w:tc>
      </w:tr>
      <w:tr w14:paraId="7E67993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3A6CF101">
            <w:pPr>
              <w:spacing w:before="31" w:beforeLines="10" w:line="264" w:lineRule="auto"/>
              <w:jc w:val="center"/>
              <w:rPr>
                <w:color w:val="auto"/>
                <w:szCs w:val="21"/>
              </w:rPr>
            </w:pPr>
            <w:r>
              <w:rPr>
                <w:color w:val="auto"/>
                <w:szCs w:val="21"/>
              </w:rPr>
              <w:t>氟化物</w:t>
            </w:r>
          </w:p>
        </w:tc>
        <w:tc>
          <w:tcPr>
            <w:tcW w:w="920" w:type="pct"/>
            <w:tcBorders>
              <w:tl2br w:val="nil"/>
              <w:tr2bl w:val="nil"/>
            </w:tcBorders>
            <w:shd w:val="clear" w:color="auto" w:fill="auto"/>
            <w:noWrap w:val="0"/>
            <w:vAlign w:val="center"/>
          </w:tcPr>
          <w:p w14:paraId="1D02B650">
            <w:pPr>
              <w:spacing w:before="31" w:beforeLines="10" w:line="264" w:lineRule="auto"/>
              <w:jc w:val="center"/>
              <w:rPr>
                <w:color w:val="auto"/>
                <w:szCs w:val="21"/>
              </w:rPr>
            </w:pPr>
            <w:r>
              <w:rPr>
                <w:color w:val="auto"/>
                <w:szCs w:val="21"/>
              </w:rPr>
              <w:t>3</w:t>
            </w:r>
          </w:p>
        </w:tc>
        <w:tc>
          <w:tcPr>
            <w:tcW w:w="1005" w:type="pct"/>
            <w:tcBorders>
              <w:tl2br w:val="nil"/>
              <w:tr2bl w:val="nil"/>
            </w:tcBorders>
            <w:shd w:val="clear" w:color="auto" w:fill="auto"/>
            <w:noWrap w:val="0"/>
            <w:vAlign w:val="center"/>
          </w:tcPr>
          <w:p w14:paraId="2966C292">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3637F2F0">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5C85577D">
            <w:pPr>
              <w:spacing w:before="31" w:beforeLines="10" w:line="264" w:lineRule="auto"/>
              <w:jc w:val="center"/>
              <w:rPr>
                <w:b/>
                <w:color w:val="auto"/>
                <w:szCs w:val="21"/>
              </w:rPr>
            </w:pPr>
          </w:p>
        </w:tc>
      </w:tr>
      <w:tr w14:paraId="019ED62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76D8FF56">
            <w:pPr>
              <w:spacing w:before="31" w:beforeLines="10" w:line="264" w:lineRule="auto"/>
              <w:jc w:val="center"/>
              <w:rPr>
                <w:color w:val="auto"/>
                <w:szCs w:val="21"/>
              </w:rPr>
            </w:pPr>
            <w:r>
              <w:rPr>
                <w:color w:val="auto"/>
                <w:szCs w:val="21"/>
              </w:rPr>
              <w:t>HCl</w:t>
            </w:r>
          </w:p>
        </w:tc>
        <w:tc>
          <w:tcPr>
            <w:tcW w:w="920" w:type="pct"/>
            <w:tcBorders>
              <w:tl2br w:val="nil"/>
              <w:tr2bl w:val="nil"/>
            </w:tcBorders>
            <w:shd w:val="clear" w:color="auto" w:fill="auto"/>
            <w:noWrap w:val="0"/>
            <w:vAlign w:val="center"/>
          </w:tcPr>
          <w:p w14:paraId="6D051DCD">
            <w:pPr>
              <w:spacing w:before="31" w:beforeLines="10" w:line="264" w:lineRule="auto"/>
              <w:jc w:val="center"/>
              <w:rPr>
                <w:color w:val="auto"/>
                <w:szCs w:val="21"/>
              </w:rPr>
            </w:pPr>
            <w:r>
              <w:rPr>
                <w:color w:val="auto"/>
                <w:szCs w:val="21"/>
              </w:rPr>
              <w:t>30</w:t>
            </w:r>
          </w:p>
        </w:tc>
        <w:tc>
          <w:tcPr>
            <w:tcW w:w="1005" w:type="pct"/>
            <w:tcBorders>
              <w:tl2br w:val="nil"/>
              <w:tr2bl w:val="nil"/>
            </w:tcBorders>
            <w:shd w:val="clear" w:color="auto" w:fill="auto"/>
            <w:noWrap w:val="0"/>
            <w:vAlign w:val="center"/>
          </w:tcPr>
          <w:p w14:paraId="41BD04CE">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67975A31">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11011DB1">
            <w:pPr>
              <w:spacing w:before="31" w:beforeLines="10" w:line="264" w:lineRule="auto"/>
              <w:jc w:val="center"/>
              <w:rPr>
                <w:b/>
                <w:color w:val="auto"/>
                <w:szCs w:val="21"/>
              </w:rPr>
            </w:pPr>
          </w:p>
        </w:tc>
      </w:tr>
      <w:tr w14:paraId="5A62514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2923D8A8">
            <w:pPr>
              <w:spacing w:before="31" w:beforeLines="10" w:line="264" w:lineRule="auto"/>
              <w:jc w:val="center"/>
              <w:rPr>
                <w:color w:val="auto"/>
                <w:szCs w:val="21"/>
              </w:rPr>
            </w:pPr>
            <w:r>
              <w:rPr>
                <w:color w:val="auto"/>
                <w:szCs w:val="21"/>
              </w:rPr>
              <w:t>二噁英类</w:t>
            </w:r>
          </w:p>
        </w:tc>
        <w:tc>
          <w:tcPr>
            <w:tcW w:w="920" w:type="pct"/>
            <w:tcBorders>
              <w:tl2br w:val="nil"/>
              <w:tr2bl w:val="nil"/>
            </w:tcBorders>
            <w:shd w:val="clear" w:color="auto" w:fill="auto"/>
            <w:noWrap w:val="0"/>
            <w:vAlign w:val="center"/>
          </w:tcPr>
          <w:p w14:paraId="02672B21">
            <w:pPr>
              <w:spacing w:before="31" w:beforeLines="10" w:line="264" w:lineRule="auto"/>
              <w:jc w:val="center"/>
              <w:rPr>
                <w:color w:val="auto"/>
                <w:szCs w:val="21"/>
              </w:rPr>
            </w:pPr>
            <w:r>
              <w:rPr>
                <w:color w:val="auto"/>
                <w:szCs w:val="21"/>
              </w:rPr>
              <w:t>0.5ng TEQ/m</w:t>
            </w:r>
            <w:r>
              <w:rPr>
                <w:color w:val="auto"/>
                <w:szCs w:val="21"/>
                <w:vertAlign w:val="superscript"/>
              </w:rPr>
              <w:t>3</w:t>
            </w:r>
          </w:p>
        </w:tc>
        <w:tc>
          <w:tcPr>
            <w:tcW w:w="1005" w:type="pct"/>
            <w:tcBorders>
              <w:tl2br w:val="nil"/>
              <w:tr2bl w:val="nil"/>
            </w:tcBorders>
            <w:shd w:val="clear" w:color="auto" w:fill="auto"/>
            <w:noWrap w:val="0"/>
            <w:vAlign w:val="center"/>
          </w:tcPr>
          <w:p w14:paraId="557D5DB4">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72ADDF4E">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0338CED6">
            <w:pPr>
              <w:spacing w:before="31" w:beforeLines="10" w:line="264" w:lineRule="auto"/>
              <w:jc w:val="center"/>
              <w:rPr>
                <w:b/>
                <w:color w:val="auto"/>
                <w:szCs w:val="21"/>
              </w:rPr>
            </w:pPr>
          </w:p>
        </w:tc>
      </w:tr>
      <w:tr w14:paraId="39BE88F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11C627BD">
            <w:pPr>
              <w:spacing w:before="31" w:beforeLines="10" w:line="264" w:lineRule="auto"/>
              <w:jc w:val="center"/>
              <w:rPr>
                <w:color w:val="auto"/>
                <w:szCs w:val="21"/>
              </w:rPr>
            </w:pPr>
            <w:r>
              <w:rPr>
                <w:color w:val="auto"/>
                <w:szCs w:val="21"/>
              </w:rPr>
              <w:t>砷及其化合物</w:t>
            </w:r>
          </w:p>
        </w:tc>
        <w:tc>
          <w:tcPr>
            <w:tcW w:w="920" w:type="pct"/>
            <w:tcBorders>
              <w:tl2br w:val="nil"/>
              <w:tr2bl w:val="nil"/>
            </w:tcBorders>
            <w:shd w:val="clear" w:color="auto" w:fill="auto"/>
            <w:noWrap w:val="0"/>
            <w:vAlign w:val="center"/>
          </w:tcPr>
          <w:p w14:paraId="5E4FDA32">
            <w:pPr>
              <w:spacing w:before="31" w:beforeLines="10" w:line="264" w:lineRule="auto"/>
              <w:jc w:val="center"/>
              <w:rPr>
                <w:color w:val="auto"/>
                <w:szCs w:val="21"/>
              </w:rPr>
            </w:pPr>
            <w:r>
              <w:rPr>
                <w:color w:val="auto"/>
                <w:szCs w:val="21"/>
              </w:rPr>
              <w:t>0.4</w:t>
            </w:r>
          </w:p>
        </w:tc>
        <w:tc>
          <w:tcPr>
            <w:tcW w:w="1005" w:type="pct"/>
            <w:tcBorders>
              <w:tl2br w:val="nil"/>
              <w:tr2bl w:val="nil"/>
            </w:tcBorders>
            <w:shd w:val="clear" w:color="auto" w:fill="auto"/>
            <w:noWrap w:val="0"/>
            <w:vAlign w:val="center"/>
          </w:tcPr>
          <w:p w14:paraId="7C805001">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286577E0">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7BA06AEB">
            <w:pPr>
              <w:spacing w:before="31" w:beforeLines="10" w:line="264" w:lineRule="auto"/>
              <w:jc w:val="center"/>
              <w:rPr>
                <w:b/>
                <w:color w:val="auto"/>
                <w:szCs w:val="21"/>
              </w:rPr>
            </w:pPr>
          </w:p>
        </w:tc>
      </w:tr>
      <w:tr w14:paraId="7501D82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28840C24">
            <w:pPr>
              <w:spacing w:before="31" w:beforeLines="10" w:line="264" w:lineRule="auto"/>
              <w:jc w:val="center"/>
              <w:rPr>
                <w:color w:val="auto"/>
                <w:szCs w:val="21"/>
              </w:rPr>
            </w:pPr>
            <w:r>
              <w:rPr>
                <w:color w:val="auto"/>
                <w:szCs w:val="21"/>
              </w:rPr>
              <w:t>铅及其化合物</w:t>
            </w:r>
          </w:p>
        </w:tc>
        <w:tc>
          <w:tcPr>
            <w:tcW w:w="920" w:type="pct"/>
            <w:tcBorders>
              <w:tl2br w:val="nil"/>
              <w:tr2bl w:val="nil"/>
            </w:tcBorders>
            <w:shd w:val="clear" w:color="auto" w:fill="auto"/>
            <w:noWrap w:val="0"/>
            <w:vAlign w:val="center"/>
          </w:tcPr>
          <w:p w14:paraId="24C59840">
            <w:pPr>
              <w:spacing w:before="31" w:beforeLines="10" w:line="264" w:lineRule="auto"/>
              <w:jc w:val="center"/>
              <w:rPr>
                <w:color w:val="auto"/>
                <w:szCs w:val="21"/>
              </w:rPr>
            </w:pPr>
            <w:r>
              <w:rPr>
                <w:color w:val="auto"/>
                <w:szCs w:val="21"/>
              </w:rPr>
              <w:t>1</w:t>
            </w:r>
          </w:p>
        </w:tc>
        <w:tc>
          <w:tcPr>
            <w:tcW w:w="1005" w:type="pct"/>
            <w:tcBorders>
              <w:tl2br w:val="nil"/>
              <w:tr2bl w:val="nil"/>
            </w:tcBorders>
            <w:shd w:val="clear" w:color="auto" w:fill="auto"/>
            <w:noWrap w:val="0"/>
            <w:vAlign w:val="center"/>
          </w:tcPr>
          <w:p w14:paraId="60EEDB52">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347DFA3A">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1CFE9ED1">
            <w:pPr>
              <w:spacing w:before="31" w:beforeLines="10" w:line="264" w:lineRule="auto"/>
              <w:jc w:val="center"/>
              <w:rPr>
                <w:b/>
                <w:color w:val="auto"/>
                <w:szCs w:val="21"/>
              </w:rPr>
            </w:pPr>
          </w:p>
        </w:tc>
      </w:tr>
      <w:tr w14:paraId="4A0DD70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3F42CDF4">
            <w:pPr>
              <w:spacing w:before="31" w:beforeLines="10" w:line="264" w:lineRule="auto"/>
              <w:jc w:val="center"/>
              <w:rPr>
                <w:color w:val="auto"/>
                <w:szCs w:val="21"/>
              </w:rPr>
            </w:pPr>
            <w:r>
              <w:rPr>
                <w:color w:val="auto"/>
                <w:szCs w:val="21"/>
              </w:rPr>
              <w:t>锡及其化合物</w:t>
            </w:r>
          </w:p>
        </w:tc>
        <w:tc>
          <w:tcPr>
            <w:tcW w:w="920" w:type="pct"/>
            <w:tcBorders>
              <w:tl2br w:val="nil"/>
              <w:tr2bl w:val="nil"/>
            </w:tcBorders>
            <w:shd w:val="clear" w:color="auto" w:fill="auto"/>
            <w:noWrap w:val="0"/>
            <w:vAlign w:val="center"/>
          </w:tcPr>
          <w:p w14:paraId="29BACEDF">
            <w:pPr>
              <w:spacing w:before="31" w:beforeLines="10" w:line="264" w:lineRule="auto"/>
              <w:jc w:val="center"/>
              <w:rPr>
                <w:color w:val="auto"/>
                <w:szCs w:val="21"/>
              </w:rPr>
            </w:pPr>
            <w:r>
              <w:rPr>
                <w:color w:val="auto"/>
                <w:szCs w:val="21"/>
              </w:rPr>
              <w:t>1</w:t>
            </w:r>
          </w:p>
        </w:tc>
        <w:tc>
          <w:tcPr>
            <w:tcW w:w="1005" w:type="pct"/>
            <w:tcBorders>
              <w:tl2br w:val="nil"/>
              <w:tr2bl w:val="nil"/>
            </w:tcBorders>
            <w:shd w:val="clear" w:color="auto" w:fill="auto"/>
            <w:noWrap w:val="0"/>
            <w:vAlign w:val="center"/>
          </w:tcPr>
          <w:p w14:paraId="10EBEE99">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5FA8A163">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0AB72F2B">
            <w:pPr>
              <w:spacing w:before="31" w:beforeLines="10" w:line="264" w:lineRule="auto"/>
              <w:jc w:val="center"/>
              <w:rPr>
                <w:b/>
                <w:color w:val="auto"/>
                <w:szCs w:val="21"/>
              </w:rPr>
            </w:pPr>
          </w:p>
        </w:tc>
      </w:tr>
      <w:tr w14:paraId="4230EDE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540F8093">
            <w:pPr>
              <w:spacing w:before="31" w:beforeLines="10" w:line="264" w:lineRule="auto"/>
              <w:jc w:val="center"/>
              <w:rPr>
                <w:color w:val="auto"/>
                <w:szCs w:val="21"/>
              </w:rPr>
            </w:pPr>
            <w:r>
              <w:rPr>
                <w:color w:val="auto"/>
                <w:szCs w:val="21"/>
              </w:rPr>
              <w:t>镉及其化合物</w:t>
            </w:r>
          </w:p>
        </w:tc>
        <w:tc>
          <w:tcPr>
            <w:tcW w:w="920" w:type="pct"/>
            <w:tcBorders>
              <w:tl2br w:val="nil"/>
              <w:tr2bl w:val="nil"/>
            </w:tcBorders>
            <w:shd w:val="clear" w:color="auto" w:fill="auto"/>
            <w:noWrap w:val="0"/>
            <w:vAlign w:val="center"/>
          </w:tcPr>
          <w:p w14:paraId="5F1062B1">
            <w:pPr>
              <w:spacing w:before="31" w:beforeLines="10" w:line="264" w:lineRule="auto"/>
              <w:jc w:val="center"/>
              <w:rPr>
                <w:color w:val="auto"/>
                <w:szCs w:val="21"/>
              </w:rPr>
            </w:pPr>
            <w:r>
              <w:rPr>
                <w:color w:val="auto"/>
                <w:szCs w:val="21"/>
              </w:rPr>
              <w:t>0.05</w:t>
            </w:r>
          </w:p>
        </w:tc>
        <w:tc>
          <w:tcPr>
            <w:tcW w:w="1005" w:type="pct"/>
            <w:tcBorders>
              <w:tl2br w:val="nil"/>
              <w:tr2bl w:val="nil"/>
            </w:tcBorders>
            <w:shd w:val="clear" w:color="auto" w:fill="auto"/>
            <w:noWrap w:val="0"/>
            <w:vAlign w:val="center"/>
          </w:tcPr>
          <w:p w14:paraId="36C7B10E">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7CE0FCE6">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51CFCA1E">
            <w:pPr>
              <w:spacing w:before="31" w:beforeLines="10" w:line="264" w:lineRule="auto"/>
              <w:jc w:val="center"/>
              <w:rPr>
                <w:b/>
                <w:color w:val="auto"/>
                <w:szCs w:val="21"/>
              </w:rPr>
            </w:pPr>
          </w:p>
        </w:tc>
      </w:tr>
      <w:tr w14:paraId="029C1A7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25319D21">
            <w:pPr>
              <w:spacing w:before="31" w:beforeLines="10" w:line="264" w:lineRule="auto"/>
              <w:jc w:val="center"/>
              <w:rPr>
                <w:color w:val="auto"/>
                <w:szCs w:val="21"/>
              </w:rPr>
            </w:pPr>
            <w:r>
              <w:rPr>
                <w:color w:val="auto"/>
                <w:szCs w:val="21"/>
              </w:rPr>
              <w:t>铬及其化合物</w:t>
            </w:r>
          </w:p>
        </w:tc>
        <w:tc>
          <w:tcPr>
            <w:tcW w:w="920" w:type="pct"/>
            <w:tcBorders>
              <w:tl2br w:val="nil"/>
              <w:tr2bl w:val="nil"/>
            </w:tcBorders>
            <w:shd w:val="clear" w:color="auto" w:fill="auto"/>
            <w:noWrap w:val="0"/>
            <w:vAlign w:val="center"/>
          </w:tcPr>
          <w:p w14:paraId="7073839E">
            <w:pPr>
              <w:spacing w:before="31" w:beforeLines="10" w:line="264" w:lineRule="auto"/>
              <w:jc w:val="center"/>
              <w:rPr>
                <w:color w:val="auto"/>
                <w:szCs w:val="21"/>
              </w:rPr>
            </w:pPr>
            <w:r>
              <w:rPr>
                <w:rFonts w:hint="eastAsia"/>
                <w:color w:val="auto"/>
                <w:szCs w:val="21"/>
              </w:rPr>
              <w:t>1</w:t>
            </w:r>
          </w:p>
        </w:tc>
        <w:tc>
          <w:tcPr>
            <w:tcW w:w="1005" w:type="pct"/>
            <w:tcBorders>
              <w:tl2br w:val="nil"/>
              <w:tr2bl w:val="nil"/>
            </w:tcBorders>
            <w:shd w:val="clear" w:color="auto" w:fill="auto"/>
            <w:noWrap w:val="0"/>
            <w:vAlign w:val="center"/>
          </w:tcPr>
          <w:p w14:paraId="39EB7B5E">
            <w:pPr>
              <w:spacing w:before="31" w:beforeLines="10" w:line="264" w:lineRule="auto"/>
              <w:jc w:val="center"/>
              <w:rPr>
                <w:rFonts w:hint="eastAsia"/>
                <w:color w:val="auto"/>
                <w:szCs w:val="21"/>
              </w:rPr>
            </w:pPr>
            <w:r>
              <w:rPr>
                <w:rFonts w:hint="eastAsia"/>
                <w:color w:val="auto"/>
                <w:szCs w:val="21"/>
                <w:lang w:val="en-US" w:eastAsia="zh-CN"/>
              </w:rPr>
              <w:t>/</w:t>
            </w:r>
          </w:p>
        </w:tc>
        <w:tc>
          <w:tcPr>
            <w:tcW w:w="1213" w:type="pct"/>
            <w:vMerge w:val="continue"/>
            <w:tcBorders>
              <w:bottom w:val="single" w:color="auto" w:sz="4" w:space="0"/>
              <w:tl2br w:val="nil"/>
              <w:tr2bl w:val="nil"/>
            </w:tcBorders>
            <w:shd w:val="clear" w:color="auto" w:fill="auto"/>
            <w:noWrap w:val="0"/>
            <w:vAlign w:val="center"/>
          </w:tcPr>
          <w:p w14:paraId="587A8863">
            <w:pPr>
              <w:spacing w:before="31" w:beforeLines="10" w:line="264" w:lineRule="auto"/>
              <w:jc w:val="center"/>
              <w:rPr>
                <w:color w:val="auto"/>
                <w:szCs w:val="21"/>
              </w:rPr>
            </w:pPr>
          </w:p>
        </w:tc>
        <w:tc>
          <w:tcPr>
            <w:tcW w:w="1038" w:type="pct"/>
            <w:vMerge w:val="continue"/>
            <w:tcBorders>
              <w:bottom w:val="single" w:color="auto" w:sz="4" w:space="0"/>
              <w:tl2br w:val="nil"/>
              <w:tr2bl w:val="nil"/>
            </w:tcBorders>
            <w:shd w:val="clear" w:color="auto" w:fill="auto"/>
            <w:noWrap w:val="0"/>
            <w:vAlign w:val="center"/>
          </w:tcPr>
          <w:p w14:paraId="0D2D3EB6">
            <w:pPr>
              <w:spacing w:before="31" w:beforeLines="10" w:line="264" w:lineRule="auto"/>
              <w:jc w:val="center"/>
              <w:rPr>
                <w:b/>
                <w:color w:val="auto"/>
                <w:szCs w:val="21"/>
              </w:rPr>
            </w:pPr>
          </w:p>
        </w:tc>
      </w:tr>
      <w:tr w14:paraId="3684F3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53AB681B">
            <w:pPr>
              <w:spacing w:before="31" w:beforeLines="10" w:line="264" w:lineRule="auto"/>
              <w:jc w:val="center"/>
              <w:rPr>
                <w:rFonts w:hint="eastAsia" w:eastAsia="宋体"/>
                <w:color w:val="auto"/>
                <w:szCs w:val="21"/>
                <w:lang w:val="en-US" w:eastAsia="zh-CN"/>
              </w:rPr>
            </w:pPr>
            <w:r>
              <w:rPr>
                <w:rFonts w:hint="eastAsia"/>
                <w:color w:val="auto"/>
                <w:szCs w:val="21"/>
                <w:lang w:val="en-US" w:eastAsia="zh-CN"/>
              </w:rPr>
              <w:t>氨</w:t>
            </w:r>
          </w:p>
        </w:tc>
        <w:tc>
          <w:tcPr>
            <w:tcW w:w="920" w:type="pct"/>
            <w:tcBorders>
              <w:tl2br w:val="nil"/>
              <w:tr2bl w:val="nil"/>
            </w:tcBorders>
            <w:shd w:val="clear" w:color="auto" w:fill="auto"/>
            <w:noWrap w:val="0"/>
            <w:vAlign w:val="center"/>
          </w:tcPr>
          <w:p w14:paraId="3D68365E">
            <w:pPr>
              <w:spacing w:before="31" w:beforeLines="10" w:line="264" w:lineRule="auto"/>
              <w:jc w:val="center"/>
              <w:rPr>
                <w:rFonts w:hint="eastAsia"/>
                <w:color w:val="auto"/>
                <w:szCs w:val="21"/>
              </w:rPr>
            </w:pPr>
            <w:r>
              <w:rPr>
                <w:rFonts w:hint="eastAsia"/>
                <w:color w:val="auto"/>
                <w:szCs w:val="21"/>
                <w:lang w:val="en-US" w:eastAsia="zh-CN"/>
              </w:rPr>
              <w:t>/</w:t>
            </w:r>
          </w:p>
        </w:tc>
        <w:tc>
          <w:tcPr>
            <w:tcW w:w="1005" w:type="pct"/>
            <w:tcBorders>
              <w:tl2br w:val="nil"/>
              <w:tr2bl w:val="nil"/>
            </w:tcBorders>
            <w:shd w:val="clear" w:color="auto" w:fill="auto"/>
            <w:noWrap w:val="0"/>
            <w:vAlign w:val="center"/>
          </w:tcPr>
          <w:p w14:paraId="02C18A7F">
            <w:pPr>
              <w:spacing w:before="31" w:beforeLines="10" w:line="264" w:lineRule="auto"/>
              <w:jc w:val="center"/>
              <w:rPr>
                <w:rFonts w:hint="default" w:eastAsia="宋体"/>
                <w:color w:val="auto"/>
                <w:szCs w:val="21"/>
                <w:lang w:val="en-US" w:eastAsia="zh-CN"/>
              </w:rPr>
            </w:pPr>
            <w:r>
              <w:rPr>
                <w:rFonts w:hint="eastAsia"/>
                <w:color w:val="auto"/>
                <w:szCs w:val="21"/>
                <w:lang w:val="en-US" w:eastAsia="zh-CN"/>
              </w:rPr>
              <w:t>4.9</w:t>
            </w:r>
          </w:p>
        </w:tc>
        <w:tc>
          <w:tcPr>
            <w:tcW w:w="1213" w:type="pct"/>
            <w:tcBorders>
              <w:top w:val="single" w:color="auto" w:sz="4" w:space="0"/>
              <w:bottom w:val="single" w:color="auto" w:sz="4" w:space="0"/>
              <w:tl2br w:val="nil"/>
              <w:tr2bl w:val="nil"/>
            </w:tcBorders>
            <w:shd w:val="clear" w:color="auto" w:fill="auto"/>
            <w:noWrap w:val="0"/>
            <w:vAlign w:val="center"/>
          </w:tcPr>
          <w:p w14:paraId="2AE42031">
            <w:pPr>
              <w:spacing w:before="31" w:beforeLines="10" w:line="264" w:lineRule="auto"/>
              <w:jc w:val="center"/>
              <w:rPr>
                <w:color w:val="auto"/>
                <w:szCs w:val="21"/>
              </w:rPr>
            </w:pPr>
            <w:r>
              <w:rPr>
                <w:rFonts w:hint="eastAsia"/>
                <w:color w:val="auto"/>
                <w:szCs w:val="21"/>
                <w:lang w:val="en-US" w:eastAsia="zh-CN"/>
              </w:rPr>
              <w:t>DA002</w:t>
            </w:r>
            <w:r>
              <w:rPr>
                <w:color w:val="auto"/>
                <w:szCs w:val="21"/>
              </w:rPr>
              <w:t>排气筒</w:t>
            </w:r>
          </w:p>
        </w:tc>
        <w:tc>
          <w:tcPr>
            <w:tcW w:w="1038" w:type="pct"/>
            <w:tcBorders>
              <w:top w:val="single" w:color="auto" w:sz="4" w:space="0"/>
              <w:bottom w:val="single" w:color="auto" w:sz="4" w:space="0"/>
              <w:tl2br w:val="nil"/>
              <w:tr2bl w:val="nil"/>
            </w:tcBorders>
            <w:shd w:val="clear" w:color="auto" w:fill="auto"/>
            <w:noWrap w:val="0"/>
            <w:vAlign w:val="center"/>
          </w:tcPr>
          <w:p w14:paraId="7999C5FC">
            <w:pPr>
              <w:spacing w:before="31" w:beforeLines="10" w:line="264" w:lineRule="auto"/>
              <w:jc w:val="center"/>
              <w:rPr>
                <w:b w:val="0"/>
                <w:bCs/>
                <w:color w:val="auto"/>
                <w:szCs w:val="21"/>
              </w:rPr>
            </w:pPr>
            <w:r>
              <w:rPr>
                <w:rFonts w:hint="eastAsia"/>
                <w:b w:val="0"/>
                <w:bCs/>
                <w:color w:val="auto"/>
                <w:szCs w:val="21"/>
              </w:rPr>
              <w:t>《恶臭污染物排放标准》(GB14554-93)</w:t>
            </w:r>
          </w:p>
        </w:tc>
      </w:tr>
      <w:tr w14:paraId="2220DA9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4ACECF4D">
            <w:pPr>
              <w:spacing w:before="31" w:beforeLines="10" w:line="264" w:lineRule="auto"/>
              <w:jc w:val="center"/>
              <w:rPr>
                <w:color w:val="auto"/>
                <w:szCs w:val="21"/>
              </w:rPr>
            </w:pPr>
            <w:r>
              <w:rPr>
                <w:color w:val="auto"/>
                <w:szCs w:val="21"/>
              </w:rPr>
              <w:t>单位产品基准排气量（m</w:t>
            </w:r>
            <w:r>
              <w:rPr>
                <w:color w:val="auto"/>
                <w:szCs w:val="21"/>
                <w:vertAlign w:val="superscript"/>
              </w:rPr>
              <w:t>3</w:t>
            </w:r>
            <w:r>
              <w:rPr>
                <w:color w:val="auto"/>
                <w:szCs w:val="21"/>
              </w:rPr>
              <w:t>/吨产品）</w:t>
            </w:r>
          </w:p>
        </w:tc>
        <w:tc>
          <w:tcPr>
            <w:tcW w:w="1926" w:type="pct"/>
            <w:gridSpan w:val="2"/>
            <w:tcBorders>
              <w:tl2br w:val="nil"/>
              <w:tr2bl w:val="nil"/>
            </w:tcBorders>
            <w:shd w:val="clear" w:color="auto" w:fill="auto"/>
            <w:noWrap w:val="0"/>
            <w:vAlign w:val="center"/>
          </w:tcPr>
          <w:p w14:paraId="04AF7949">
            <w:pPr>
              <w:spacing w:before="31" w:beforeLines="10" w:line="264" w:lineRule="auto"/>
              <w:jc w:val="center"/>
              <w:rPr>
                <w:color w:val="auto"/>
                <w:szCs w:val="21"/>
              </w:rPr>
            </w:pPr>
            <w:r>
              <w:rPr>
                <w:color w:val="auto"/>
                <w:szCs w:val="21"/>
              </w:rPr>
              <w:t>炉窑</w:t>
            </w:r>
          </w:p>
          <w:p w14:paraId="03878F02">
            <w:pPr>
              <w:spacing w:before="31" w:beforeLines="10" w:line="264" w:lineRule="auto"/>
              <w:jc w:val="center"/>
              <w:rPr>
                <w:color w:val="auto"/>
                <w:szCs w:val="21"/>
              </w:rPr>
            </w:pPr>
            <w:r>
              <w:rPr>
                <w:color w:val="auto"/>
                <w:szCs w:val="21"/>
              </w:rPr>
              <w:t>10000</w:t>
            </w:r>
          </w:p>
        </w:tc>
        <w:tc>
          <w:tcPr>
            <w:tcW w:w="1213" w:type="pct"/>
            <w:tcBorders>
              <w:top w:val="single" w:color="auto" w:sz="4" w:space="0"/>
              <w:tl2br w:val="nil"/>
              <w:tr2bl w:val="nil"/>
            </w:tcBorders>
            <w:shd w:val="clear" w:color="auto" w:fill="auto"/>
            <w:noWrap w:val="0"/>
            <w:vAlign w:val="center"/>
          </w:tcPr>
          <w:p w14:paraId="6C44619E">
            <w:pPr>
              <w:spacing w:before="31" w:beforeLines="10" w:line="264" w:lineRule="auto"/>
              <w:jc w:val="center"/>
              <w:rPr>
                <w:color w:val="auto"/>
                <w:szCs w:val="21"/>
              </w:rPr>
            </w:pPr>
            <w:r>
              <w:rPr>
                <w:color w:val="auto"/>
                <w:szCs w:val="21"/>
              </w:rPr>
              <w:t>排气量计量位置与污染物排放监控位置一致</w:t>
            </w:r>
          </w:p>
        </w:tc>
        <w:tc>
          <w:tcPr>
            <w:tcW w:w="1038" w:type="pct"/>
            <w:tcBorders>
              <w:top w:val="single" w:color="auto" w:sz="4" w:space="0"/>
              <w:tl2br w:val="nil"/>
              <w:tr2bl w:val="nil"/>
            </w:tcBorders>
            <w:shd w:val="clear" w:color="auto" w:fill="auto"/>
            <w:noWrap w:val="0"/>
            <w:vAlign w:val="center"/>
          </w:tcPr>
          <w:p w14:paraId="48C30AE9">
            <w:pPr>
              <w:spacing w:before="31" w:beforeLines="10" w:line="264" w:lineRule="auto"/>
              <w:jc w:val="center"/>
              <w:rPr>
                <w:rFonts w:hint="eastAsia" w:eastAsia="宋体"/>
                <w:b/>
                <w:color w:val="auto"/>
                <w:szCs w:val="21"/>
                <w:lang w:val="en-US" w:eastAsia="zh-CN"/>
              </w:rPr>
            </w:pPr>
            <w:r>
              <w:rPr>
                <w:color w:val="auto"/>
                <w:szCs w:val="21"/>
              </w:rPr>
              <w:t>《再生铜、铝、铅、锌工业污染物排放标准》（GB 31574-2015）</w:t>
            </w:r>
          </w:p>
        </w:tc>
      </w:tr>
    </w:tbl>
    <w:p w14:paraId="1C0FF590">
      <w:pPr>
        <w:adjustRightInd w:val="0"/>
        <w:snapToGrid w:val="0"/>
        <w:spacing w:line="360" w:lineRule="auto"/>
        <w:jc w:val="center"/>
        <w:rPr>
          <w:b/>
          <w:bCs/>
          <w:color w:val="auto"/>
          <w:sz w:val="24"/>
        </w:rPr>
      </w:pPr>
      <w:r>
        <w:rPr>
          <w:b/>
          <w:bCs/>
          <w:color w:val="auto"/>
          <w:sz w:val="24"/>
        </w:rPr>
        <w:t>表1-1</w:t>
      </w:r>
      <w:r>
        <w:rPr>
          <w:rFonts w:hint="eastAsia"/>
          <w:b/>
          <w:bCs/>
          <w:color w:val="auto"/>
          <w:sz w:val="24"/>
          <w:lang w:val="en-US" w:eastAsia="zh-CN"/>
        </w:rPr>
        <w:t xml:space="preserve">3 </w:t>
      </w:r>
      <w:r>
        <w:rPr>
          <w:b/>
          <w:bCs/>
          <w:color w:val="auto"/>
          <w:sz w:val="24"/>
        </w:rPr>
        <w:t>后评价阶段</w:t>
      </w:r>
      <w:r>
        <w:rPr>
          <w:rFonts w:hint="eastAsia" w:ascii="Times New Roman" w:hAnsi="Times New Roman" w:eastAsia="宋体" w:cs="Times New Roman"/>
          <w:b/>
          <w:bCs/>
          <w:color w:val="auto"/>
          <w:sz w:val="24"/>
          <w:szCs w:val="24"/>
          <w:lang w:val="en-US" w:eastAsia="zh-CN"/>
        </w:rPr>
        <w:t>无组织废气排放执行标准</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00"/>
        <w:gridCol w:w="3424"/>
        <w:gridCol w:w="3138"/>
      </w:tblGrid>
      <w:tr w14:paraId="13BFF1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0F7EA5BA">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w:t>
            </w:r>
          </w:p>
        </w:tc>
        <w:tc>
          <w:tcPr>
            <w:tcW w:w="1718" w:type="pct"/>
            <w:vAlign w:val="center"/>
          </w:tcPr>
          <w:p w14:paraId="42C85122">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最高允许排放浓度（mg/m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rPr>
              <w:t>）</w:t>
            </w:r>
          </w:p>
        </w:tc>
        <w:tc>
          <w:tcPr>
            <w:tcW w:w="1574" w:type="pct"/>
            <w:vAlign w:val="center"/>
          </w:tcPr>
          <w:p w14:paraId="5948CEC3">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187C4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5CB6591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氯化氢</w:t>
            </w:r>
          </w:p>
        </w:tc>
        <w:tc>
          <w:tcPr>
            <w:tcW w:w="1718" w:type="pct"/>
            <w:vAlign w:val="center"/>
          </w:tcPr>
          <w:p w14:paraId="2CFC55A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w:t>
            </w:r>
          </w:p>
        </w:tc>
        <w:tc>
          <w:tcPr>
            <w:tcW w:w="1574" w:type="pct"/>
            <w:vMerge w:val="restart"/>
            <w:vAlign w:val="center"/>
          </w:tcPr>
          <w:p w14:paraId="1A52BD5B">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《再生铜、铝、铅、锌工业污染物排放标准》（GB31574-2015）表5企业边界大气污染物限值</w:t>
            </w:r>
          </w:p>
        </w:tc>
      </w:tr>
      <w:tr w14:paraId="514DB3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4984838D">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w:t>
            </w:r>
          </w:p>
        </w:tc>
        <w:tc>
          <w:tcPr>
            <w:tcW w:w="1718" w:type="pct"/>
            <w:vAlign w:val="center"/>
          </w:tcPr>
          <w:p w14:paraId="31C60EFB">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0.02</w:t>
            </w:r>
          </w:p>
        </w:tc>
        <w:tc>
          <w:tcPr>
            <w:tcW w:w="1574" w:type="pct"/>
            <w:vMerge w:val="continue"/>
            <w:vAlign w:val="center"/>
          </w:tcPr>
          <w:p w14:paraId="41A03D97">
            <w:pPr>
              <w:adjustRightInd w:val="0"/>
              <w:snapToGrid w:val="0"/>
              <w:jc w:val="center"/>
              <w:rPr>
                <w:rFonts w:hint="default" w:ascii="Times New Roman" w:hAnsi="Times New Roman" w:eastAsia="宋体" w:cs="Times New Roman"/>
                <w:color w:val="auto"/>
                <w:sz w:val="21"/>
                <w:szCs w:val="21"/>
              </w:rPr>
            </w:pPr>
          </w:p>
        </w:tc>
      </w:tr>
      <w:tr w14:paraId="48EC4F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45579D04">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砷及其化合物</w:t>
            </w:r>
          </w:p>
        </w:tc>
        <w:tc>
          <w:tcPr>
            <w:tcW w:w="1718" w:type="pct"/>
            <w:vAlign w:val="center"/>
          </w:tcPr>
          <w:p w14:paraId="3B3C258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0.01</w:t>
            </w:r>
          </w:p>
        </w:tc>
        <w:tc>
          <w:tcPr>
            <w:tcW w:w="1574" w:type="pct"/>
            <w:vMerge w:val="continue"/>
            <w:vAlign w:val="center"/>
          </w:tcPr>
          <w:p w14:paraId="68089596">
            <w:pPr>
              <w:adjustRightInd w:val="0"/>
              <w:snapToGrid w:val="0"/>
              <w:jc w:val="center"/>
              <w:rPr>
                <w:rFonts w:hint="default" w:ascii="Times New Roman" w:hAnsi="Times New Roman" w:eastAsia="宋体" w:cs="Times New Roman"/>
                <w:color w:val="auto"/>
                <w:sz w:val="21"/>
                <w:szCs w:val="21"/>
              </w:rPr>
            </w:pPr>
          </w:p>
        </w:tc>
      </w:tr>
      <w:tr w14:paraId="35B66B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31B621E">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铅及其化合物</w:t>
            </w:r>
          </w:p>
        </w:tc>
        <w:tc>
          <w:tcPr>
            <w:tcW w:w="1718" w:type="pct"/>
            <w:vAlign w:val="center"/>
          </w:tcPr>
          <w:p w14:paraId="2C9864E1">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682CE3F3">
            <w:pPr>
              <w:adjustRightInd w:val="0"/>
              <w:snapToGrid w:val="0"/>
              <w:jc w:val="center"/>
              <w:rPr>
                <w:rFonts w:hint="default" w:ascii="Times New Roman" w:hAnsi="Times New Roman" w:eastAsia="宋体" w:cs="Times New Roman"/>
                <w:color w:val="auto"/>
                <w:sz w:val="21"/>
                <w:szCs w:val="21"/>
              </w:rPr>
            </w:pPr>
          </w:p>
        </w:tc>
      </w:tr>
      <w:tr w14:paraId="08F7A0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BAC8FB2">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锡及其化合物</w:t>
            </w:r>
          </w:p>
        </w:tc>
        <w:tc>
          <w:tcPr>
            <w:tcW w:w="1718" w:type="pct"/>
            <w:vAlign w:val="center"/>
          </w:tcPr>
          <w:p w14:paraId="6BDAD6A5">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0.24</w:t>
            </w:r>
          </w:p>
        </w:tc>
        <w:tc>
          <w:tcPr>
            <w:tcW w:w="1574" w:type="pct"/>
            <w:vMerge w:val="continue"/>
            <w:vAlign w:val="center"/>
          </w:tcPr>
          <w:p w14:paraId="3BFFFE66">
            <w:pPr>
              <w:adjustRightInd w:val="0"/>
              <w:snapToGrid w:val="0"/>
              <w:jc w:val="center"/>
              <w:rPr>
                <w:rFonts w:hint="default" w:ascii="Times New Roman" w:hAnsi="Times New Roman" w:eastAsia="宋体" w:cs="Times New Roman"/>
                <w:color w:val="auto"/>
                <w:sz w:val="21"/>
                <w:szCs w:val="21"/>
              </w:rPr>
            </w:pPr>
          </w:p>
        </w:tc>
      </w:tr>
      <w:tr w14:paraId="02785C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9E57C3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镉及其化合物</w:t>
            </w:r>
          </w:p>
        </w:tc>
        <w:tc>
          <w:tcPr>
            <w:tcW w:w="1718" w:type="pct"/>
            <w:vAlign w:val="center"/>
          </w:tcPr>
          <w:p w14:paraId="6AB2B87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0.0002</w:t>
            </w:r>
          </w:p>
        </w:tc>
        <w:tc>
          <w:tcPr>
            <w:tcW w:w="1574" w:type="pct"/>
            <w:vMerge w:val="continue"/>
            <w:vAlign w:val="center"/>
          </w:tcPr>
          <w:p w14:paraId="193840CD">
            <w:pPr>
              <w:adjustRightInd w:val="0"/>
              <w:snapToGrid w:val="0"/>
              <w:jc w:val="center"/>
              <w:rPr>
                <w:rFonts w:hint="default" w:ascii="Times New Roman" w:hAnsi="Times New Roman" w:eastAsia="宋体" w:cs="Times New Roman"/>
                <w:color w:val="auto"/>
                <w:sz w:val="21"/>
                <w:szCs w:val="21"/>
              </w:rPr>
            </w:pPr>
          </w:p>
        </w:tc>
      </w:tr>
      <w:tr w14:paraId="350019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53D39949">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铬及其化合物</w:t>
            </w:r>
          </w:p>
        </w:tc>
        <w:tc>
          <w:tcPr>
            <w:tcW w:w="1718" w:type="pct"/>
            <w:vAlign w:val="center"/>
          </w:tcPr>
          <w:p w14:paraId="70A45299">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2B5E74A3">
            <w:pPr>
              <w:adjustRightInd w:val="0"/>
              <w:snapToGrid w:val="0"/>
              <w:jc w:val="center"/>
              <w:rPr>
                <w:rFonts w:hint="default" w:ascii="Times New Roman" w:hAnsi="Times New Roman" w:eastAsia="宋体" w:cs="Times New Roman"/>
                <w:color w:val="auto"/>
                <w:sz w:val="21"/>
                <w:szCs w:val="21"/>
              </w:rPr>
            </w:pPr>
          </w:p>
        </w:tc>
      </w:tr>
      <w:tr w14:paraId="2926B0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706" w:type="pct"/>
            <w:vAlign w:val="center"/>
          </w:tcPr>
          <w:p w14:paraId="538CDF6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1718" w:type="pct"/>
            <w:vAlign w:val="center"/>
          </w:tcPr>
          <w:p w14:paraId="0F6EC77D">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574" w:type="pct"/>
            <w:vAlign w:val="center"/>
          </w:tcPr>
          <w:p w14:paraId="3A47C485">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《大气污染物综合排放标准》</w:t>
            </w:r>
          </w:p>
          <w:p w14:paraId="2ECC047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（GB16297-1996）</w:t>
            </w:r>
          </w:p>
        </w:tc>
      </w:tr>
    </w:tbl>
    <w:p w14:paraId="630B13FA">
      <w:pPr>
        <w:adjustRightInd w:val="0"/>
        <w:snapToGrid w:val="0"/>
        <w:spacing w:line="360" w:lineRule="auto"/>
        <w:ind w:firstLine="480" w:firstLineChars="200"/>
        <w:rPr>
          <w:color w:val="auto"/>
          <w:sz w:val="24"/>
          <w:szCs w:val="32"/>
        </w:rPr>
      </w:pPr>
      <w:bookmarkStart w:id="123" w:name="_Toc15819"/>
    </w:p>
    <w:p w14:paraId="187548BA">
      <w:pPr>
        <w:adjustRightInd w:val="0"/>
        <w:snapToGrid w:val="0"/>
        <w:spacing w:line="360" w:lineRule="auto"/>
        <w:ind w:firstLine="480" w:firstLineChars="200"/>
        <w:rPr>
          <w:color w:val="auto"/>
          <w:sz w:val="24"/>
          <w:szCs w:val="32"/>
        </w:rPr>
      </w:pPr>
      <w:r>
        <w:rPr>
          <w:color w:val="auto"/>
          <w:sz w:val="24"/>
          <w:szCs w:val="32"/>
        </w:rPr>
        <w:t>2、废水污染物排放标准</w:t>
      </w:r>
      <w:bookmarkEnd w:id="118"/>
      <w:bookmarkEnd w:id="119"/>
      <w:bookmarkEnd w:id="120"/>
      <w:bookmarkEnd w:id="123"/>
    </w:p>
    <w:p w14:paraId="525E1600">
      <w:pPr>
        <w:adjustRightInd w:val="0"/>
        <w:snapToGrid w:val="0"/>
        <w:spacing w:line="360" w:lineRule="auto"/>
        <w:ind w:firstLine="482" w:firstLineChars="200"/>
        <w:rPr>
          <w:color w:val="auto"/>
          <w:sz w:val="24"/>
          <w:szCs w:val="32"/>
        </w:rPr>
      </w:pPr>
      <w:bookmarkStart w:id="124" w:name="_Toc322"/>
      <w:r>
        <w:rPr>
          <w:b/>
          <w:bCs/>
          <w:color w:val="auto"/>
          <w:sz w:val="24"/>
          <w:szCs w:val="32"/>
        </w:rPr>
        <w:t>原环评评价阶段：</w:t>
      </w:r>
      <w:r>
        <w:rPr>
          <w:color w:val="auto"/>
          <w:sz w:val="24"/>
          <w:szCs w:val="32"/>
        </w:rPr>
        <w:t>废水排放执行濉溪县第二污水处理厂接管限值要求。</w:t>
      </w:r>
      <w:bookmarkEnd w:id="124"/>
      <w:bookmarkStart w:id="125" w:name="_Toc1368"/>
    </w:p>
    <w:p w14:paraId="00E70C85">
      <w:pPr>
        <w:adjustRightInd w:val="0"/>
        <w:snapToGrid w:val="0"/>
        <w:spacing w:line="360" w:lineRule="auto"/>
        <w:ind w:firstLine="482" w:firstLineChars="200"/>
        <w:rPr>
          <w:color w:val="auto"/>
          <w:sz w:val="24"/>
        </w:rPr>
      </w:pPr>
      <w:r>
        <w:rPr>
          <w:b/>
          <w:bCs/>
          <w:color w:val="auto"/>
          <w:sz w:val="24"/>
          <w:szCs w:val="32"/>
        </w:rPr>
        <w:t>后评价阶段：</w:t>
      </w:r>
      <w:r>
        <w:rPr>
          <w:color w:val="auto"/>
          <w:sz w:val="24"/>
          <w:szCs w:val="28"/>
        </w:rPr>
        <w:t>本项目生活污水经化粪池预处理后，接管</w:t>
      </w:r>
      <w:r>
        <w:rPr>
          <w:rFonts w:hint="eastAsia"/>
          <w:color w:val="auto"/>
          <w:sz w:val="24"/>
          <w:szCs w:val="28"/>
          <w:lang w:val="en-US" w:eastAsia="zh-CN"/>
        </w:rPr>
        <w:t>至</w:t>
      </w:r>
      <w:r>
        <w:rPr>
          <w:color w:val="auto"/>
          <w:sz w:val="24"/>
          <w:szCs w:val="28"/>
        </w:rPr>
        <w:t>开发区污水管网</w:t>
      </w:r>
      <w:r>
        <w:rPr>
          <w:color w:val="auto"/>
          <w:sz w:val="24"/>
          <w:szCs w:val="32"/>
        </w:rPr>
        <w:t>，</w:t>
      </w:r>
      <w:r>
        <w:rPr>
          <w:rFonts w:hint="eastAsia"/>
          <w:color w:val="auto"/>
          <w:sz w:val="24"/>
          <w:szCs w:val="32"/>
          <w:lang w:val="en-US" w:eastAsia="zh-CN"/>
        </w:rPr>
        <w:t>项目</w:t>
      </w:r>
      <w:r>
        <w:rPr>
          <w:color w:val="auto"/>
          <w:sz w:val="24"/>
          <w:szCs w:val="32"/>
        </w:rPr>
        <w:t>污染因子不变，废水排放仍执行濉溪县第二污水处理厂接管限值</w:t>
      </w:r>
      <w:r>
        <w:rPr>
          <w:rFonts w:hint="eastAsia"/>
          <w:color w:val="auto"/>
          <w:sz w:val="24"/>
          <w:szCs w:val="32"/>
          <w:lang w:val="en-US" w:eastAsia="zh-CN"/>
        </w:rPr>
        <w:t>要求</w:t>
      </w:r>
      <w:r>
        <w:rPr>
          <w:color w:val="auto"/>
          <w:sz w:val="24"/>
          <w:szCs w:val="32"/>
        </w:rPr>
        <w:t>。</w:t>
      </w:r>
      <w:r>
        <w:rPr>
          <w:color w:val="auto"/>
          <w:sz w:val="24"/>
        </w:rPr>
        <w:t>具体限值详见下表：</w:t>
      </w:r>
    </w:p>
    <w:bookmarkEnd w:id="125"/>
    <w:p w14:paraId="3AD7ECDC">
      <w:pPr>
        <w:adjustRightInd w:val="0"/>
        <w:snapToGrid w:val="0"/>
        <w:spacing w:line="360" w:lineRule="auto"/>
        <w:jc w:val="center"/>
        <w:rPr>
          <w:b/>
          <w:bCs/>
          <w:color w:val="auto"/>
          <w:sz w:val="24"/>
          <w:szCs w:val="32"/>
        </w:rPr>
      </w:pPr>
      <w:r>
        <w:rPr>
          <w:b/>
          <w:bCs/>
          <w:color w:val="auto"/>
          <w:sz w:val="24"/>
          <w:szCs w:val="32"/>
        </w:rPr>
        <w:t>表1-1</w:t>
      </w:r>
      <w:r>
        <w:rPr>
          <w:rFonts w:hint="eastAsia"/>
          <w:b/>
          <w:bCs/>
          <w:color w:val="auto"/>
          <w:sz w:val="24"/>
          <w:szCs w:val="32"/>
          <w:lang w:val="en-US" w:eastAsia="zh-CN"/>
        </w:rPr>
        <w:t>4</w:t>
      </w:r>
      <w:r>
        <w:rPr>
          <w:b/>
          <w:bCs/>
          <w:color w:val="auto"/>
          <w:sz w:val="24"/>
          <w:szCs w:val="32"/>
        </w:rPr>
        <w:t xml:space="preserve"> 后评价阶段废水污染物排放标准 （单位：mg/L）</w:t>
      </w:r>
    </w:p>
    <w:tbl>
      <w:tblPr>
        <w:tblStyle w:val="31"/>
        <w:tblW w:w="4993" w:type="pct"/>
        <w:jc w:val="center"/>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autofit"/>
        <w:tblCellMar>
          <w:top w:w="0" w:type="dxa"/>
          <w:left w:w="108" w:type="dxa"/>
          <w:bottom w:w="0" w:type="dxa"/>
          <w:right w:w="108" w:type="dxa"/>
        </w:tblCellMar>
      </w:tblPr>
      <w:tblGrid>
        <w:gridCol w:w="3329"/>
        <w:gridCol w:w="6619"/>
      </w:tblGrid>
      <w:tr w14:paraId="0555C6F5">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08A683A7">
            <w:pPr>
              <w:jc w:val="center"/>
              <w:rPr>
                <w:b/>
                <w:bCs/>
                <w:color w:val="auto"/>
              </w:rPr>
            </w:pPr>
            <w:r>
              <w:rPr>
                <w:b/>
                <w:bCs/>
                <w:color w:val="auto"/>
              </w:rPr>
              <w:t>污染物</w:t>
            </w:r>
          </w:p>
        </w:tc>
        <w:tc>
          <w:tcPr>
            <w:tcW w:w="3326" w:type="pct"/>
            <w:tcBorders>
              <w:tl2br w:val="nil"/>
              <w:tr2bl w:val="nil"/>
            </w:tcBorders>
            <w:vAlign w:val="center"/>
          </w:tcPr>
          <w:p w14:paraId="7715406F">
            <w:pPr>
              <w:jc w:val="center"/>
              <w:rPr>
                <w:b/>
                <w:bCs/>
                <w:color w:val="auto"/>
              </w:rPr>
            </w:pPr>
            <w:r>
              <w:rPr>
                <w:b/>
                <w:bCs/>
                <w:color w:val="auto"/>
              </w:rPr>
              <w:t>濉溪县第二污水处理厂接管限值</w:t>
            </w:r>
          </w:p>
        </w:tc>
      </w:tr>
      <w:tr w14:paraId="43AC3F82">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46BE5662">
            <w:pPr>
              <w:jc w:val="center"/>
              <w:rPr>
                <w:color w:val="auto"/>
              </w:rPr>
            </w:pPr>
            <w:r>
              <w:rPr>
                <w:color w:val="auto"/>
              </w:rPr>
              <w:t>pH</w:t>
            </w:r>
          </w:p>
        </w:tc>
        <w:tc>
          <w:tcPr>
            <w:tcW w:w="3326" w:type="pct"/>
            <w:tcBorders>
              <w:tl2br w:val="nil"/>
              <w:tr2bl w:val="nil"/>
            </w:tcBorders>
            <w:vAlign w:val="center"/>
          </w:tcPr>
          <w:p w14:paraId="0F04BBFB">
            <w:pPr>
              <w:jc w:val="center"/>
              <w:rPr>
                <w:color w:val="auto"/>
              </w:rPr>
            </w:pPr>
            <w:r>
              <w:rPr>
                <w:color w:val="auto"/>
              </w:rPr>
              <w:t>6～9（无量纲）</w:t>
            </w:r>
          </w:p>
        </w:tc>
      </w:tr>
      <w:tr w14:paraId="17F8E180">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420D4853">
            <w:pPr>
              <w:jc w:val="center"/>
              <w:rPr>
                <w:color w:val="auto"/>
              </w:rPr>
            </w:pPr>
            <w:r>
              <w:rPr>
                <w:color w:val="auto"/>
              </w:rPr>
              <w:t>COD</w:t>
            </w:r>
          </w:p>
        </w:tc>
        <w:tc>
          <w:tcPr>
            <w:tcW w:w="3326" w:type="pct"/>
            <w:tcBorders>
              <w:tl2br w:val="nil"/>
              <w:tr2bl w:val="nil"/>
            </w:tcBorders>
            <w:vAlign w:val="center"/>
          </w:tcPr>
          <w:p w14:paraId="129C79C9">
            <w:pPr>
              <w:jc w:val="center"/>
              <w:rPr>
                <w:rFonts w:hint="default" w:eastAsia="宋体"/>
                <w:color w:val="auto"/>
                <w:lang w:val="en-US" w:eastAsia="zh-CN"/>
              </w:rPr>
            </w:pPr>
            <w:r>
              <w:rPr>
                <w:rFonts w:hint="eastAsia"/>
                <w:color w:val="auto"/>
                <w:lang w:val="en-US" w:eastAsia="zh-CN"/>
              </w:rPr>
              <w:t>420</w:t>
            </w:r>
          </w:p>
        </w:tc>
      </w:tr>
      <w:tr w14:paraId="04020F72">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41EF97EF">
            <w:pPr>
              <w:jc w:val="center"/>
              <w:rPr>
                <w:color w:val="auto"/>
              </w:rPr>
            </w:pPr>
            <w:r>
              <w:rPr>
                <w:color w:val="auto"/>
              </w:rPr>
              <w:t>BOD</w:t>
            </w:r>
            <w:r>
              <w:rPr>
                <w:color w:val="auto"/>
                <w:vertAlign w:val="subscript"/>
              </w:rPr>
              <w:t>5</w:t>
            </w:r>
          </w:p>
        </w:tc>
        <w:tc>
          <w:tcPr>
            <w:tcW w:w="3326" w:type="pct"/>
            <w:tcBorders>
              <w:tl2br w:val="nil"/>
              <w:tr2bl w:val="nil"/>
            </w:tcBorders>
            <w:vAlign w:val="center"/>
          </w:tcPr>
          <w:p w14:paraId="1FA47AA7">
            <w:pPr>
              <w:jc w:val="center"/>
              <w:rPr>
                <w:rFonts w:hint="default" w:eastAsia="宋体"/>
                <w:color w:val="auto"/>
                <w:lang w:val="en-US" w:eastAsia="zh-CN"/>
              </w:rPr>
            </w:pPr>
            <w:r>
              <w:rPr>
                <w:rFonts w:hint="eastAsia"/>
                <w:color w:val="auto"/>
                <w:lang w:val="en-US" w:eastAsia="zh-CN"/>
              </w:rPr>
              <w:t>150</w:t>
            </w:r>
          </w:p>
        </w:tc>
      </w:tr>
      <w:tr w14:paraId="5351293E">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5E17336C">
            <w:pPr>
              <w:jc w:val="center"/>
              <w:rPr>
                <w:color w:val="auto"/>
              </w:rPr>
            </w:pPr>
            <w:r>
              <w:rPr>
                <w:color w:val="auto"/>
              </w:rPr>
              <w:t>SS</w:t>
            </w:r>
          </w:p>
        </w:tc>
        <w:tc>
          <w:tcPr>
            <w:tcW w:w="3326" w:type="pct"/>
            <w:tcBorders>
              <w:tl2br w:val="nil"/>
              <w:tr2bl w:val="nil"/>
            </w:tcBorders>
            <w:vAlign w:val="center"/>
          </w:tcPr>
          <w:p w14:paraId="3B1C9A1D">
            <w:pPr>
              <w:jc w:val="center"/>
              <w:rPr>
                <w:rFonts w:hint="default" w:eastAsia="宋体"/>
                <w:color w:val="auto"/>
                <w:lang w:val="en-US" w:eastAsia="zh-CN"/>
              </w:rPr>
            </w:pPr>
            <w:r>
              <w:rPr>
                <w:rFonts w:hint="eastAsia"/>
                <w:color w:val="auto"/>
                <w:lang w:val="en-US" w:eastAsia="zh-CN"/>
              </w:rPr>
              <w:t>250</w:t>
            </w:r>
          </w:p>
        </w:tc>
      </w:tr>
      <w:tr w14:paraId="2CAE4ECE">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6BA82023">
            <w:pPr>
              <w:jc w:val="center"/>
              <w:rPr>
                <w:color w:val="auto"/>
              </w:rPr>
            </w:pPr>
            <w:r>
              <w:rPr>
                <w:color w:val="auto"/>
              </w:rPr>
              <w:t>NH</w:t>
            </w:r>
            <w:r>
              <w:rPr>
                <w:color w:val="auto"/>
                <w:vertAlign w:val="subscript"/>
              </w:rPr>
              <w:t>3</w:t>
            </w:r>
            <w:r>
              <w:rPr>
                <w:color w:val="auto"/>
              </w:rPr>
              <w:t>-N</w:t>
            </w:r>
          </w:p>
        </w:tc>
        <w:tc>
          <w:tcPr>
            <w:tcW w:w="3326" w:type="pct"/>
            <w:tcBorders>
              <w:tl2br w:val="nil"/>
              <w:tr2bl w:val="nil"/>
            </w:tcBorders>
            <w:vAlign w:val="center"/>
          </w:tcPr>
          <w:p w14:paraId="2BE5DF25">
            <w:pPr>
              <w:jc w:val="center"/>
              <w:rPr>
                <w:rFonts w:hint="default" w:eastAsia="宋体"/>
                <w:color w:val="auto"/>
                <w:lang w:val="en-US" w:eastAsia="zh-CN"/>
              </w:rPr>
            </w:pPr>
            <w:r>
              <w:rPr>
                <w:rFonts w:hint="eastAsia"/>
                <w:color w:val="auto"/>
                <w:lang w:val="en-US" w:eastAsia="zh-CN"/>
              </w:rPr>
              <w:t>30</w:t>
            </w:r>
          </w:p>
        </w:tc>
      </w:tr>
      <w:tr w14:paraId="690B0010">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36120FCD">
            <w:pPr>
              <w:jc w:val="center"/>
              <w:rPr>
                <w:color w:val="auto"/>
              </w:rPr>
            </w:pPr>
            <w:r>
              <w:rPr>
                <w:color w:val="auto"/>
              </w:rPr>
              <w:t>总磷</w:t>
            </w:r>
          </w:p>
        </w:tc>
        <w:tc>
          <w:tcPr>
            <w:tcW w:w="3326" w:type="pct"/>
            <w:tcBorders>
              <w:tl2br w:val="nil"/>
              <w:tr2bl w:val="nil"/>
            </w:tcBorders>
            <w:vAlign w:val="center"/>
          </w:tcPr>
          <w:p w14:paraId="6DF4F294">
            <w:pPr>
              <w:jc w:val="center"/>
              <w:rPr>
                <w:rFonts w:hint="default" w:eastAsia="宋体"/>
                <w:color w:val="auto"/>
                <w:lang w:val="en-US" w:eastAsia="zh-CN"/>
              </w:rPr>
            </w:pPr>
            <w:r>
              <w:rPr>
                <w:rFonts w:hint="eastAsia"/>
                <w:color w:val="auto"/>
                <w:lang w:val="en-US" w:eastAsia="zh-CN"/>
              </w:rPr>
              <w:t>2.5</w:t>
            </w:r>
          </w:p>
        </w:tc>
      </w:tr>
    </w:tbl>
    <w:p w14:paraId="0D472CD0">
      <w:pPr>
        <w:adjustRightInd w:val="0"/>
        <w:snapToGrid w:val="0"/>
        <w:spacing w:line="360" w:lineRule="auto"/>
        <w:ind w:firstLine="480" w:firstLineChars="200"/>
        <w:rPr>
          <w:color w:val="auto"/>
          <w:sz w:val="24"/>
          <w:szCs w:val="32"/>
        </w:rPr>
      </w:pPr>
      <w:bookmarkStart w:id="126" w:name="_Toc24111"/>
      <w:bookmarkStart w:id="127" w:name="_Toc10460"/>
      <w:bookmarkStart w:id="128" w:name="_Toc13374"/>
      <w:bookmarkStart w:id="129" w:name="_Toc4053"/>
    </w:p>
    <w:p w14:paraId="660E6005">
      <w:pPr>
        <w:adjustRightInd w:val="0"/>
        <w:snapToGrid w:val="0"/>
        <w:spacing w:line="360" w:lineRule="auto"/>
        <w:ind w:firstLine="480" w:firstLineChars="200"/>
        <w:rPr>
          <w:color w:val="auto"/>
          <w:sz w:val="24"/>
          <w:szCs w:val="32"/>
        </w:rPr>
      </w:pPr>
      <w:r>
        <w:rPr>
          <w:color w:val="auto"/>
          <w:sz w:val="24"/>
          <w:szCs w:val="32"/>
        </w:rPr>
        <w:t>3、厂界噪声排放标准</w:t>
      </w:r>
      <w:bookmarkEnd w:id="126"/>
      <w:bookmarkEnd w:id="127"/>
      <w:bookmarkEnd w:id="128"/>
      <w:bookmarkEnd w:id="129"/>
    </w:p>
    <w:p w14:paraId="50868378">
      <w:pPr>
        <w:adjustRightInd w:val="0"/>
        <w:snapToGrid w:val="0"/>
        <w:spacing w:line="360" w:lineRule="auto"/>
        <w:ind w:firstLine="482" w:firstLineChars="200"/>
        <w:rPr>
          <w:color w:val="auto"/>
          <w:sz w:val="24"/>
          <w:szCs w:val="32"/>
        </w:rPr>
      </w:pPr>
      <w:r>
        <w:rPr>
          <w:b/>
          <w:bCs/>
          <w:color w:val="auto"/>
          <w:sz w:val="24"/>
        </w:rPr>
        <w:t>原环评评价阶段：</w:t>
      </w:r>
      <w:r>
        <w:rPr>
          <w:color w:val="auto"/>
          <w:sz w:val="24"/>
          <w:szCs w:val="32"/>
        </w:rPr>
        <w:t>营运期厂界噪声排放执行《工业企业厂界环境噪声排放标准》（GB12348-2008）中</w:t>
      </w:r>
      <w:r>
        <w:rPr>
          <w:rFonts w:hint="eastAsia"/>
          <w:color w:val="auto"/>
          <w:sz w:val="24"/>
          <w:szCs w:val="32"/>
          <w:lang w:val="en-US" w:eastAsia="zh-CN"/>
        </w:rPr>
        <w:t>2</w:t>
      </w:r>
      <w:r>
        <w:rPr>
          <w:color w:val="auto"/>
          <w:sz w:val="24"/>
          <w:szCs w:val="32"/>
        </w:rPr>
        <w:t>类标准要求。</w:t>
      </w:r>
    </w:p>
    <w:p w14:paraId="536E82C3">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营运期厂界噪声排放仍执行《工业企业厂界环境噪声排放标准》（GB12348-2008）中3类标准要求。具体限值详见下表：</w:t>
      </w:r>
    </w:p>
    <w:p w14:paraId="519B4975">
      <w:pPr>
        <w:adjustRightInd w:val="0"/>
        <w:snapToGrid w:val="0"/>
        <w:spacing w:line="360" w:lineRule="auto"/>
        <w:jc w:val="center"/>
        <w:rPr>
          <w:b/>
          <w:bCs/>
          <w:color w:val="auto"/>
          <w:sz w:val="24"/>
          <w:szCs w:val="32"/>
        </w:rPr>
      </w:pPr>
      <w:r>
        <w:rPr>
          <w:b/>
          <w:bCs/>
          <w:color w:val="auto"/>
          <w:sz w:val="24"/>
          <w:szCs w:val="32"/>
        </w:rPr>
        <w:t>表1-1</w:t>
      </w:r>
      <w:r>
        <w:rPr>
          <w:rFonts w:hint="eastAsia"/>
          <w:b/>
          <w:bCs/>
          <w:color w:val="auto"/>
          <w:sz w:val="24"/>
          <w:szCs w:val="32"/>
          <w:lang w:val="en-US" w:eastAsia="zh-CN"/>
        </w:rPr>
        <w:t>5</w:t>
      </w:r>
      <w:r>
        <w:rPr>
          <w:b/>
          <w:bCs/>
          <w:color w:val="auto"/>
          <w:sz w:val="24"/>
          <w:szCs w:val="32"/>
        </w:rPr>
        <w:t xml:space="preserve"> </w:t>
      </w:r>
      <w:r>
        <w:rPr>
          <w:b/>
          <w:bCs/>
          <w:color w:val="auto"/>
          <w:sz w:val="24"/>
        </w:rPr>
        <w:t>后评价阶段</w:t>
      </w:r>
      <w:r>
        <w:rPr>
          <w:b/>
          <w:bCs/>
          <w:color w:val="auto"/>
          <w:sz w:val="24"/>
          <w:szCs w:val="32"/>
        </w:rPr>
        <w:t>厂界噪声排放标准</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831"/>
        <w:gridCol w:w="3060"/>
        <w:gridCol w:w="3063"/>
      </w:tblGrid>
      <w:tr w14:paraId="0FB632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924" w:type="pct"/>
            <w:vMerge w:val="restart"/>
            <w:tcBorders>
              <w:tl2br w:val="nil"/>
              <w:tr2bl w:val="nil"/>
            </w:tcBorders>
            <w:vAlign w:val="center"/>
          </w:tcPr>
          <w:p w14:paraId="4D5DE671">
            <w:pPr>
              <w:jc w:val="center"/>
              <w:rPr>
                <w:b/>
                <w:bCs/>
                <w:color w:val="auto"/>
              </w:rPr>
            </w:pPr>
            <w:r>
              <w:rPr>
                <w:b/>
                <w:bCs/>
                <w:color w:val="auto"/>
              </w:rPr>
              <w:t>执行标准类别</w:t>
            </w:r>
          </w:p>
        </w:tc>
        <w:tc>
          <w:tcPr>
            <w:tcW w:w="3075" w:type="pct"/>
            <w:gridSpan w:val="2"/>
            <w:tcBorders>
              <w:tl2br w:val="nil"/>
              <w:tr2bl w:val="nil"/>
            </w:tcBorders>
            <w:vAlign w:val="center"/>
          </w:tcPr>
          <w:p w14:paraId="265E6E32">
            <w:pPr>
              <w:jc w:val="center"/>
              <w:rPr>
                <w:b/>
                <w:bCs/>
                <w:color w:val="auto"/>
              </w:rPr>
            </w:pPr>
            <w:r>
              <w:rPr>
                <w:b/>
                <w:bCs/>
                <w:color w:val="auto"/>
              </w:rPr>
              <w:t>标准值[dB(A)]</w:t>
            </w:r>
          </w:p>
        </w:tc>
      </w:tr>
      <w:tr w14:paraId="11B51D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924" w:type="pct"/>
            <w:vMerge w:val="continue"/>
            <w:tcBorders>
              <w:tl2br w:val="nil"/>
              <w:tr2bl w:val="nil"/>
            </w:tcBorders>
            <w:vAlign w:val="center"/>
          </w:tcPr>
          <w:p w14:paraId="5BB3BDE2">
            <w:pPr>
              <w:jc w:val="center"/>
              <w:rPr>
                <w:b/>
                <w:bCs/>
                <w:color w:val="auto"/>
              </w:rPr>
            </w:pPr>
          </w:p>
        </w:tc>
        <w:tc>
          <w:tcPr>
            <w:tcW w:w="1537" w:type="pct"/>
            <w:tcBorders>
              <w:tl2br w:val="nil"/>
              <w:tr2bl w:val="nil"/>
            </w:tcBorders>
            <w:vAlign w:val="center"/>
          </w:tcPr>
          <w:p w14:paraId="19887D1E">
            <w:pPr>
              <w:jc w:val="center"/>
              <w:rPr>
                <w:b/>
                <w:bCs/>
                <w:color w:val="auto"/>
              </w:rPr>
            </w:pPr>
            <w:r>
              <w:rPr>
                <w:b/>
                <w:bCs/>
                <w:color w:val="auto"/>
              </w:rPr>
              <w:t>昼间</w:t>
            </w:r>
          </w:p>
        </w:tc>
        <w:tc>
          <w:tcPr>
            <w:tcW w:w="1537" w:type="pct"/>
            <w:tcBorders>
              <w:tl2br w:val="nil"/>
              <w:tr2bl w:val="nil"/>
            </w:tcBorders>
            <w:vAlign w:val="center"/>
          </w:tcPr>
          <w:p w14:paraId="24349E99">
            <w:pPr>
              <w:jc w:val="center"/>
              <w:rPr>
                <w:b/>
                <w:bCs/>
                <w:color w:val="auto"/>
              </w:rPr>
            </w:pPr>
            <w:r>
              <w:rPr>
                <w:b/>
                <w:bCs/>
                <w:color w:val="auto"/>
              </w:rPr>
              <w:t>夜间</w:t>
            </w:r>
          </w:p>
        </w:tc>
      </w:tr>
      <w:tr w14:paraId="289A69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24" w:type="pct"/>
            <w:tcBorders>
              <w:tl2br w:val="nil"/>
              <w:tr2bl w:val="nil"/>
            </w:tcBorders>
            <w:vAlign w:val="center"/>
          </w:tcPr>
          <w:p w14:paraId="6C4C348C">
            <w:pPr>
              <w:jc w:val="center"/>
              <w:rPr>
                <w:color w:val="auto"/>
              </w:rPr>
            </w:pPr>
            <w:r>
              <w:rPr>
                <w:color w:val="auto"/>
              </w:rPr>
              <w:t>GB12348-2008中3类标准</w:t>
            </w:r>
          </w:p>
        </w:tc>
        <w:tc>
          <w:tcPr>
            <w:tcW w:w="1537" w:type="pct"/>
            <w:tcBorders>
              <w:tl2br w:val="nil"/>
              <w:tr2bl w:val="nil"/>
            </w:tcBorders>
            <w:vAlign w:val="center"/>
          </w:tcPr>
          <w:p w14:paraId="4288BD32">
            <w:pPr>
              <w:jc w:val="center"/>
              <w:rPr>
                <w:color w:val="auto"/>
              </w:rPr>
            </w:pPr>
            <w:r>
              <w:rPr>
                <w:color w:val="auto"/>
              </w:rPr>
              <w:t>65</w:t>
            </w:r>
          </w:p>
        </w:tc>
        <w:tc>
          <w:tcPr>
            <w:tcW w:w="1537" w:type="pct"/>
            <w:tcBorders>
              <w:tl2br w:val="nil"/>
              <w:tr2bl w:val="nil"/>
            </w:tcBorders>
            <w:vAlign w:val="center"/>
          </w:tcPr>
          <w:p w14:paraId="12CEF505">
            <w:pPr>
              <w:jc w:val="center"/>
              <w:rPr>
                <w:color w:val="auto"/>
              </w:rPr>
            </w:pPr>
            <w:r>
              <w:rPr>
                <w:color w:val="auto"/>
              </w:rPr>
              <w:t>55</w:t>
            </w:r>
          </w:p>
        </w:tc>
      </w:tr>
    </w:tbl>
    <w:p w14:paraId="46D6E527">
      <w:pPr>
        <w:adjustRightInd w:val="0"/>
        <w:snapToGrid w:val="0"/>
        <w:spacing w:before="152" w:beforeLines="50" w:line="360" w:lineRule="auto"/>
        <w:ind w:firstLine="480" w:firstLineChars="200"/>
        <w:rPr>
          <w:color w:val="auto"/>
          <w:sz w:val="24"/>
          <w:szCs w:val="32"/>
        </w:rPr>
      </w:pPr>
      <w:bookmarkStart w:id="130" w:name="_Toc25998"/>
      <w:bookmarkStart w:id="131" w:name="_Toc32215"/>
      <w:bookmarkStart w:id="132" w:name="_Toc12482"/>
      <w:bookmarkStart w:id="133" w:name="_Toc24116"/>
      <w:r>
        <w:rPr>
          <w:color w:val="auto"/>
          <w:sz w:val="24"/>
          <w:szCs w:val="32"/>
        </w:rPr>
        <w:t>4、固体废弃物执行标准</w:t>
      </w:r>
      <w:bookmarkEnd w:id="130"/>
      <w:bookmarkEnd w:id="131"/>
      <w:bookmarkEnd w:id="132"/>
      <w:bookmarkEnd w:id="133"/>
    </w:p>
    <w:p w14:paraId="3D21E82D">
      <w:pPr>
        <w:adjustRightInd w:val="0"/>
        <w:snapToGrid w:val="0"/>
        <w:spacing w:line="360" w:lineRule="auto"/>
        <w:ind w:firstLine="482" w:firstLineChars="200"/>
        <w:rPr>
          <w:color w:val="auto"/>
          <w:sz w:val="24"/>
          <w:szCs w:val="32"/>
        </w:rPr>
      </w:pPr>
      <w:bookmarkStart w:id="134" w:name="_Toc426556293"/>
      <w:r>
        <w:rPr>
          <w:b/>
          <w:bCs/>
          <w:color w:val="auto"/>
          <w:sz w:val="24"/>
        </w:rPr>
        <w:t>原环评评价阶段：</w:t>
      </w:r>
      <w:r>
        <w:rPr>
          <w:color w:val="auto"/>
          <w:sz w:val="24"/>
        </w:rPr>
        <w:t>一般固体废弃物处置执行GB18599—2001《一般工业固体废物贮存、处置场污染控制标准》；危险废物执行《危险废物贮存污染控制标准》（GB18597-2001）及2013年修改单有关规定。</w:t>
      </w:r>
    </w:p>
    <w:p w14:paraId="58D4EC79">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由于标准更新，现阶段一般工业固体废物贮存参照执行《中华人民共和国固体废物污染环境防治法》，其贮存场所应满足《一般工业固体废物贮存和填埋污染控制标准》（GB18599-2020）中防渗漏、防雨淋、防扬尘等环境保护要求；危险废物贮存执行《危险废物贮存污染控制标准》（GB18597-2023）中有关规定。</w:t>
      </w:r>
    </w:p>
    <w:p w14:paraId="7B80CDE6">
      <w:pPr>
        <w:adjustRightInd w:val="0"/>
        <w:snapToGrid w:val="0"/>
        <w:spacing w:line="360" w:lineRule="auto"/>
        <w:outlineLvl w:val="1"/>
        <w:rPr>
          <w:b/>
          <w:bCs/>
          <w:color w:val="auto"/>
          <w:sz w:val="28"/>
          <w:szCs w:val="36"/>
        </w:rPr>
      </w:pPr>
      <w:bookmarkStart w:id="135" w:name="_Toc22910"/>
      <w:r>
        <w:rPr>
          <w:b/>
          <w:bCs/>
          <w:color w:val="auto"/>
          <w:sz w:val="28"/>
          <w:szCs w:val="36"/>
        </w:rPr>
        <w:t>1.7政策与规划相符性</w:t>
      </w:r>
      <w:bookmarkEnd w:id="135"/>
    </w:p>
    <w:p w14:paraId="1767D8A2">
      <w:pPr>
        <w:adjustRightInd w:val="0"/>
        <w:snapToGrid w:val="0"/>
        <w:spacing w:line="360" w:lineRule="auto"/>
        <w:ind w:firstLine="480" w:firstLineChars="200"/>
        <w:rPr>
          <w:color w:val="auto"/>
          <w:sz w:val="24"/>
          <w:szCs w:val="32"/>
        </w:rPr>
      </w:pPr>
      <w:bookmarkStart w:id="136" w:name="_Toc26694"/>
      <w:bookmarkStart w:id="137" w:name="_Toc16993"/>
      <w:bookmarkStart w:id="138" w:name="_Toc30881"/>
      <w:bookmarkStart w:id="139" w:name="_Toc4741"/>
      <w:r>
        <w:rPr>
          <w:color w:val="auto"/>
          <w:sz w:val="24"/>
          <w:szCs w:val="32"/>
        </w:rPr>
        <w:t>1、产业政策符合性分析</w:t>
      </w:r>
      <w:bookmarkEnd w:id="136"/>
      <w:bookmarkEnd w:id="137"/>
      <w:bookmarkEnd w:id="138"/>
      <w:bookmarkEnd w:id="139"/>
    </w:p>
    <w:p w14:paraId="4EEEF208">
      <w:pPr>
        <w:adjustRightInd w:val="0"/>
        <w:snapToGrid w:val="0"/>
        <w:spacing w:line="360" w:lineRule="auto"/>
        <w:ind w:firstLine="480" w:firstLineChars="200"/>
        <w:rPr>
          <w:rFonts w:hint="default"/>
          <w:color w:val="auto"/>
          <w:sz w:val="24"/>
          <w:szCs w:val="32"/>
        </w:rPr>
      </w:pPr>
      <w:bookmarkStart w:id="140" w:name="OLE_LINK489"/>
      <w:r>
        <w:rPr>
          <w:rFonts w:hint="default"/>
          <w:color w:val="auto"/>
          <w:sz w:val="24"/>
          <w:szCs w:val="32"/>
          <w:lang w:val="en-US" w:eastAsia="zh-CN"/>
        </w:rPr>
        <w:t>对照《产业结构调整指导目录（2024年本）》，本项目</w:t>
      </w:r>
      <w:r>
        <w:rPr>
          <w:rFonts w:hint="default"/>
          <w:color w:val="auto"/>
          <w:sz w:val="24"/>
          <w:szCs w:val="32"/>
        </w:rPr>
        <w:t>项目属于第一类</w:t>
      </w:r>
      <w:r>
        <w:rPr>
          <w:rFonts w:hint="eastAsia"/>
          <w:color w:val="auto"/>
          <w:sz w:val="24"/>
          <w:szCs w:val="32"/>
        </w:rPr>
        <w:t>“鼓励类”</w:t>
      </w:r>
      <w:r>
        <w:rPr>
          <w:rFonts w:hint="default"/>
          <w:color w:val="auto"/>
          <w:sz w:val="24"/>
          <w:szCs w:val="32"/>
        </w:rPr>
        <w:t>第九项</w:t>
      </w:r>
      <w:r>
        <w:rPr>
          <w:rFonts w:hint="eastAsia"/>
          <w:color w:val="auto"/>
          <w:sz w:val="24"/>
          <w:szCs w:val="32"/>
        </w:rPr>
        <w:t>“有色金属”</w:t>
      </w:r>
      <w:r>
        <w:rPr>
          <w:rFonts w:hint="default"/>
          <w:color w:val="auto"/>
          <w:sz w:val="24"/>
          <w:szCs w:val="32"/>
        </w:rPr>
        <w:t>第3条</w:t>
      </w:r>
      <w:r>
        <w:rPr>
          <w:rFonts w:hint="eastAsia"/>
          <w:color w:val="auto"/>
          <w:sz w:val="24"/>
          <w:szCs w:val="32"/>
        </w:rPr>
        <w:t>“综合利用</w:t>
      </w:r>
      <w:r>
        <w:rPr>
          <w:rFonts w:hint="eastAsia"/>
          <w:color w:val="auto"/>
          <w:sz w:val="24"/>
          <w:szCs w:val="32"/>
          <w:lang w:eastAsia="zh-CN"/>
        </w:rPr>
        <w:t>：</w:t>
      </w:r>
      <w:r>
        <w:rPr>
          <w:rFonts w:hint="eastAsia"/>
          <w:color w:val="auto"/>
          <w:sz w:val="24"/>
          <w:szCs w:val="32"/>
        </w:rPr>
        <w:t>高效、节能、低污染、规模化再生资源回收与综合利用。</w:t>
      </w:r>
      <w:r>
        <w:rPr>
          <w:rFonts w:hint="default"/>
          <w:color w:val="auto"/>
          <w:sz w:val="24"/>
          <w:szCs w:val="32"/>
        </w:rPr>
        <w:t>①废杂有色金属回收利用</w:t>
      </w:r>
      <w:r>
        <w:rPr>
          <w:rFonts w:hint="default"/>
          <w:color w:val="auto"/>
          <w:sz w:val="24"/>
          <w:szCs w:val="32"/>
          <w:lang w:eastAsia="zh-CN"/>
        </w:rPr>
        <w:t>；</w:t>
      </w:r>
      <w:r>
        <w:rPr>
          <w:rFonts w:hint="default"/>
          <w:color w:val="auto"/>
          <w:sz w:val="24"/>
          <w:szCs w:val="32"/>
        </w:rPr>
        <w:t>②有价元素的综合利用</w:t>
      </w:r>
      <w:r>
        <w:rPr>
          <w:rFonts w:hint="default"/>
          <w:color w:val="auto"/>
          <w:sz w:val="24"/>
          <w:szCs w:val="32"/>
          <w:lang w:eastAsia="zh-CN"/>
        </w:rPr>
        <w:t>；</w:t>
      </w:r>
      <w:r>
        <w:rPr>
          <w:rFonts w:hint="default"/>
          <w:color w:val="auto"/>
          <w:sz w:val="24"/>
          <w:szCs w:val="32"/>
        </w:rPr>
        <w:t>③赤泥及其它冶炼废渣综合利用</w:t>
      </w:r>
      <w:r>
        <w:rPr>
          <w:rFonts w:hint="default"/>
          <w:color w:val="auto"/>
          <w:sz w:val="24"/>
          <w:szCs w:val="32"/>
          <w:lang w:eastAsia="zh-CN"/>
        </w:rPr>
        <w:t>；</w:t>
      </w:r>
      <w:r>
        <w:rPr>
          <w:rFonts w:hint="default"/>
          <w:color w:val="auto"/>
          <w:sz w:val="24"/>
          <w:szCs w:val="32"/>
        </w:rPr>
        <w:t>④高铝粉煤灰提取氧化铝等</w:t>
      </w:r>
      <w:r>
        <w:rPr>
          <w:rFonts w:hint="default"/>
          <w:color w:val="auto"/>
          <w:sz w:val="24"/>
          <w:szCs w:val="32"/>
          <w:lang w:eastAsia="zh-CN"/>
        </w:rPr>
        <w:t>；</w:t>
      </w:r>
      <w:r>
        <w:rPr>
          <w:rFonts w:hint="default"/>
          <w:color w:val="auto"/>
          <w:sz w:val="24"/>
          <w:szCs w:val="32"/>
        </w:rPr>
        <w:t>钨冶炼废渣的减量化、资源化和无害化利用处置</w:t>
      </w:r>
      <w:r>
        <w:rPr>
          <w:rFonts w:hint="default"/>
          <w:color w:val="auto"/>
          <w:sz w:val="24"/>
          <w:szCs w:val="32"/>
          <w:lang w:eastAsia="zh-CN"/>
        </w:rPr>
        <w:t>；</w:t>
      </w:r>
      <w:r>
        <w:rPr>
          <w:rFonts w:hint="default"/>
          <w:color w:val="auto"/>
          <w:sz w:val="24"/>
          <w:szCs w:val="32"/>
        </w:rPr>
        <w:t>⑥锌湿法冶炼浸出渣资源化利用和无害化处置</w:t>
      </w:r>
      <w:r>
        <w:rPr>
          <w:rFonts w:hint="default"/>
          <w:color w:val="auto"/>
          <w:sz w:val="24"/>
          <w:szCs w:val="32"/>
          <w:lang w:eastAsia="zh-CN"/>
        </w:rPr>
        <w:t>；</w:t>
      </w:r>
      <w:r>
        <w:rPr>
          <w:rFonts w:hint="default"/>
          <w:color w:val="auto"/>
          <w:sz w:val="24"/>
          <w:szCs w:val="32"/>
        </w:rPr>
        <w:t>⑦铝灰渣资源化利用</w:t>
      </w:r>
      <w:r>
        <w:rPr>
          <w:rFonts w:hint="default"/>
          <w:color w:val="auto"/>
          <w:sz w:val="24"/>
          <w:szCs w:val="32"/>
          <w:lang w:eastAsia="zh-CN"/>
        </w:rPr>
        <w:t>；</w:t>
      </w:r>
      <w:r>
        <w:rPr>
          <w:rFonts w:hint="eastAsia"/>
          <w:color w:val="auto"/>
          <w:sz w:val="24"/>
          <w:szCs w:val="32"/>
          <w:lang w:val="en-US" w:eastAsia="zh-CN"/>
        </w:rPr>
        <w:t>⑧</w:t>
      </w:r>
      <w:r>
        <w:rPr>
          <w:rFonts w:hint="default"/>
          <w:color w:val="auto"/>
          <w:sz w:val="24"/>
          <w:szCs w:val="32"/>
        </w:rPr>
        <w:t>再生有色金属新材料</w:t>
      </w:r>
      <w:r>
        <w:rPr>
          <w:rFonts w:hint="eastAsia"/>
          <w:color w:val="auto"/>
          <w:sz w:val="24"/>
          <w:szCs w:val="32"/>
        </w:rPr>
        <w:t>”</w:t>
      </w:r>
      <w:r>
        <w:rPr>
          <w:rFonts w:hint="default"/>
          <w:color w:val="auto"/>
          <w:sz w:val="24"/>
          <w:szCs w:val="32"/>
        </w:rPr>
        <w:t>中废杂有色金属回收利用类项目</w:t>
      </w:r>
      <w:r>
        <w:rPr>
          <w:rFonts w:hint="eastAsia"/>
          <w:color w:val="auto"/>
          <w:sz w:val="24"/>
          <w:szCs w:val="32"/>
          <w:lang w:val="en-US" w:eastAsia="zh-CN"/>
        </w:rPr>
        <w:t>，</w:t>
      </w:r>
      <w:r>
        <w:rPr>
          <w:rFonts w:hint="default"/>
          <w:color w:val="auto"/>
          <w:sz w:val="24"/>
          <w:szCs w:val="32"/>
        </w:rPr>
        <w:t>因此</w:t>
      </w:r>
      <w:r>
        <w:rPr>
          <w:rFonts w:hint="eastAsia"/>
          <w:color w:val="auto"/>
          <w:sz w:val="24"/>
          <w:szCs w:val="32"/>
          <w:lang w:eastAsia="zh-CN"/>
        </w:rPr>
        <w:t>，</w:t>
      </w:r>
      <w:r>
        <w:rPr>
          <w:rFonts w:hint="default"/>
          <w:color w:val="auto"/>
          <w:sz w:val="24"/>
          <w:szCs w:val="32"/>
        </w:rPr>
        <w:t>本项目属于国家鼓励类建设的项目。</w:t>
      </w:r>
      <w:bookmarkEnd w:id="140"/>
    </w:p>
    <w:p w14:paraId="295F7E46">
      <w:pPr>
        <w:adjustRightInd w:val="0"/>
        <w:snapToGrid w:val="0"/>
        <w:spacing w:line="360" w:lineRule="auto"/>
        <w:ind w:firstLine="480" w:firstLineChars="200"/>
        <w:rPr>
          <w:color w:val="auto"/>
          <w:sz w:val="24"/>
          <w:szCs w:val="32"/>
        </w:rPr>
      </w:pPr>
      <w:r>
        <w:rPr>
          <w:color w:val="auto"/>
          <w:sz w:val="24"/>
          <w:szCs w:val="32"/>
        </w:rPr>
        <w:t>2、与《</w:t>
      </w:r>
      <w:bookmarkStart w:id="141" w:name="OLE_LINK492"/>
      <w:r>
        <w:rPr>
          <w:color w:val="auto"/>
          <w:sz w:val="24"/>
          <w:szCs w:val="32"/>
        </w:rPr>
        <w:t>《安徽濉溪经济开发区扩展区总体规划（2020-2035）》</w:t>
      </w:r>
      <w:bookmarkEnd w:id="141"/>
      <w:r>
        <w:rPr>
          <w:color w:val="auto"/>
          <w:sz w:val="24"/>
          <w:szCs w:val="32"/>
        </w:rPr>
        <w:t>环境影响报告书》及审查意见符合性分析</w:t>
      </w:r>
    </w:p>
    <w:p w14:paraId="5A9B15AD">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lang w:val="en-US" w:eastAsia="zh-CN"/>
        </w:rPr>
        <w:t>规划范围</w:t>
      </w:r>
    </w:p>
    <w:p w14:paraId="4F4CBD5D">
      <w:pPr>
        <w:adjustRightInd w:val="0"/>
        <w:snapToGrid w:val="0"/>
        <w:spacing w:line="360" w:lineRule="auto"/>
        <w:ind w:firstLine="480" w:firstLineChars="200"/>
        <w:rPr>
          <w:rFonts w:hint="default"/>
          <w:color w:val="auto"/>
          <w:sz w:val="24"/>
          <w:szCs w:val="32"/>
        </w:rPr>
      </w:pPr>
      <w:r>
        <w:rPr>
          <w:rFonts w:hint="default"/>
          <w:color w:val="auto"/>
          <w:sz w:val="24"/>
          <w:szCs w:val="32"/>
        </w:rPr>
        <w:t>2020年11月安徽濉溪经济开发区管理委员会委托安徽城乡规划设计研究院编制了《安徽濉溪经济开发区扩展区总体规划（2020-2035）》，2020年1月5日，濉溪县人民政府出具了《关于设立濉溪经济开发区扩展区的批复》（濉政秘[2021]3号），同意设立濉溪经济开发区扩展区，并明确扩展区为县级工业集中区，由濉溪经济开发区代管。规范范围分为两个区块，总面积为634.21公顷。</w:t>
      </w:r>
    </w:p>
    <w:p w14:paraId="37D8EA85">
      <w:pPr>
        <w:adjustRightInd w:val="0"/>
        <w:snapToGrid w:val="0"/>
        <w:spacing w:line="360" w:lineRule="auto"/>
        <w:ind w:firstLine="480" w:firstLineChars="200"/>
        <w:rPr>
          <w:rFonts w:hint="default"/>
          <w:color w:val="auto"/>
          <w:sz w:val="24"/>
          <w:szCs w:val="32"/>
        </w:rPr>
      </w:pPr>
      <w:r>
        <w:rPr>
          <w:rFonts w:hint="default"/>
          <w:color w:val="auto"/>
          <w:sz w:val="24"/>
          <w:szCs w:val="32"/>
        </w:rPr>
        <w:t>区块一位于刘桥镇工业园区，北至淮北鼎丰混凝土有限公司，南至沟，东至道路，西至塌陷坑塘、濉溪县刘桥镇陈集村村民委员会，面积6.30公顷；</w:t>
      </w:r>
    </w:p>
    <w:p w14:paraId="7169911B">
      <w:pPr>
        <w:adjustRightInd w:val="0"/>
        <w:snapToGrid w:val="0"/>
        <w:spacing w:line="360" w:lineRule="auto"/>
        <w:ind w:firstLine="480" w:firstLineChars="200"/>
        <w:rPr>
          <w:rFonts w:hint="default"/>
          <w:color w:val="auto"/>
          <w:sz w:val="24"/>
          <w:szCs w:val="32"/>
        </w:rPr>
      </w:pPr>
      <w:r>
        <w:rPr>
          <w:rFonts w:hint="default"/>
          <w:color w:val="auto"/>
          <w:sz w:val="24"/>
          <w:szCs w:val="32"/>
        </w:rPr>
        <w:t>区块二北至刘桥路，南抵巴河北路，东至杨槐路，西至育才路，面积627.91公顷。规划主导产业为新能源新材料、高端装备制造业、节能环保产业，具体位置及要求如下：</w:t>
      </w:r>
    </w:p>
    <w:p w14:paraId="60A98E9C">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①</w:t>
      </w:r>
      <w:r>
        <w:rPr>
          <w:rFonts w:hint="eastAsia"/>
          <w:color w:val="auto"/>
          <w:sz w:val="24"/>
          <w:szCs w:val="32"/>
          <w:lang w:eastAsia="zh-CN"/>
        </w:rPr>
        <w:t>新材料专业园：位于园区北部，东至杨楼沟，南到玉兰大道，西近育才路，北至范围线，用地面积205.16公顷。该专业园内部侧重安排新型材料技术研发与材料运用。</w:t>
      </w:r>
    </w:p>
    <w:p w14:paraId="6B0A05D4">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②</w:t>
      </w:r>
      <w:r>
        <w:rPr>
          <w:rFonts w:hint="eastAsia"/>
          <w:color w:val="auto"/>
          <w:sz w:val="24"/>
          <w:szCs w:val="32"/>
          <w:lang w:eastAsia="zh-CN"/>
        </w:rPr>
        <w:t>高端装备制造专业园：区块一位于园区西南部，东到利民沟，南至白杨西路路，西近育才路，北临玉兰大道，用地面积96.11公顷。区块二位于刘桥工业园区内，面积6.30公顷。总面积102.41公顷。该专业园内部进一步细分为智能设备、高端装备、环保设备制造区。</w:t>
      </w:r>
    </w:p>
    <w:p w14:paraId="1EB61A52">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③</w:t>
      </w:r>
      <w:r>
        <w:rPr>
          <w:rFonts w:hint="eastAsia"/>
          <w:color w:val="auto"/>
          <w:sz w:val="24"/>
          <w:szCs w:val="32"/>
          <w:lang w:eastAsia="zh-CN"/>
        </w:rPr>
        <w:t>新能源专业园：位于东南部，东至范围线，南至巴河北路，西临利民沟，北至玉兰大道，用地面积291.02公顷。该专业园主要发展新能源产品和相关配套技术开发研究。</w:t>
      </w:r>
    </w:p>
    <w:p w14:paraId="54C06B11">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本项目位于</w:t>
      </w:r>
      <w:r>
        <w:rPr>
          <w:rFonts w:hint="eastAsia"/>
          <w:color w:val="auto"/>
          <w:sz w:val="24"/>
          <w:szCs w:val="32"/>
          <w:lang w:eastAsia="zh-CN"/>
        </w:rPr>
        <w:t>新能源专业园</w:t>
      </w:r>
      <w:r>
        <w:rPr>
          <w:rFonts w:hint="eastAsia"/>
          <w:color w:val="auto"/>
          <w:sz w:val="24"/>
          <w:szCs w:val="32"/>
          <w:lang w:val="en-US" w:eastAsia="zh-CN"/>
        </w:rPr>
        <w:t>，项目用地性质为工业用地，主要为</w:t>
      </w:r>
      <w:r>
        <w:rPr>
          <w:rFonts w:hint="eastAsia"/>
          <w:color w:val="auto"/>
          <w:sz w:val="24"/>
          <w:szCs w:val="32"/>
          <w:lang w:eastAsia="zh-CN"/>
        </w:rPr>
        <w:t>保级利用超宽幅铝合金板</w:t>
      </w:r>
      <w:r>
        <w:rPr>
          <w:rFonts w:hint="eastAsia"/>
          <w:color w:val="auto"/>
          <w:sz w:val="24"/>
          <w:szCs w:val="32"/>
          <w:lang w:val="en-US" w:eastAsia="zh-CN"/>
        </w:rPr>
        <w:t>产品的生产，属于《国民经济行业分类》（2017）中</w:t>
      </w:r>
      <w:r>
        <w:rPr>
          <w:rFonts w:hint="eastAsia"/>
          <w:color w:val="auto"/>
          <w:sz w:val="24"/>
          <w:szCs w:val="32"/>
          <w:lang w:eastAsia="zh-CN"/>
        </w:rPr>
        <w:t>有色金属冶炼（C3216）</w:t>
      </w:r>
      <w:r>
        <w:rPr>
          <w:rFonts w:hint="eastAsia"/>
          <w:color w:val="auto"/>
          <w:sz w:val="24"/>
          <w:szCs w:val="32"/>
          <w:lang w:val="en-US" w:eastAsia="zh-CN"/>
        </w:rPr>
        <w:t>，</w:t>
      </w:r>
      <w:r>
        <w:rPr>
          <w:rFonts w:hint="eastAsia"/>
          <w:color w:val="auto"/>
          <w:sz w:val="24"/>
          <w:szCs w:val="32"/>
          <w:lang w:eastAsia="zh-CN"/>
        </w:rPr>
        <w:t>符合</w:t>
      </w:r>
      <w:bookmarkStart w:id="142" w:name="OLE_LINK22"/>
      <w:r>
        <w:rPr>
          <w:rFonts w:hint="eastAsia"/>
          <w:color w:val="auto"/>
          <w:sz w:val="24"/>
          <w:szCs w:val="32"/>
          <w:lang w:eastAsia="zh-CN"/>
        </w:rPr>
        <w:t>《安徽濉溪经济开发区扩展区总体规划（2020-2035）》</w:t>
      </w:r>
      <w:bookmarkEnd w:id="142"/>
      <w:r>
        <w:rPr>
          <w:rFonts w:hint="eastAsia"/>
          <w:color w:val="auto"/>
          <w:sz w:val="24"/>
          <w:szCs w:val="32"/>
          <w:lang w:eastAsia="zh-CN"/>
        </w:rPr>
        <w:t>的要求</w:t>
      </w:r>
      <w:r>
        <w:rPr>
          <w:rFonts w:hint="eastAsia"/>
          <w:color w:val="auto"/>
          <w:sz w:val="24"/>
          <w:szCs w:val="32"/>
          <w:lang w:val="en-US" w:eastAsia="zh-CN"/>
        </w:rPr>
        <w:t>，安徽省濉溪经济开发区扩展区总体发展规划图分别见图1-1。因此，本项目符合安徽省濉溪经济开发区扩展区规划。</w:t>
      </w:r>
    </w:p>
    <w:p w14:paraId="17E5FEB8">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项目与</w:t>
      </w:r>
      <w:bookmarkStart w:id="143" w:name="OLE_LINK16"/>
      <w:r>
        <w:rPr>
          <w:rFonts w:hint="eastAsia"/>
          <w:color w:val="auto"/>
          <w:sz w:val="24"/>
          <w:szCs w:val="32"/>
          <w:lang w:eastAsia="zh-CN"/>
        </w:rPr>
        <w:t>《</w:t>
      </w:r>
      <w:bookmarkStart w:id="144" w:name="OLE_LINK63"/>
      <w:r>
        <w:rPr>
          <w:rFonts w:hint="eastAsia"/>
          <w:color w:val="auto"/>
          <w:sz w:val="24"/>
          <w:szCs w:val="32"/>
          <w:lang w:eastAsia="zh-CN"/>
        </w:rPr>
        <w:t>安徽濉溪经济开发区</w:t>
      </w:r>
      <w:bookmarkEnd w:id="144"/>
      <w:r>
        <w:rPr>
          <w:rFonts w:hint="eastAsia"/>
          <w:color w:val="auto"/>
          <w:sz w:val="24"/>
          <w:szCs w:val="32"/>
          <w:lang w:eastAsia="zh-CN"/>
        </w:rPr>
        <w:t>扩展区总体规划（2020-2035）</w:t>
      </w:r>
      <w:r>
        <w:rPr>
          <w:rFonts w:hint="eastAsia"/>
          <w:color w:val="auto"/>
          <w:sz w:val="24"/>
          <w:szCs w:val="32"/>
          <w:lang w:val="en-US" w:eastAsia="zh-CN"/>
        </w:rPr>
        <w:t>环境影响报告书</w:t>
      </w:r>
      <w:r>
        <w:rPr>
          <w:rFonts w:hint="eastAsia"/>
          <w:color w:val="auto"/>
          <w:sz w:val="24"/>
          <w:szCs w:val="32"/>
          <w:lang w:eastAsia="zh-CN"/>
        </w:rPr>
        <w:t>》</w:t>
      </w:r>
      <w:bookmarkEnd w:id="143"/>
      <w:r>
        <w:rPr>
          <w:rFonts w:hint="eastAsia"/>
          <w:color w:val="auto"/>
          <w:sz w:val="24"/>
          <w:szCs w:val="32"/>
          <w:lang w:val="en-US" w:eastAsia="zh-CN"/>
        </w:rPr>
        <w:t>及审查意见符合性见下表1-16。</w:t>
      </w:r>
    </w:p>
    <w:p w14:paraId="130B108D">
      <w:pPr>
        <w:adjustRightInd w:val="0"/>
        <w:snapToGrid w:val="0"/>
        <w:spacing w:line="360" w:lineRule="auto"/>
        <w:ind w:firstLine="480" w:firstLineChars="200"/>
        <w:rPr>
          <w:rFonts w:hint="default"/>
          <w:color w:val="auto"/>
          <w:sz w:val="24"/>
          <w:szCs w:val="32"/>
          <w:lang w:val="en-US" w:eastAsia="zh-CN"/>
        </w:rPr>
      </w:pPr>
      <w:r>
        <w:rPr>
          <w:rFonts w:hint="eastAsia"/>
          <w:color w:val="auto"/>
          <w:sz w:val="24"/>
          <w:szCs w:val="32"/>
          <w:lang w:val="en-US" w:eastAsia="zh-CN"/>
        </w:rPr>
        <w:t>项目</w:t>
      </w:r>
      <w:r>
        <w:rPr>
          <w:rFonts w:hint="eastAsia"/>
          <w:color w:val="auto"/>
          <w:sz w:val="24"/>
          <w:szCs w:val="32"/>
          <w:lang w:eastAsia="zh-CN"/>
        </w:rPr>
        <w:t>与安徽濉溪经济开发区生态环境准入清单符合性分析</w:t>
      </w:r>
      <w:r>
        <w:rPr>
          <w:rFonts w:hint="eastAsia"/>
          <w:color w:val="auto"/>
          <w:sz w:val="24"/>
          <w:szCs w:val="32"/>
          <w:lang w:val="en-US" w:eastAsia="zh-CN"/>
        </w:rPr>
        <w:t>见表1-17。</w:t>
      </w:r>
    </w:p>
    <w:p w14:paraId="0CA03B8F">
      <w:pPr>
        <w:adjustRightInd w:val="0"/>
        <w:snapToGrid w:val="0"/>
        <w:spacing w:line="360" w:lineRule="auto"/>
        <w:ind w:firstLine="480" w:firstLineChars="200"/>
        <w:rPr>
          <w:rFonts w:hint="eastAsia"/>
          <w:color w:val="auto"/>
          <w:sz w:val="24"/>
          <w:szCs w:val="32"/>
          <w:lang w:eastAsia="zh-CN"/>
        </w:rPr>
        <w:sectPr>
          <w:footerReference r:id="rId10" w:type="default"/>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p>
    <w:p w14:paraId="483738F7">
      <w:pPr>
        <w:adjustRightInd w:val="0"/>
        <w:snapToGrid w:val="0"/>
        <w:spacing w:line="360" w:lineRule="auto"/>
        <w:jc w:val="center"/>
        <w:rPr>
          <w:rFonts w:hint="default" w:eastAsia="宋体"/>
          <w:color w:val="auto"/>
          <w:sz w:val="24"/>
          <w:szCs w:val="32"/>
          <w:lang w:val="en-US" w:eastAsia="zh-CN"/>
        </w:rPr>
        <w:sectPr>
          <w:pgSz w:w="16838" w:h="11906" w:orient="landscape"/>
          <w:pgMar w:top="1080" w:right="1440" w:bottom="1080" w:left="1440" w:header="1020" w:footer="992" w:gutter="0"/>
          <w:pgBorders>
            <w:top w:val="none" w:sz="0" w:space="0"/>
            <w:left w:val="none" w:sz="0" w:space="0"/>
            <w:bottom w:val="none" w:sz="0" w:space="0"/>
            <w:right w:val="none" w:sz="0" w:space="0"/>
          </w:pgBorders>
          <w:pgNumType w:fmt="numberInDash"/>
          <w:cols w:space="0" w:num="1"/>
          <w:docGrid w:type="lines" w:linePitch="304" w:charSpace="0"/>
        </w:sectPr>
      </w:pPr>
      <w:r>
        <w:rPr>
          <w:color w:val="auto"/>
          <w:sz w:val="24"/>
        </w:rPr>
        <mc:AlternateContent>
          <mc:Choice Requires="wps">
            <w:drawing>
              <wp:anchor distT="0" distB="0" distL="114300" distR="114300" simplePos="0" relativeHeight="251673600" behindDoc="0" locked="0" layoutInCell="1" allowOverlap="1">
                <wp:simplePos x="0" y="0"/>
                <wp:positionH relativeFrom="column">
                  <wp:posOffset>4472940</wp:posOffset>
                </wp:positionH>
                <wp:positionV relativeFrom="paragraph">
                  <wp:posOffset>2181860</wp:posOffset>
                </wp:positionV>
                <wp:extent cx="1177290" cy="339725"/>
                <wp:effectExtent l="4445" t="5080" r="170815" b="741045"/>
                <wp:wrapNone/>
                <wp:docPr id="70" name="圆角矩形标注 70"/>
                <wp:cNvGraphicFramePr/>
                <a:graphic xmlns:a="http://schemas.openxmlformats.org/drawingml/2006/main">
                  <a:graphicData uri="http://schemas.microsoft.com/office/word/2010/wordprocessingShape">
                    <wps:wsp>
                      <wps:cNvSpPr/>
                      <wps:spPr>
                        <a:xfrm>
                          <a:off x="0" y="0"/>
                          <a:ext cx="1177290" cy="339725"/>
                        </a:xfrm>
                        <a:prstGeom prst="wedgeRoundRectCallout">
                          <a:avLst>
                            <a:gd name="adj1" fmla="val 63002"/>
                            <a:gd name="adj2" fmla="val 263457"/>
                            <a:gd name="adj3" fmla="val 16667"/>
                          </a:avLst>
                        </a:prstGeom>
                        <a:ln w="3175"/>
                      </wps:spPr>
                      <wps:style>
                        <a:lnRef idx="2">
                          <a:schemeClr val="accent1">
                            <a:lumMod val="75000"/>
                          </a:schemeClr>
                        </a:lnRef>
                        <a:fillRef idx="1">
                          <a:schemeClr val="accent1"/>
                        </a:fillRef>
                        <a:effectRef idx="0">
                          <a:srgbClr val="FFFFFF"/>
                        </a:effectRef>
                        <a:fontRef idx="minor">
                          <a:schemeClr val="lt1"/>
                        </a:fontRef>
                      </wps:style>
                      <wps:txbx>
                        <w:txbxContent>
                          <w:p w14:paraId="670B85CA">
                            <w:pPr>
                              <w:bidi w:val="0"/>
                              <w:spacing w:line="240" w:lineRule="auto"/>
                              <w:jc w:val="center"/>
                              <w:rPr>
                                <w:rFonts w:hint="default"/>
                                <w:b/>
                                <w:bCs/>
                                <w:sz w:val="22"/>
                                <w:szCs w:val="28"/>
                                <w:lang w:val="en-US" w:eastAsia="zh-CN"/>
                              </w:rPr>
                            </w:pPr>
                            <w:r>
                              <w:rPr>
                                <w:rFonts w:hint="default"/>
                                <w:b/>
                                <w:bCs/>
                                <w:sz w:val="22"/>
                                <w:szCs w:val="28"/>
                                <w:lang w:val="en-US" w:eastAsia="zh-CN"/>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52.2pt;margin-top:171.8pt;height:26.75pt;width:92.7pt;z-index:251673600;v-text-anchor:middle;mso-width-relative:page;mso-height-relative:page;" fillcolor="#4F81BD [3204]" filled="t" stroked="t" coordsize="21600,21600" o:gfxdata="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LUQI63AAAAAsBAAAPAAAAAAAAAAEAIAAAACIAAABkcnMvZG93bnJldi54bWxQSwECFAAU&#10;AAAACACHTuJA3gHgMdECAACeBQAADgAAAAAAAAABACAAAAArAQAAZHJzL2Uyb0RvYy54bWxQSwUG&#10;AAAAAAYABgBZAQAAbgYAAAAA&#10;" adj="24408,67707,14400">
                <v:fill on="t" focussize="0,0"/>
                <v:stroke weight="0.25pt" color="#376092 [2404]" joinstyle="round"/>
                <v:imagedata o:title=""/>
                <o:lock v:ext="edit" aspectratio="f"/>
                <v:textbox>
                  <w:txbxContent>
                    <w:p w14:paraId="670B85CA">
                      <w:pPr>
                        <w:bidi w:val="0"/>
                        <w:spacing w:line="240" w:lineRule="auto"/>
                        <w:jc w:val="center"/>
                        <w:rPr>
                          <w:rFonts w:hint="default"/>
                          <w:b/>
                          <w:bCs/>
                          <w:sz w:val="22"/>
                          <w:szCs w:val="28"/>
                          <w:lang w:val="en-US" w:eastAsia="zh-CN"/>
                        </w:rPr>
                      </w:pPr>
                      <w:r>
                        <w:rPr>
                          <w:rFonts w:hint="default"/>
                          <w:b/>
                          <w:bCs/>
                          <w:sz w:val="22"/>
                          <w:szCs w:val="28"/>
                          <w:lang w:val="en-US" w:eastAsia="zh-CN"/>
                        </w:rPr>
                        <w:t>项目所在地</w:t>
                      </w:r>
                    </w:p>
                  </w:txbxContent>
                </v:textbox>
              </v:shape>
            </w:pict>
          </mc:Fallback>
        </mc:AlternateContent>
      </w:r>
      <w:r>
        <w:rPr>
          <w:color w:val="auto"/>
          <w:sz w:val="24"/>
        </w:rPr>
        <mc:AlternateContent>
          <mc:Choice Requires="wps">
            <w:drawing>
              <wp:anchor distT="0" distB="0" distL="114300" distR="114300" simplePos="0" relativeHeight="251672576" behindDoc="0" locked="0" layoutInCell="1" allowOverlap="1">
                <wp:simplePos x="0" y="0"/>
                <wp:positionH relativeFrom="column">
                  <wp:posOffset>5783580</wp:posOffset>
                </wp:positionH>
                <wp:positionV relativeFrom="paragraph">
                  <wp:posOffset>3148330</wp:posOffset>
                </wp:positionV>
                <wp:extent cx="143510" cy="219710"/>
                <wp:effectExtent l="17145" t="26035" r="29845" b="40005"/>
                <wp:wrapNone/>
                <wp:docPr id="71" name="矩形 71"/>
                <wp:cNvGraphicFramePr/>
                <a:graphic xmlns:a="http://schemas.openxmlformats.org/drawingml/2006/main">
                  <a:graphicData uri="http://schemas.microsoft.com/office/word/2010/wordprocessingShape">
                    <wps:wsp>
                      <wps:cNvSpPr/>
                      <wps:spPr>
                        <a:xfrm rot="6120000">
                          <a:off x="0" y="0"/>
                          <a:ext cx="143510" cy="219710"/>
                        </a:xfrm>
                        <a:prstGeom prst="rect">
                          <a:avLst/>
                        </a:prstGeom>
                        <a:solidFill>
                          <a:srgbClr val="FFFF00">
                            <a:alpha val="36000"/>
                          </a:srgbClr>
                        </a:solidFill>
                        <a:ln w="9525">
                          <a:solidFill>
                            <a:srgbClr val="0A36F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4pt;margin-top:247.9pt;height:17.3pt;width:11.3pt;rotation:6684672f;z-index:251672576;v-text-anchor:middle;mso-width-relative:page;mso-height-relative:page;" fillcolor="#FFFF00" filled="t" stroked="t" coordsize="21600,21600" o:gfxdata="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yI/53tkAAAALAQAADwAAAAAAAAABACAA&#10;AAAiAAAAZHJzL2Rvd25yZXYueG1sUEsBAhQAFAAAAAgAh07iQPf86g9+AgAADAUAAA4AAAAAAAAA&#10;AQAgAAAAKAEAAGRycy9lMm9Eb2MueG1sUEsFBgAAAAAGAAYAWQEAABgGAAAAAA==&#10;">
                <v:fill on="t" opacity="23592f" focussize="0,0"/>
                <v:stroke color="#0A36F2 [2404]" joinstyle="round"/>
                <v:imagedata o:title=""/>
                <o:lock v:ext="edit" aspectratio="f"/>
              </v:rect>
            </w:pict>
          </mc:Fallback>
        </mc:AlternateContent>
      </w:r>
      <w:r>
        <w:rPr>
          <w:rFonts w:hint="eastAsia" w:ascii="宋体" w:hAnsi="宋体" w:cs="宋体"/>
          <w:color w:val="auto"/>
        </w:rPr>
        <w:drawing>
          <wp:inline distT="0" distB="0" distL="114300" distR="114300">
            <wp:extent cx="8975090" cy="5465445"/>
            <wp:effectExtent l="0" t="0" r="16510" b="1905"/>
            <wp:docPr id="570" name="图片 7" descr="07用地布局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7" descr="07用地布局图"/>
                    <pic:cNvPicPr>
                      <a:picLocks noChangeAspect="1"/>
                    </pic:cNvPicPr>
                  </pic:nvPicPr>
                  <pic:blipFill>
                    <a:blip r:embed="rId16"/>
                    <a:stretch>
                      <a:fillRect/>
                    </a:stretch>
                  </pic:blipFill>
                  <pic:spPr>
                    <a:xfrm>
                      <a:off x="0" y="0"/>
                      <a:ext cx="8975090" cy="5465445"/>
                    </a:xfrm>
                    <a:prstGeom prst="rect">
                      <a:avLst/>
                    </a:prstGeom>
                    <a:noFill/>
                    <a:ln>
                      <a:noFill/>
                    </a:ln>
                  </pic:spPr>
                </pic:pic>
              </a:graphicData>
            </a:graphic>
          </wp:inline>
        </w:drawing>
      </w:r>
      <w:r>
        <w:rPr>
          <w:rFonts w:hint="default" w:ascii="Times New Roman" w:hAnsi="Times New Roman" w:cs="Times New Roman"/>
          <w:b/>
          <w:bCs/>
          <w:color w:val="auto"/>
          <w:sz w:val="24"/>
          <w:szCs w:val="24"/>
          <w:lang w:val="en-US" w:eastAsia="zh-CN"/>
        </w:rPr>
        <w:t xml:space="preserve">图1-1 </w:t>
      </w:r>
      <w:r>
        <w:rPr>
          <w:rFonts w:hint="eastAsia" w:ascii="Times New Roman" w:hAnsi="Times New Roman" w:cs="Times New Roman"/>
          <w:b/>
          <w:bCs/>
          <w:color w:val="auto"/>
          <w:sz w:val="24"/>
          <w:szCs w:val="24"/>
          <w:lang w:val="en-US" w:eastAsia="zh-CN"/>
        </w:rPr>
        <w:t>本项目厂址与濉溪经济开发区扩展区用地布局</w:t>
      </w:r>
      <w:r>
        <w:rPr>
          <w:rFonts w:hint="eastAsia" w:cs="Times New Roman"/>
          <w:b/>
          <w:bCs/>
          <w:color w:val="auto"/>
          <w:sz w:val="24"/>
          <w:szCs w:val="24"/>
          <w:lang w:val="en-US" w:eastAsia="zh-CN"/>
        </w:rPr>
        <w:t>示意图</w:t>
      </w:r>
    </w:p>
    <w:p w14:paraId="778EF67B">
      <w:pPr>
        <w:adjustRightInd w:val="0"/>
        <w:snapToGrid w:val="0"/>
        <w:spacing w:line="360" w:lineRule="auto"/>
        <w:jc w:val="center"/>
        <w:rPr>
          <w:rFonts w:hint="default"/>
          <w:b/>
          <w:bCs/>
          <w:color w:val="auto"/>
          <w:sz w:val="24"/>
          <w:szCs w:val="32"/>
          <w:lang w:val="en-US" w:eastAsia="zh-CN"/>
        </w:rPr>
      </w:pPr>
      <w:r>
        <w:rPr>
          <w:rFonts w:hint="eastAsia"/>
          <w:b/>
          <w:bCs/>
          <w:color w:val="auto"/>
          <w:sz w:val="24"/>
          <w:szCs w:val="32"/>
          <w:lang w:val="en-US" w:eastAsia="zh-CN"/>
        </w:rPr>
        <w:t>表1-16 项目与</w:t>
      </w:r>
      <w:bookmarkStart w:id="145" w:name="OLE_LINK491"/>
      <w:r>
        <w:rPr>
          <w:rFonts w:hint="eastAsia"/>
          <w:b/>
          <w:bCs/>
          <w:color w:val="auto"/>
          <w:sz w:val="24"/>
          <w:szCs w:val="32"/>
          <w:lang w:val="en-US" w:eastAsia="zh-CN"/>
        </w:rPr>
        <w:t>安徽濉溪经济开发区</w:t>
      </w:r>
      <w:bookmarkEnd w:id="145"/>
      <w:r>
        <w:rPr>
          <w:rFonts w:hint="eastAsia"/>
          <w:b/>
          <w:bCs/>
          <w:color w:val="auto"/>
          <w:sz w:val="24"/>
          <w:szCs w:val="32"/>
          <w:lang w:val="en-US" w:eastAsia="zh-CN"/>
        </w:rPr>
        <w:t>扩展区总体规划环评及审查意见符合性一览表</w:t>
      </w:r>
    </w:p>
    <w:tbl>
      <w:tblPr>
        <w:tblStyle w:val="31"/>
        <w:tblW w:w="4997"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75"/>
        <w:gridCol w:w="4430"/>
        <w:gridCol w:w="3584"/>
        <w:gridCol w:w="1167"/>
      </w:tblGrid>
      <w:tr w14:paraId="22F970A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67255D07">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序号</w:t>
            </w:r>
          </w:p>
        </w:tc>
        <w:tc>
          <w:tcPr>
            <w:tcW w:w="2224" w:type="pct"/>
            <w:vAlign w:val="center"/>
          </w:tcPr>
          <w:p w14:paraId="7A560EA4">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环保管控要求</w:t>
            </w:r>
          </w:p>
        </w:tc>
        <w:tc>
          <w:tcPr>
            <w:tcW w:w="1799" w:type="pct"/>
            <w:vAlign w:val="center"/>
          </w:tcPr>
          <w:p w14:paraId="2A4EC7F4">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本项目情况</w:t>
            </w:r>
          </w:p>
        </w:tc>
        <w:tc>
          <w:tcPr>
            <w:tcW w:w="586" w:type="pct"/>
            <w:vAlign w:val="center"/>
          </w:tcPr>
          <w:p w14:paraId="066301B6">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符合性</w:t>
            </w:r>
          </w:p>
        </w:tc>
      </w:tr>
      <w:tr w14:paraId="62307A5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32C8E2DC">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1</w:t>
            </w:r>
          </w:p>
        </w:tc>
        <w:tc>
          <w:tcPr>
            <w:tcW w:w="2224" w:type="pct"/>
            <w:vAlign w:val="center"/>
          </w:tcPr>
          <w:p w14:paraId="47D088CB">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严格落实本规划与相关规划及环境管理要求的协调性。《规划》应与上位规划、环境保护规划、行业发展规划相协调。</w:t>
            </w:r>
          </w:p>
        </w:tc>
        <w:tc>
          <w:tcPr>
            <w:tcW w:w="1799" w:type="pct"/>
            <w:vAlign w:val="center"/>
          </w:tcPr>
          <w:p w14:paraId="2ED4EC4A">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w:t>
            </w:r>
          </w:p>
        </w:tc>
        <w:tc>
          <w:tcPr>
            <w:tcW w:w="586" w:type="pct"/>
            <w:vAlign w:val="center"/>
          </w:tcPr>
          <w:p w14:paraId="0E7C24F0">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w:t>
            </w:r>
          </w:p>
        </w:tc>
      </w:tr>
      <w:tr w14:paraId="027E4FA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2FDA059D">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2</w:t>
            </w:r>
          </w:p>
        </w:tc>
        <w:tc>
          <w:tcPr>
            <w:tcW w:w="2224" w:type="pct"/>
            <w:vAlign w:val="center"/>
          </w:tcPr>
          <w:p w14:paraId="23364FC1">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根据国家和区域发展战略，加快推进区内产业优化和转型，逐步淘汰不符合区域发展战略要求和环境保护要求的产业。对于废铝再生行业，按照《铝行业准入条件》等提出准入限制条件，并提出优化调整建议。严格产业的环境准入，引进项目的生产工艺、设备、污染治理技术以及单位产品能耗、物耗、污染物排放和资源利用率均需达到相关园区指标要求。</w:t>
            </w:r>
          </w:p>
        </w:tc>
        <w:tc>
          <w:tcPr>
            <w:tcW w:w="1799" w:type="pct"/>
            <w:vAlign w:val="center"/>
          </w:tcPr>
          <w:p w14:paraId="7612E346">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本项目</w:t>
            </w:r>
            <w:r>
              <w:rPr>
                <w:rFonts w:hint="default" w:ascii="Times New Roman" w:hAnsi="Times New Roman" w:eastAsia="宋体" w:cs="Times New Roman"/>
                <w:color w:val="auto"/>
                <w:kern w:val="0"/>
                <w:sz w:val="21"/>
                <w:szCs w:val="21"/>
                <w:lang w:val="en-US" w:eastAsia="zh-CN" w:bidi="en-US"/>
              </w:rPr>
              <w:t>对照《产业结构调整指导目录（2024年本）》，本项目</w:t>
            </w:r>
            <w:r>
              <w:rPr>
                <w:rFonts w:hint="default" w:ascii="Times New Roman" w:hAnsi="Times New Roman" w:eastAsia="宋体" w:cs="Times New Roman"/>
                <w:color w:val="auto"/>
                <w:kern w:val="0"/>
                <w:sz w:val="21"/>
                <w:szCs w:val="21"/>
                <w:lang w:bidi="en-US"/>
              </w:rPr>
              <w:t>项目属于第一类</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鼓励类</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第九项</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有色金属</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第3条</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综合利用</w:t>
            </w:r>
            <w:r>
              <w:rPr>
                <w:rFonts w:hint="default" w:ascii="Times New Roman" w:hAnsi="Times New Roman" w:eastAsia="宋体" w:cs="Times New Roman"/>
                <w:color w:val="auto"/>
                <w:kern w:val="0"/>
                <w:sz w:val="21"/>
                <w:szCs w:val="21"/>
                <w:lang w:eastAsia="zh-CN" w:bidi="en-US"/>
              </w:rPr>
              <w:t>：</w:t>
            </w:r>
            <w:r>
              <w:rPr>
                <w:rFonts w:hint="default" w:ascii="Times New Roman" w:hAnsi="Times New Roman" w:eastAsia="宋体" w:cs="Times New Roman"/>
                <w:color w:val="auto"/>
                <w:kern w:val="0"/>
                <w:sz w:val="21"/>
                <w:szCs w:val="21"/>
                <w:lang w:bidi="en-US"/>
              </w:rPr>
              <w:t>高效、节能、低污染、规模化再生资源回收与综合利用</w:t>
            </w:r>
            <w:r>
              <w:rPr>
                <w:rFonts w:hint="eastAsia" w:cs="Times New Roman"/>
                <w:color w:val="auto"/>
                <w:kern w:val="0"/>
                <w:sz w:val="21"/>
                <w:szCs w:val="21"/>
                <w:lang w:val="en-US" w:eastAsia="zh-CN" w:bidi="en-US"/>
              </w:rPr>
              <w:t>项目</w:t>
            </w:r>
            <w:r>
              <w:rPr>
                <w:rFonts w:hint="eastAsia" w:cs="Times New Roman"/>
                <w:color w:val="auto"/>
                <w:kern w:val="0"/>
                <w:sz w:val="21"/>
                <w:szCs w:val="21"/>
                <w:lang w:eastAsia="zh-CN" w:bidi="en-US"/>
              </w:rPr>
              <w:t>”</w:t>
            </w:r>
            <w:r>
              <w:rPr>
                <w:rFonts w:hint="default" w:ascii="Times New Roman" w:hAnsi="Times New Roman" w:eastAsia="宋体" w:cs="Times New Roman"/>
                <w:color w:val="auto"/>
                <w:kern w:val="0"/>
                <w:sz w:val="21"/>
                <w:szCs w:val="21"/>
                <w:lang w:bidi="en-US"/>
              </w:rPr>
              <w:t>。本项目满足相关清洁生产指标要求。</w:t>
            </w:r>
          </w:p>
        </w:tc>
        <w:tc>
          <w:tcPr>
            <w:tcW w:w="586" w:type="pct"/>
            <w:vAlign w:val="center"/>
          </w:tcPr>
          <w:p w14:paraId="661898BE">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r w14:paraId="018695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6577835D">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3</w:t>
            </w:r>
          </w:p>
        </w:tc>
        <w:tc>
          <w:tcPr>
            <w:tcW w:w="2224" w:type="pct"/>
            <w:vAlign w:val="center"/>
          </w:tcPr>
          <w:p w14:paraId="0E3D02D6">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完善园区基础设施建设。细化园区集中供热方案及实施计划，结合园区供水、排水和供气（供热）等规划，合理确定开发规模。综合考虑园区排水规划，明确中水回用途径，提高中水利用率。明确加快园区污水管网建设进度。加强危险废物管理，完善危险废物贮存、处置规划。</w:t>
            </w:r>
          </w:p>
        </w:tc>
        <w:tc>
          <w:tcPr>
            <w:tcW w:w="1799" w:type="pct"/>
            <w:vAlign w:val="center"/>
          </w:tcPr>
          <w:p w14:paraId="4863BF18">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本项目</w:t>
            </w:r>
            <w:r>
              <w:rPr>
                <w:rFonts w:hint="eastAsia" w:cs="Times New Roman"/>
                <w:color w:val="auto"/>
                <w:kern w:val="0"/>
                <w:sz w:val="21"/>
                <w:szCs w:val="21"/>
                <w:lang w:val="en-US" w:eastAsia="zh-CN" w:bidi="en-US"/>
              </w:rPr>
              <w:t>依托</w:t>
            </w:r>
            <w:r>
              <w:rPr>
                <w:rFonts w:hint="default" w:ascii="Times New Roman" w:hAnsi="Times New Roman" w:eastAsia="宋体" w:cs="Times New Roman"/>
                <w:color w:val="auto"/>
                <w:kern w:val="0"/>
                <w:sz w:val="21"/>
                <w:szCs w:val="21"/>
                <w:lang w:bidi="en-US"/>
              </w:rPr>
              <w:t>园区供水、供气及排水</w:t>
            </w:r>
            <w:r>
              <w:rPr>
                <w:rFonts w:hint="eastAsia" w:cs="Times New Roman"/>
                <w:color w:val="auto"/>
                <w:kern w:val="0"/>
                <w:sz w:val="21"/>
                <w:szCs w:val="21"/>
                <w:lang w:val="en-US" w:eastAsia="zh-CN" w:bidi="en-US"/>
              </w:rPr>
              <w:t>设施</w:t>
            </w:r>
            <w:r>
              <w:rPr>
                <w:rFonts w:hint="default" w:ascii="Times New Roman" w:hAnsi="Times New Roman" w:eastAsia="宋体" w:cs="Times New Roman"/>
                <w:color w:val="auto"/>
                <w:kern w:val="0"/>
                <w:sz w:val="21"/>
                <w:szCs w:val="21"/>
                <w:lang w:bidi="en-US"/>
              </w:rPr>
              <w:t>。项目所在位置的污水管网已经建设完成。项目生产过程中产生的危险废物</w:t>
            </w:r>
            <w:r>
              <w:rPr>
                <w:rFonts w:hint="eastAsia" w:cs="Times New Roman"/>
                <w:color w:val="auto"/>
                <w:kern w:val="0"/>
                <w:sz w:val="21"/>
                <w:szCs w:val="21"/>
                <w:lang w:val="en-US" w:eastAsia="zh-CN" w:bidi="en-US"/>
              </w:rPr>
              <w:t>已</w:t>
            </w:r>
            <w:r>
              <w:rPr>
                <w:rFonts w:hint="default" w:ascii="Times New Roman" w:hAnsi="Times New Roman" w:eastAsia="宋体" w:cs="Times New Roman"/>
                <w:color w:val="auto"/>
                <w:kern w:val="0"/>
                <w:sz w:val="21"/>
                <w:szCs w:val="21"/>
                <w:lang w:bidi="en-US"/>
              </w:rPr>
              <w:t>按照相关规范要求，严格进行落实。</w:t>
            </w:r>
          </w:p>
        </w:tc>
        <w:tc>
          <w:tcPr>
            <w:tcW w:w="586" w:type="pct"/>
            <w:vAlign w:val="center"/>
          </w:tcPr>
          <w:p w14:paraId="4FA750AA">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r w14:paraId="43D45F6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204C7D0A">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4</w:t>
            </w:r>
          </w:p>
        </w:tc>
        <w:tc>
          <w:tcPr>
            <w:tcW w:w="2224" w:type="pct"/>
            <w:vAlign w:val="center"/>
          </w:tcPr>
          <w:p w14:paraId="30D2E681">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加强园区环境风险防控。统筹考虑区内污染物排放、水环境保护、环境风险防范、环境管理等，健全区域风险防范体系和生态安全保障体系，加强园区内重要环境风险源的管控，制定并落实园区环境风险应急预案。</w:t>
            </w:r>
          </w:p>
        </w:tc>
        <w:tc>
          <w:tcPr>
            <w:tcW w:w="1799" w:type="pct"/>
            <w:vAlign w:val="center"/>
          </w:tcPr>
          <w:p w14:paraId="7BA6AE82">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val="en-US" w:eastAsia="zh-CN" w:bidi="en-US"/>
              </w:rPr>
              <w:t>项目已按照规定健全环境风险防范体系建设、配套建设环境风险应急与防范措施</w:t>
            </w:r>
            <w:r>
              <w:rPr>
                <w:rFonts w:hint="default" w:ascii="Times New Roman" w:hAnsi="Times New Roman" w:eastAsia="宋体" w:cs="Times New Roman"/>
                <w:color w:val="auto"/>
                <w:kern w:val="0"/>
                <w:sz w:val="21"/>
                <w:szCs w:val="21"/>
                <w:lang w:bidi="en-US"/>
              </w:rPr>
              <w:t>；项目</w:t>
            </w:r>
            <w:r>
              <w:rPr>
                <w:rFonts w:hint="eastAsia" w:cs="Times New Roman"/>
                <w:color w:val="auto"/>
                <w:kern w:val="0"/>
                <w:sz w:val="21"/>
                <w:szCs w:val="21"/>
                <w:lang w:val="en-US" w:eastAsia="zh-CN" w:bidi="en-US"/>
              </w:rPr>
              <w:t>已按照相关规范要求加强固体废物</w:t>
            </w:r>
            <w:r>
              <w:rPr>
                <w:rFonts w:hint="default" w:ascii="Times New Roman" w:hAnsi="Times New Roman" w:eastAsia="宋体" w:cs="Times New Roman"/>
                <w:color w:val="auto"/>
                <w:kern w:val="0"/>
                <w:sz w:val="21"/>
                <w:szCs w:val="21"/>
                <w:lang w:bidi="en-US"/>
              </w:rPr>
              <w:t>台账管理。</w:t>
            </w:r>
          </w:p>
        </w:tc>
        <w:tc>
          <w:tcPr>
            <w:tcW w:w="586" w:type="pct"/>
            <w:vAlign w:val="center"/>
          </w:tcPr>
          <w:p w14:paraId="7907D698">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r w14:paraId="3A62FF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215FAE19">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5</w:t>
            </w:r>
          </w:p>
        </w:tc>
        <w:tc>
          <w:tcPr>
            <w:tcW w:w="2224" w:type="pct"/>
            <w:vAlign w:val="center"/>
          </w:tcPr>
          <w:p w14:paraId="60CE09D0">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落实污染物排放总量控制要求，采取有效措施减少COD、氨氮、SO</w:t>
            </w:r>
            <w:r>
              <w:rPr>
                <w:rFonts w:hint="default" w:ascii="Times New Roman" w:hAnsi="Times New Roman" w:eastAsia="宋体" w:cs="Times New Roman"/>
                <w:color w:val="auto"/>
                <w:kern w:val="0"/>
                <w:sz w:val="21"/>
                <w:szCs w:val="21"/>
                <w:vertAlign w:val="subscript"/>
                <w:lang w:bidi="en-US"/>
              </w:rPr>
              <w:t>2</w:t>
            </w:r>
            <w:r>
              <w:rPr>
                <w:rFonts w:hint="default" w:ascii="Times New Roman" w:hAnsi="Times New Roman" w:eastAsia="宋体" w:cs="Times New Roman"/>
                <w:color w:val="auto"/>
                <w:kern w:val="0"/>
                <w:sz w:val="21"/>
                <w:szCs w:val="21"/>
                <w:lang w:bidi="en-US"/>
              </w:rPr>
              <w:t>、NOx、颗粒物、VOCs、重金属等污染物的排放，确保满足区域环境功能要求。</w:t>
            </w:r>
          </w:p>
        </w:tc>
        <w:tc>
          <w:tcPr>
            <w:tcW w:w="1799" w:type="pct"/>
            <w:vAlign w:val="center"/>
          </w:tcPr>
          <w:p w14:paraId="449B09FC">
            <w:pPr>
              <w:jc w:val="center"/>
              <w:rPr>
                <w:rFonts w:hint="default" w:ascii="Times New Roman" w:hAnsi="Times New Roman" w:eastAsia="宋体" w:cs="Times New Roman"/>
                <w:color w:val="auto"/>
                <w:kern w:val="0"/>
                <w:sz w:val="21"/>
                <w:szCs w:val="21"/>
                <w:lang w:bidi="en-US"/>
              </w:rPr>
            </w:pPr>
            <w:r>
              <w:rPr>
                <w:rFonts w:hint="eastAsia"/>
                <w:color w:val="auto"/>
                <w:lang w:val="en-US" w:eastAsia="zh-CN"/>
              </w:rPr>
              <w:t>项目严格执行污染物排放总量控制要求，严格实施环境监测计划工作，</w:t>
            </w:r>
            <w:r>
              <w:rPr>
                <w:rFonts w:hint="default" w:ascii="Times New Roman" w:hAnsi="Times New Roman" w:eastAsia="宋体" w:cs="Times New Roman"/>
                <w:color w:val="auto"/>
                <w:kern w:val="0"/>
                <w:sz w:val="21"/>
                <w:szCs w:val="21"/>
                <w:lang w:bidi="en-US"/>
              </w:rPr>
              <w:t>确保满足区域环境功能要求。</w:t>
            </w:r>
          </w:p>
        </w:tc>
        <w:tc>
          <w:tcPr>
            <w:tcW w:w="586" w:type="pct"/>
            <w:vAlign w:val="center"/>
          </w:tcPr>
          <w:p w14:paraId="442B85E7">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bl>
    <w:p w14:paraId="1B42D71F">
      <w:pPr>
        <w:adjustRightInd w:val="0"/>
        <w:snapToGrid w:val="0"/>
        <w:spacing w:line="360" w:lineRule="auto"/>
        <w:rPr>
          <w:rFonts w:hint="eastAsia"/>
          <w:color w:val="auto"/>
          <w:sz w:val="24"/>
          <w:szCs w:val="32"/>
          <w:lang w:eastAsia="zh-CN"/>
        </w:rPr>
      </w:pPr>
    </w:p>
    <w:p w14:paraId="3A89625F">
      <w:pPr>
        <w:adjustRightInd w:val="0"/>
        <w:snapToGrid w:val="0"/>
        <w:spacing w:line="360" w:lineRule="auto"/>
        <w:ind w:firstLine="480" w:firstLineChars="200"/>
        <w:rPr>
          <w:rFonts w:hint="eastAsia"/>
          <w:color w:val="auto"/>
          <w:sz w:val="24"/>
          <w:szCs w:val="32"/>
          <w:lang w:eastAsia="zh-CN"/>
        </w:rPr>
        <w:sectPr>
          <w:pgSz w:w="11906" w:h="16838"/>
          <w:pgMar w:top="1440" w:right="1080" w:bottom="1440" w:left="1080" w:header="1020" w:footer="992" w:gutter="0"/>
          <w:pgBorders>
            <w:top w:val="none" w:sz="0" w:space="0"/>
            <w:left w:val="none" w:sz="0" w:space="0"/>
            <w:bottom w:val="none" w:sz="0" w:space="0"/>
            <w:right w:val="none" w:sz="0" w:space="0"/>
          </w:pgBorders>
          <w:pgNumType w:fmt="numberInDash"/>
          <w:cols w:space="0" w:num="1"/>
          <w:docGrid w:type="lines" w:linePitch="304" w:charSpace="0"/>
        </w:sectPr>
      </w:pPr>
    </w:p>
    <w:p w14:paraId="6A14E6F2">
      <w:pPr>
        <w:adjustRightInd w:val="0"/>
        <w:snapToGrid w:val="0"/>
        <w:spacing w:line="360" w:lineRule="auto"/>
        <w:jc w:val="center"/>
        <w:rPr>
          <w:rFonts w:hint="default"/>
          <w:b/>
          <w:bCs/>
          <w:color w:val="auto"/>
          <w:sz w:val="24"/>
          <w:szCs w:val="32"/>
          <w:lang w:val="en-US" w:eastAsia="zh-CN"/>
        </w:rPr>
      </w:pPr>
      <w:r>
        <w:rPr>
          <w:rFonts w:hint="eastAsia"/>
          <w:b/>
          <w:bCs/>
          <w:color w:val="auto"/>
          <w:sz w:val="24"/>
          <w:szCs w:val="32"/>
          <w:lang w:val="en-US" w:eastAsia="zh-CN"/>
        </w:rPr>
        <w:t>表1-17 安徽濉溪经济开发区生态环境准入清单</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40"/>
        <w:gridCol w:w="996"/>
        <w:gridCol w:w="708"/>
        <w:gridCol w:w="685"/>
        <w:gridCol w:w="793"/>
        <w:gridCol w:w="1243"/>
        <w:gridCol w:w="1843"/>
        <w:gridCol w:w="6566"/>
      </w:tblGrid>
      <w:tr w14:paraId="23E106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40" w:type="dxa"/>
            <w:tcBorders>
              <w:tl2br w:val="nil"/>
              <w:tr2bl w:val="nil"/>
            </w:tcBorders>
            <w:vAlign w:val="center"/>
          </w:tcPr>
          <w:p w14:paraId="37214CB1">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46" w:name="_Toc22110"/>
            <w:bookmarkStart w:id="147" w:name="_Toc29392"/>
            <w:r>
              <w:rPr>
                <w:rFonts w:hint="default" w:ascii="Times New Roman" w:hAnsi="Times New Roman" w:cs="Times New Roman"/>
                <w:b/>
                <w:bCs/>
                <w:color w:val="auto"/>
                <w:sz w:val="21"/>
                <w:szCs w:val="21"/>
                <w:vertAlign w:val="baseline"/>
                <w:lang w:val="en-US" w:eastAsia="zh-CN"/>
              </w:rPr>
              <w:t>开发区主导产业与定位</w:t>
            </w:r>
            <w:bookmarkEnd w:id="146"/>
            <w:bookmarkEnd w:id="147"/>
          </w:p>
        </w:tc>
        <w:tc>
          <w:tcPr>
            <w:tcW w:w="996" w:type="dxa"/>
            <w:tcBorders>
              <w:tl2br w:val="nil"/>
              <w:tr2bl w:val="nil"/>
            </w:tcBorders>
            <w:vAlign w:val="center"/>
          </w:tcPr>
          <w:p w14:paraId="5BADB5AA">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48" w:name="_Toc2708"/>
            <w:bookmarkStart w:id="149" w:name="_Toc32510"/>
            <w:r>
              <w:rPr>
                <w:rFonts w:hint="eastAsia" w:ascii="Times New Roman" w:hAnsi="Times New Roman" w:cs="Times New Roman"/>
                <w:b/>
                <w:bCs/>
                <w:color w:val="auto"/>
                <w:sz w:val="21"/>
                <w:szCs w:val="21"/>
                <w:vertAlign w:val="baseline"/>
                <w:lang w:val="en-US" w:eastAsia="zh-CN"/>
              </w:rPr>
              <w:t>规划面积</w:t>
            </w:r>
            <w:bookmarkEnd w:id="148"/>
            <w:bookmarkEnd w:id="149"/>
          </w:p>
        </w:tc>
        <w:tc>
          <w:tcPr>
            <w:tcW w:w="708" w:type="dxa"/>
            <w:tcBorders>
              <w:tl2br w:val="nil"/>
              <w:tr2bl w:val="nil"/>
            </w:tcBorders>
            <w:vAlign w:val="center"/>
          </w:tcPr>
          <w:p w14:paraId="647B6346">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0" w:name="_Toc2837"/>
            <w:bookmarkStart w:id="151" w:name="_Toc31439"/>
            <w:r>
              <w:rPr>
                <w:rFonts w:hint="eastAsia" w:ascii="Times New Roman" w:hAnsi="Times New Roman" w:cs="Times New Roman"/>
                <w:b/>
                <w:bCs/>
                <w:color w:val="auto"/>
                <w:sz w:val="21"/>
                <w:szCs w:val="21"/>
                <w:vertAlign w:val="baseline"/>
                <w:lang w:val="en-US" w:eastAsia="zh-CN"/>
              </w:rPr>
              <w:t>清单类型</w:t>
            </w:r>
            <w:bookmarkEnd w:id="150"/>
            <w:bookmarkEnd w:id="151"/>
          </w:p>
        </w:tc>
        <w:tc>
          <w:tcPr>
            <w:tcW w:w="685" w:type="dxa"/>
            <w:tcBorders>
              <w:tl2br w:val="nil"/>
              <w:tr2bl w:val="nil"/>
            </w:tcBorders>
            <w:vAlign w:val="center"/>
          </w:tcPr>
          <w:p w14:paraId="060619EA">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2" w:name="_Toc7037"/>
            <w:bookmarkStart w:id="153" w:name="_Toc16860"/>
            <w:r>
              <w:rPr>
                <w:rFonts w:hint="eastAsia" w:ascii="Times New Roman" w:hAnsi="Times New Roman" w:cs="Times New Roman"/>
                <w:b/>
                <w:bCs/>
                <w:color w:val="auto"/>
                <w:sz w:val="21"/>
                <w:szCs w:val="21"/>
                <w:vertAlign w:val="baseline"/>
                <w:lang w:val="en-US" w:eastAsia="zh-CN"/>
              </w:rPr>
              <w:t>管控类别</w:t>
            </w:r>
            <w:bookmarkEnd w:id="152"/>
            <w:bookmarkEnd w:id="153"/>
          </w:p>
        </w:tc>
        <w:tc>
          <w:tcPr>
            <w:tcW w:w="793" w:type="dxa"/>
            <w:tcBorders>
              <w:tl2br w:val="nil"/>
              <w:tr2bl w:val="nil"/>
            </w:tcBorders>
            <w:vAlign w:val="center"/>
          </w:tcPr>
          <w:p w14:paraId="17733ACB">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4" w:name="_Toc1427"/>
            <w:bookmarkStart w:id="155" w:name="_Toc23938"/>
            <w:r>
              <w:rPr>
                <w:rFonts w:hint="eastAsia" w:ascii="Times New Roman" w:hAnsi="Times New Roman" w:cs="Times New Roman"/>
                <w:b/>
                <w:bCs/>
                <w:color w:val="auto"/>
                <w:sz w:val="21"/>
                <w:szCs w:val="21"/>
                <w:vertAlign w:val="baseline"/>
                <w:lang w:val="en-US" w:eastAsia="zh-CN"/>
              </w:rPr>
              <w:t>主导产业</w:t>
            </w:r>
            <w:bookmarkEnd w:id="154"/>
            <w:bookmarkEnd w:id="155"/>
          </w:p>
        </w:tc>
        <w:tc>
          <w:tcPr>
            <w:tcW w:w="1243" w:type="dxa"/>
            <w:tcBorders>
              <w:tl2br w:val="nil"/>
              <w:tr2bl w:val="nil"/>
            </w:tcBorders>
            <w:vAlign w:val="center"/>
          </w:tcPr>
          <w:p w14:paraId="36E3E28F">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6" w:name="_Toc22206"/>
            <w:bookmarkStart w:id="157" w:name="_Toc694"/>
            <w:r>
              <w:rPr>
                <w:rFonts w:hint="eastAsia" w:ascii="Times New Roman" w:hAnsi="Times New Roman" w:cs="Times New Roman"/>
                <w:b/>
                <w:bCs/>
                <w:color w:val="auto"/>
                <w:sz w:val="21"/>
                <w:szCs w:val="21"/>
                <w:vertAlign w:val="baseline"/>
                <w:lang w:val="en-US" w:eastAsia="zh-CN"/>
              </w:rPr>
              <w:t>区块</w:t>
            </w:r>
            <w:bookmarkEnd w:id="156"/>
            <w:bookmarkEnd w:id="157"/>
          </w:p>
        </w:tc>
        <w:tc>
          <w:tcPr>
            <w:tcW w:w="8409" w:type="dxa"/>
            <w:gridSpan w:val="2"/>
            <w:tcBorders>
              <w:tl2br w:val="nil"/>
              <w:tr2bl w:val="nil"/>
            </w:tcBorders>
            <w:vAlign w:val="center"/>
          </w:tcPr>
          <w:p w14:paraId="082971D8">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8" w:name="_Toc20729"/>
            <w:bookmarkStart w:id="159" w:name="_Toc2817"/>
            <w:r>
              <w:rPr>
                <w:rFonts w:hint="eastAsia" w:ascii="Times New Roman" w:hAnsi="Times New Roman" w:cs="Times New Roman"/>
                <w:b/>
                <w:bCs/>
                <w:color w:val="auto"/>
                <w:sz w:val="21"/>
                <w:szCs w:val="21"/>
                <w:vertAlign w:val="baseline"/>
                <w:lang w:val="en-US" w:eastAsia="zh-CN"/>
              </w:rPr>
              <w:t>行业类别</w:t>
            </w:r>
            <w:bookmarkEnd w:id="158"/>
            <w:bookmarkEnd w:id="159"/>
          </w:p>
        </w:tc>
      </w:tr>
      <w:tr w14:paraId="7D2F3E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40" w:type="dxa"/>
            <w:vMerge w:val="restart"/>
            <w:tcBorders>
              <w:tl2br w:val="nil"/>
              <w:tr2bl w:val="nil"/>
            </w:tcBorders>
            <w:vAlign w:val="center"/>
          </w:tcPr>
          <w:p w14:paraId="1DFF4A91">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60" w:name="_Toc7513"/>
            <w:bookmarkStart w:id="161" w:name="_Toc4353"/>
            <w:r>
              <w:rPr>
                <w:rFonts w:hint="default" w:ascii="Times New Roman" w:hAnsi="Times New Roman" w:cs="Times New Roman"/>
                <w:b w:val="0"/>
                <w:bCs w:val="0"/>
                <w:color w:val="auto"/>
                <w:sz w:val="21"/>
                <w:szCs w:val="21"/>
                <w:vertAlign w:val="baseline"/>
                <w:lang w:val="en-US" w:eastAsia="zh-CN"/>
              </w:rPr>
              <w:t>皖北承接长三角产业 转移先行区；全省先进的金属新材料、电气机械制造及化工产业集聚和创新示范区；宜居宜业宜商的绿色活力园区</w:t>
            </w:r>
            <w:bookmarkEnd w:id="160"/>
            <w:bookmarkEnd w:id="161"/>
          </w:p>
        </w:tc>
        <w:tc>
          <w:tcPr>
            <w:tcW w:w="996" w:type="dxa"/>
            <w:vMerge w:val="restart"/>
            <w:tcBorders>
              <w:tl2br w:val="nil"/>
              <w:tr2bl w:val="nil"/>
            </w:tcBorders>
            <w:vAlign w:val="center"/>
          </w:tcPr>
          <w:p w14:paraId="02F0981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62" w:name="_Toc7409"/>
            <w:bookmarkStart w:id="163" w:name="_Toc27607"/>
            <w:r>
              <w:rPr>
                <w:rFonts w:hint="default" w:ascii="Times New Roman" w:hAnsi="Times New Roman" w:cs="Times New Roman"/>
                <w:b w:val="0"/>
                <w:bCs w:val="0"/>
                <w:color w:val="auto"/>
                <w:sz w:val="21"/>
                <w:szCs w:val="21"/>
                <w:vertAlign w:val="baseline"/>
                <w:lang w:val="en-US" w:eastAsia="zh-CN"/>
              </w:rPr>
              <w:t>2427.99 公顷</w:t>
            </w:r>
            <w:bookmarkEnd w:id="162"/>
            <w:bookmarkEnd w:id="163"/>
          </w:p>
        </w:tc>
        <w:tc>
          <w:tcPr>
            <w:tcW w:w="708" w:type="dxa"/>
            <w:vMerge w:val="restart"/>
            <w:tcBorders>
              <w:tl2br w:val="nil"/>
              <w:tr2bl w:val="nil"/>
            </w:tcBorders>
            <w:vAlign w:val="center"/>
          </w:tcPr>
          <w:p w14:paraId="27B202AC">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64" w:name="_Toc19580"/>
            <w:bookmarkStart w:id="165" w:name="_Toc6710"/>
            <w:r>
              <w:rPr>
                <w:rFonts w:hint="default" w:ascii="Times New Roman" w:hAnsi="Times New Roman" w:cs="Times New Roman"/>
                <w:b w:val="0"/>
                <w:bCs w:val="0"/>
                <w:color w:val="auto"/>
                <w:sz w:val="21"/>
                <w:szCs w:val="21"/>
                <w:vertAlign w:val="baseline"/>
                <w:lang w:val="en-US" w:eastAsia="zh-CN"/>
              </w:rPr>
              <w:t>产业准入要求</w:t>
            </w:r>
            <w:bookmarkEnd w:id="164"/>
            <w:bookmarkEnd w:id="165"/>
          </w:p>
        </w:tc>
        <w:tc>
          <w:tcPr>
            <w:tcW w:w="685" w:type="dxa"/>
            <w:vMerge w:val="restart"/>
            <w:tcBorders>
              <w:tl2br w:val="nil"/>
              <w:tr2bl w:val="nil"/>
            </w:tcBorders>
            <w:vAlign w:val="center"/>
          </w:tcPr>
          <w:p w14:paraId="16ED00FD">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166" w:name="_Toc577"/>
            <w:bookmarkStart w:id="167" w:name="_Toc23931"/>
            <w:r>
              <w:rPr>
                <w:rFonts w:hint="eastAsia" w:ascii="Times New Roman" w:hAnsi="Times New Roman" w:cs="Times New Roman"/>
                <w:b w:val="0"/>
                <w:bCs w:val="0"/>
                <w:color w:val="auto"/>
                <w:sz w:val="21"/>
                <w:szCs w:val="21"/>
                <w:vertAlign w:val="baseline"/>
                <w:lang w:val="en-US" w:eastAsia="zh-CN"/>
              </w:rPr>
              <w:t>鼓</w:t>
            </w:r>
            <w:bookmarkEnd w:id="166"/>
            <w:bookmarkEnd w:id="167"/>
          </w:p>
          <w:p w14:paraId="7A6268B2">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168" w:name="_Toc16014"/>
            <w:bookmarkStart w:id="169" w:name="_Toc28317"/>
            <w:r>
              <w:rPr>
                <w:rFonts w:hint="eastAsia" w:ascii="Times New Roman" w:hAnsi="Times New Roman" w:cs="Times New Roman"/>
                <w:b w:val="0"/>
                <w:bCs w:val="0"/>
                <w:color w:val="auto"/>
                <w:sz w:val="21"/>
                <w:szCs w:val="21"/>
                <w:vertAlign w:val="baseline"/>
                <w:lang w:val="en-US" w:eastAsia="zh-CN"/>
              </w:rPr>
              <w:t>励</w:t>
            </w:r>
            <w:bookmarkEnd w:id="168"/>
            <w:bookmarkEnd w:id="169"/>
          </w:p>
          <w:p w14:paraId="194389EF">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0" w:name="_Toc18003"/>
            <w:bookmarkStart w:id="171" w:name="_Toc580"/>
            <w:r>
              <w:rPr>
                <w:rFonts w:hint="eastAsia" w:ascii="Times New Roman" w:hAnsi="Times New Roman" w:cs="Times New Roman"/>
                <w:b w:val="0"/>
                <w:bCs w:val="0"/>
                <w:color w:val="auto"/>
                <w:sz w:val="21"/>
                <w:szCs w:val="21"/>
                <w:vertAlign w:val="baseline"/>
                <w:lang w:val="en-US" w:eastAsia="zh-CN"/>
              </w:rPr>
              <w:t>类</w:t>
            </w:r>
            <w:bookmarkEnd w:id="170"/>
            <w:bookmarkEnd w:id="171"/>
          </w:p>
        </w:tc>
        <w:tc>
          <w:tcPr>
            <w:tcW w:w="793" w:type="dxa"/>
            <w:vMerge w:val="restart"/>
            <w:tcBorders>
              <w:tl2br w:val="nil"/>
              <w:tr2bl w:val="nil"/>
            </w:tcBorders>
            <w:vAlign w:val="center"/>
          </w:tcPr>
          <w:p w14:paraId="2BD82693">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2" w:name="_Toc10889"/>
            <w:bookmarkStart w:id="173" w:name="_Toc14453"/>
            <w:r>
              <w:rPr>
                <w:rFonts w:hint="eastAsia" w:ascii="Times New Roman" w:hAnsi="Times New Roman" w:cs="Times New Roman"/>
                <w:b w:val="0"/>
                <w:bCs w:val="0"/>
                <w:color w:val="auto"/>
                <w:sz w:val="21"/>
                <w:szCs w:val="21"/>
                <w:vertAlign w:val="baseline"/>
                <w:lang w:val="en-US" w:eastAsia="zh-CN"/>
              </w:rPr>
              <w:t>金属新材料</w:t>
            </w:r>
            <w:bookmarkEnd w:id="172"/>
            <w:bookmarkEnd w:id="173"/>
          </w:p>
        </w:tc>
        <w:tc>
          <w:tcPr>
            <w:tcW w:w="1243" w:type="dxa"/>
            <w:vMerge w:val="restart"/>
            <w:tcBorders>
              <w:tl2br w:val="nil"/>
              <w:tr2bl w:val="nil"/>
            </w:tcBorders>
            <w:vAlign w:val="center"/>
          </w:tcPr>
          <w:p w14:paraId="4952E227">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4" w:name="_Toc26222"/>
            <w:bookmarkStart w:id="175" w:name="_Toc32701"/>
            <w:r>
              <w:rPr>
                <w:rFonts w:hint="default" w:ascii="Times New Roman" w:hAnsi="Times New Roman" w:cs="Times New Roman"/>
                <w:b w:val="0"/>
                <w:bCs w:val="0"/>
                <w:color w:val="auto"/>
                <w:sz w:val="21"/>
                <w:szCs w:val="21"/>
                <w:vertAlign w:val="baseline"/>
                <w:lang w:val="en-US" w:eastAsia="zh-CN"/>
              </w:rPr>
              <w:t>区块一 北部、区块二北部、区块 四</w:t>
            </w:r>
            <w:bookmarkEnd w:id="174"/>
            <w:bookmarkEnd w:id="175"/>
          </w:p>
          <w:p w14:paraId="69201B82">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1843" w:type="dxa"/>
            <w:tcBorders>
              <w:tl2br w:val="nil"/>
              <w:tr2bl w:val="nil"/>
            </w:tcBorders>
            <w:vAlign w:val="center"/>
          </w:tcPr>
          <w:p w14:paraId="54B416A9">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6" w:name="_Toc11605"/>
            <w:bookmarkStart w:id="177" w:name="_Toc28426"/>
            <w:r>
              <w:rPr>
                <w:rFonts w:hint="eastAsia" w:ascii="Times New Roman" w:hAnsi="Times New Roman" w:cs="Times New Roman"/>
                <w:b w:val="0"/>
                <w:bCs w:val="0"/>
                <w:color w:val="auto"/>
                <w:sz w:val="21"/>
                <w:szCs w:val="21"/>
                <w:vertAlign w:val="baseline"/>
                <w:lang w:val="en-US" w:eastAsia="zh-CN"/>
              </w:rPr>
              <w:t>31 黑色金属冶炼和压延加工业</w:t>
            </w:r>
            <w:bookmarkEnd w:id="176"/>
            <w:bookmarkEnd w:id="177"/>
          </w:p>
        </w:tc>
        <w:tc>
          <w:tcPr>
            <w:tcW w:w="6566" w:type="dxa"/>
            <w:tcBorders>
              <w:tl2br w:val="nil"/>
              <w:tr2bl w:val="nil"/>
            </w:tcBorders>
            <w:vAlign w:val="center"/>
          </w:tcPr>
          <w:p w14:paraId="343EDB34">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8" w:name="_Toc2448"/>
            <w:bookmarkStart w:id="179" w:name="_Toc3157"/>
            <w:r>
              <w:rPr>
                <w:rFonts w:hint="default" w:ascii="Times New Roman" w:hAnsi="Times New Roman" w:cs="Times New Roman"/>
                <w:b w:val="0"/>
                <w:bCs w:val="0"/>
                <w:color w:val="auto"/>
                <w:sz w:val="21"/>
                <w:szCs w:val="21"/>
                <w:vertAlign w:val="baseline"/>
                <w:lang w:val="en-US" w:eastAsia="zh-CN"/>
              </w:rPr>
              <w:t>313 钢压延加工相关清洁生产提标改造项目；</w:t>
            </w:r>
            <w:bookmarkEnd w:id="178"/>
            <w:bookmarkEnd w:id="179"/>
          </w:p>
        </w:tc>
      </w:tr>
      <w:tr w14:paraId="68A91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1340" w:type="dxa"/>
            <w:vMerge w:val="continue"/>
            <w:tcBorders>
              <w:tl2br w:val="nil"/>
              <w:tr2bl w:val="nil"/>
            </w:tcBorders>
            <w:vAlign w:val="center"/>
          </w:tcPr>
          <w:p w14:paraId="79D5AA0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4FCBFD8E">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1A15B10F">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vMerge w:val="continue"/>
            <w:tcBorders>
              <w:tl2br w:val="nil"/>
              <w:tr2bl w:val="nil"/>
            </w:tcBorders>
            <w:vAlign w:val="center"/>
          </w:tcPr>
          <w:p w14:paraId="4F096534">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vMerge w:val="continue"/>
            <w:tcBorders>
              <w:tl2br w:val="nil"/>
              <w:tr2bl w:val="nil"/>
            </w:tcBorders>
            <w:vAlign w:val="center"/>
          </w:tcPr>
          <w:p w14:paraId="3993E165">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1243" w:type="dxa"/>
            <w:vMerge w:val="continue"/>
            <w:tcBorders>
              <w:tl2br w:val="nil"/>
              <w:tr2bl w:val="nil"/>
            </w:tcBorders>
            <w:vAlign w:val="center"/>
          </w:tcPr>
          <w:p w14:paraId="17DB5AF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1843" w:type="dxa"/>
            <w:tcBorders>
              <w:tl2br w:val="nil"/>
              <w:tr2bl w:val="nil"/>
            </w:tcBorders>
            <w:vAlign w:val="center"/>
          </w:tcPr>
          <w:p w14:paraId="34EA85B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0" w:name="_Toc8487"/>
            <w:bookmarkStart w:id="181" w:name="_Toc8615"/>
            <w:r>
              <w:rPr>
                <w:rFonts w:hint="eastAsia" w:ascii="Times New Roman" w:hAnsi="Times New Roman" w:cs="Times New Roman"/>
                <w:b w:val="0"/>
                <w:bCs w:val="0"/>
                <w:color w:val="auto"/>
                <w:sz w:val="21"/>
                <w:szCs w:val="21"/>
                <w:vertAlign w:val="baseline"/>
                <w:lang w:val="en-US" w:eastAsia="zh-CN"/>
              </w:rPr>
              <w:t>32 有色金属冶炼和压延加工业</w:t>
            </w:r>
            <w:bookmarkEnd w:id="180"/>
            <w:bookmarkEnd w:id="181"/>
          </w:p>
        </w:tc>
        <w:tc>
          <w:tcPr>
            <w:tcW w:w="6566" w:type="dxa"/>
            <w:tcBorders>
              <w:tl2br w:val="nil"/>
              <w:tr2bl w:val="nil"/>
            </w:tcBorders>
            <w:vAlign w:val="center"/>
          </w:tcPr>
          <w:p w14:paraId="1CF58695">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2" w:name="_Toc8812"/>
            <w:bookmarkStart w:id="183" w:name="_Toc924"/>
            <w:r>
              <w:rPr>
                <w:rFonts w:hint="default" w:ascii="Times New Roman" w:hAnsi="Times New Roman" w:cs="Times New Roman"/>
                <w:b w:val="0"/>
                <w:bCs w:val="0"/>
                <w:color w:val="auto"/>
                <w:sz w:val="21"/>
                <w:szCs w:val="21"/>
                <w:vertAlign w:val="baseline"/>
                <w:lang w:val="en-US" w:eastAsia="zh-CN"/>
              </w:rPr>
              <w:t>321 常用有色金属冶炼相关清洁生产提标改造项目；</w:t>
            </w:r>
            <w:bookmarkEnd w:id="182"/>
            <w:bookmarkEnd w:id="183"/>
            <w:r>
              <w:rPr>
                <w:rFonts w:hint="default" w:ascii="Times New Roman" w:hAnsi="Times New Roman" w:cs="Times New Roman"/>
                <w:b w:val="0"/>
                <w:bCs w:val="0"/>
                <w:color w:val="auto"/>
                <w:sz w:val="21"/>
                <w:szCs w:val="21"/>
                <w:vertAlign w:val="baseline"/>
                <w:lang w:val="en-US" w:eastAsia="zh-CN"/>
              </w:rPr>
              <w:t xml:space="preserve"> </w:t>
            </w:r>
          </w:p>
          <w:p w14:paraId="37EF083B">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4" w:name="_Toc5857"/>
            <w:bookmarkStart w:id="185" w:name="_Toc1154"/>
            <w:r>
              <w:rPr>
                <w:rFonts w:hint="default" w:ascii="Times New Roman" w:hAnsi="Times New Roman" w:cs="Times New Roman"/>
                <w:b w:val="0"/>
                <w:bCs w:val="0"/>
                <w:color w:val="auto"/>
                <w:sz w:val="21"/>
                <w:szCs w:val="21"/>
                <w:vertAlign w:val="baseline"/>
                <w:lang w:val="en-US" w:eastAsia="zh-CN"/>
              </w:rPr>
              <w:t>324 有色金属合金制造相关清洁生产提标改造项目；</w:t>
            </w:r>
            <w:bookmarkEnd w:id="184"/>
            <w:bookmarkEnd w:id="185"/>
            <w:r>
              <w:rPr>
                <w:rFonts w:hint="default" w:ascii="Times New Roman" w:hAnsi="Times New Roman" w:cs="Times New Roman"/>
                <w:b w:val="0"/>
                <w:bCs w:val="0"/>
                <w:color w:val="auto"/>
                <w:sz w:val="21"/>
                <w:szCs w:val="21"/>
                <w:vertAlign w:val="baseline"/>
                <w:lang w:val="en-US" w:eastAsia="zh-CN"/>
              </w:rPr>
              <w:t xml:space="preserve"> </w:t>
            </w:r>
          </w:p>
          <w:p w14:paraId="7A7F4CC6">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6" w:name="_Toc27239"/>
            <w:bookmarkStart w:id="187" w:name="_Toc23852"/>
            <w:r>
              <w:rPr>
                <w:rFonts w:hint="default" w:ascii="Times New Roman" w:hAnsi="Times New Roman" w:cs="Times New Roman"/>
                <w:b w:val="0"/>
                <w:bCs w:val="0"/>
                <w:color w:val="auto"/>
                <w:sz w:val="21"/>
                <w:szCs w:val="21"/>
                <w:vertAlign w:val="baseline"/>
                <w:lang w:val="en-US" w:eastAsia="zh-CN"/>
              </w:rPr>
              <w:t>325 有色金属压延加工相关清洁生产提标改造项目；</w:t>
            </w:r>
            <w:bookmarkEnd w:id="186"/>
            <w:bookmarkEnd w:id="187"/>
          </w:p>
        </w:tc>
      </w:tr>
      <w:tr w14:paraId="5D9082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1340" w:type="dxa"/>
            <w:vMerge w:val="continue"/>
            <w:tcBorders>
              <w:tl2br w:val="nil"/>
              <w:tr2bl w:val="nil"/>
            </w:tcBorders>
            <w:vAlign w:val="center"/>
          </w:tcPr>
          <w:p w14:paraId="025035D2">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47A094C7">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62AE6DF7">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vMerge w:val="continue"/>
            <w:tcBorders>
              <w:tl2br w:val="nil"/>
              <w:tr2bl w:val="nil"/>
            </w:tcBorders>
            <w:vAlign w:val="center"/>
          </w:tcPr>
          <w:p w14:paraId="69570C9A">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vMerge w:val="continue"/>
            <w:tcBorders>
              <w:tl2br w:val="nil"/>
              <w:tr2bl w:val="nil"/>
            </w:tcBorders>
            <w:vAlign w:val="center"/>
          </w:tcPr>
          <w:p w14:paraId="6AEDF93A">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1243" w:type="dxa"/>
            <w:vMerge w:val="continue"/>
            <w:tcBorders>
              <w:tl2br w:val="nil"/>
              <w:tr2bl w:val="nil"/>
            </w:tcBorders>
            <w:vAlign w:val="center"/>
          </w:tcPr>
          <w:p w14:paraId="3066A971">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1843" w:type="dxa"/>
            <w:tcBorders>
              <w:tl2br w:val="nil"/>
              <w:tr2bl w:val="nil"/>
            </w:tcBorders>
            <w:vAlign w:val="center"/>
          </w:tcPr>
          <w:p w14:paraId="083D7E4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8" w:name="_Toc23955"/>
            <w:bookmarkStart w:id="189" w:name="_Toc1168"/>
            <w:r>
              <w:rPr>
                <w:rFonts w:hint="eastAsia" w:ascii="Times New Roman" w:hAnsi="Times New Roman" w:cs="Times New Roman"/>
                <w:b w:val="0"/>
                <w:bCs w:val="0"/>
                <w:color w:val="auto"/>
                <w:sz w:val="21"/>
                <w:szCs w:val="21"/>
                <w:vertAlign w:val="baseline"/>
                <w:lang w:val="en-US" w:eastAsia="zh-CN"/>
              </w:rPr>
              <w:t>33 金属制品业</w:t>
            </w:r>
            <w:bookmarkEnd w:id="188"/>
            <w:bookmarkEnd w:id="189"/>
          </w:p>
        </w:tc>
        <w:tc>
          <w:tcPr>
            <w:tcW w:w="6566" w:type="dxa"/>
            <w:tcBorders>
              <w:tl2br w:val="nil"/>
              <w:tr2bl w:val="nil"/>
            </w:tcBorders>
            <w:vAlign w:val="center"/>
          </w:tcPr>
          <w:p w14:paraId="66A0540A">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0" w:name="_Toc31104"/>
            <w:bookmarkStart w:id="191" w:name="_Toc28653"/>
            <w:r>
              <w:rPr>
                <w:rFonts w:hint="default" w:ascii="Times New Roman" w:hAnsi="Times New Roman" w:cs="Times New Roman"/>
                <w:b w:val="0"/>
                <w:bCs w:val="0"/>
                <w:color w:val="auto"/>
                <w:sz w:val="21"/>
                <w:szCs w:val="21"/>
                <w:vertAlign w:val="baseline"/>
                <w:lang w:val="en-US" w:eastAsia="zh-CN"/>
              </w:rPr>
              <w:t>331 结构性金属制品制造</w:t>
            </w:r>
            <w:r>
              <w:rPr>
                <w:rFonts w:hint="eastAsia" w:ascii="Times New Roman" w:hAnsi="Times New Roman" w:cs="Times New Roman"/>
                <w:b w:val="0"/>
                <w:bCs w:val="0"/>
                <w:color w:val="auto"/>
                <w:sz w:val="21"/>
                <w:szCs w:val="21"/>
                <w:vertAlign w:val="baseline"/>
                <w:lang w:val="en-US" w:eastAsia="zh-CN"/>
              </w:rPr>
              <w:t>；</w:t>
            </w:r>
            <w:r>
              <w:rPr>
                <w:rFonts w:hint="default" w:ascii="Times New Roman" w:hAnsi="Times New Roman" w:cs="Times New Roman"/>
                <w:b w:val="0"/>
                <w:bCs w:val="0"/>
                <w:color w:val="auto"/>
                <w:sz w:val="21"/>
                <w:szCs w:val="21"/>
                <w:vertAlign w:val="baseline"/>
                <w:lang w:val="en-US" w:eastAsia="zh-CN"/>
              </w:rPr>
              <w:t>338 金属制日用品制造等行业对现有项目使用低 VOCs替代的，提标改造项目</w:t>
            </w:r>
            <w:bookmarkEnd w:id="190"/>
            <w:bookmarkEnd w:id="191"/>
          </w:p>
        </w:tc>
      </w:tr>
      <w:tr w14:paraId="59DB28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340" w:type="dxa"/>
            <w:vMerge w:val="continue"/>
            <w:tcBorders>
              <w:tl2br w:val="nil"/>
              <w:tr2bl w:val="nil"/>
            </w:tcBorders>
            <w:vAlign w:val="center"/>
          </w:tcPr>
          <w:p w14:paraId="54B3C10E">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5FA680EB">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2A22C16B">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vMerge w:val="continue"/>
            <w:tcBorders>
              <w:tl2br w:val="nil"/>
              <w:tr2bl w:val="nil"/>
            </w:tcBorders>
            <w:vAlign w:val="center"/>
          </w:tcPr>
          <w:p w14:paraId="14F7D5F6">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tcBorders>
              <w:tl2br w:val="nil"/>
              <w:tr2bl w:val="nil"/>
            </w:tcBorders>
            <w:vAlign w:val="center"/>
          </w:tcPr>
          <w:p w14:paraId="6164EFDD">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2" w:name="_Toc26661"/>
            <w:bookmarkStart w:id="193" w:name="_Toc18777"/>
            <w:r>
              <w:rPr>
                <w:rFonts w:hint="eastAsia" w:ascii="Times New Roman" w:hAnsi="Times New Roman" w:cs="Times New Roman"/>
                <w:b w:val="0"/>
                <w:bCs w:val="0"/>
                <w:color w:val="auto"/>
                <w:sz w:val="21"/>
                <w:szCs w:val="21"/>
                <w:vertAlign w:val="baseline"/>
                <w:lang w:val="en-US" w:eastAsia="zh-CN"/>
              </w:rPr>
              <w:t>电气机械</w:t>
            </w:r>
            <w:bookmarkEnd w:id="192"/>
            <w:bookmarkEnd w:id="193"/>
          </w:p>
        </w:tc>
        <w:tc>
          <w:tcPr>
            <w:tcW w:w="1243" w:type="dxa"/>
            <w:tcBorders>
              <w:tl2br w:val="nil"/>
              <w:tr2bl w:val="nil"/>
            </w:tcBorders>
            <w:vAlign w:val="center"/>
          </w:tcPr>
          <w:p w14:paraId="13803B8C">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4" w:name="_Toc8993"/>
            <w:bookmarkStart w:id="195" w:name="_Toc29634"/>
            <w:r>
              <w:rPr>
                <w:rFonts w:hint="default" w:ascii="Times New Roman" w:hAnsi="Times New Roman" w:cs="Times New Roman"/>
                <w:b w:val="0"/>
                <w:bCs w:val="0"/>
                <w:color w:val="auto"/>
                <w:sz w:val="21"/>
                <w:szCs w:val="21"/>
                <w:vertAlign w:val="baseline"/>
                <w:lang w:val="en-US" w:eastAsia="zh-CN"/>
              </w:rPr>
              <w:t>区块二南部 、 区块三、区块五</w:t>
            </w:r>
            <w:bookmarkEnd w:id="194"/>
            <w:bookmarkEnd w:id="195"/>
          </w:p>
        </w:tc>
        <w:tc>
          <w:tcPr>
            <w:tcW w:w="1843" w:type="dxa"/>
            <w:tcBorders>
              <w:tl2br w:val="nil"/>
              <w:tr2bl w:val="nil"/>
            </w:tcBorders>
            <w:vAlign w:val="center"/>
          </w:tcPr>
          <w:p w14:paraId="34B84B39">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196" w:name="_Toc19089"/>
            <w:bookmarkStart w:id="197" w:name="_Toc23874"/>
            <w:r>
              <w:rPr>
                <w:rFonts w:hint="eastAsia" w:ascii="Times New Roman" w:hAnsi="Times New Roman" w:cs="Times New Roman"/>
                <w:b w:val="0"/>
                <w:bCs w:val="0"/>
                <w:color w:val="auto"/>
                <w:sz w:val="21"/>
                <w:szCs w:val="21"/>
                <w:vertAlign w:val="baseline"/>
                <w:lang w:val="en-US" w:eastAsia="zh-CN"/>
              </w:rPr>
              <w:t>38 电气机械和器材制造业</w:t>
            </w:r>
            <w:bookmarkEnd w:id="196"/>
            <w:bookmarkEnd w:id="197"/>
          </w:p>
        </w:tc>
        <w:tc>
          <w:tcPr>
            <w:tcW w:w="6566" w:type="dxa"/>
            <w:tcBorders>
              <w:tl2br w:val="nil"/>
              <w:tr2bl w:val="nil"/>
            </w:tcBorders>
            <w:vAlign w:val="center"/>
          </w:tcPr>
          <w:p w14:paraId="183790A0">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8" w:name="_Toc11811"/>
            <w:bookmarkStart w:id="199" w:name="_Toc5598"/>
            <w:r>
              <w:rPr>
                <w:rFonts w:hint="default" w:ascii="Times New Roman" w:hAnsi="Times New Roman" w:cs="Times New Roman"/>
                <w:b w:val="0"/>
                <w:bCs w:val="0"/>
                <w:color w:val="auto"/>
                <w:sz w:val="21"/>
                <w:szCs w:val="21"/>
                <w:vertAlign w:val="baseline"/>
                <w:lang w:val="en-US" w:eastAsia="zh-CN"/>
              </w:rPr>
              <w:t>381 电机制造、384 电池制造、385 家用电力器具制造、 387 照明器具制造、389 其他电气机械及器材制造等行业对现有项目使用低 VOCs替代的，提标改造项目</w:t>
            </w:r>
            <w:bookmarkEnd w:id="198"/>
            <w:bookmarkEnd w:id="199"/>
          </w:p>
        </w:tc>
      </w:tr>
      <w:tr w14:paraId="4FF35B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1340" w:type="dxa"/>
            <w:vMerge w:val="continue"/>
            <w:tcBorders>
              <w:tl2br w:val="nil"/>
              <w:tr2bl w:val="nil"/>
            </w:tcBorders>
            <w:vAlign w:val="center"/>
          </w:tcPr>
          <w:p w14:paraId="540C1A33">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70A686FD">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5C144FD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52ED5448">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tcBorders>
              <w:tl2br w:val="nil"/>
              <w:tr2bl w:val="nil"/>
            </w:tcBorders>
            <w:vAlign w:val="center"/>
          </w:tcPr>
          <w:p w14:paraId="16CD2FC0">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0" w:name="_Toc20153"/>
            <w:bookmarkStart w:id="201" w:name="_Toc31910"/>
            <w:r>
              <w:rPr>
                <w:rFonts w:hint="eastAsia" w:ascii="Times New Roman" w:hAnsi="Times New Roman" w:cs="Times New Roman"/>
                <w:b w:val="0"/>
                <w:bCs w:val="0"/>
                <w:color w:val="auto"/>
                <w:sz w:val="21"/>
                <w:szCs w:val="21"/>
                <w:vertAlign w:val="baseline"/>
                <w:lang w:val="en-US" w:eastAsia="zh-CN"/>
              </w:rPr>
              <w:t>化工</w:t>
            </w:r>
            <w:bookmarkEnd w:id="200"/>
            <w:bookmarkEnd w:id="201"/>
          </w:p>
        </w:tc>
        <w:tc>
          <w:tcPr>
            <w:tcW w:w="1243" w:type="dxa"/>
            <w:tcBorders>
              <w:tl2br w:val="nil"/>
              <w:tr2bl w:val="nil"/>
            </w:tcBorders>
            <w:vAlign w:val="center"/>
          </w:tcPr>
          <w:p w14:paraId="0E7EAF1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2" w:name="_Toc20695"/>
            <w:bookmarkStart w:id="203" w:name="_Toc30224"/>
            <w:r>
              <w:rPr>
                <w:rFonts w:hint="default" w:ascii="Times New Roman" w:hAnsi="Times New Roman" w:cs="Times New Roman"/>
                <w:b w:val="0"/>
                <w:bCs w:val="0"/>
                <w:color w:val="auto"/>
                <w:sz w:val="21"/>
                <w:szCs w:val="21"/>
                <w:vertAlign w:val="baseline"/>
                <w:lang w:val="en-US" w:eastAsia="zh-CN"/>
              </w:rPr>
              <w:t>区块一中安徽省第一批化工 园区认定的3.2km</w:t>
            </w:r>
            <w:r>
              <w:rPr>
                <w:rFonts w:hint="default" w:ascii="Times New Roman" w:hAnsi="Times New Roman" w:cs="Times New Roman"/>
                <w:b w:val="0"/>
                <w:bCs w:val="0"/>
                <w:color w:val="auto"/>
                <w:sz w:val="21"/>
                <w:szCs w:val="21"/>
                <w:vertAlign w:val="superscript"/>
                <w:lang w:val="en-US" w:eastAsia="zh-CN"/>
              </w:rPr>
              <w:t>2</w:t>
            </w:r>
            <w:r>
              <w:rPr>
                <w:rFonts w:hint="default" w:ascii="Times New Roman" w:hAnsi="Times New Roman" w:cs="Times New Roman"/>
                <w:b w:val="0"/>
                <w:bCs w:val="0"/>
                <w:color w:val="auto"/>
                <w:sz w:val="21"/>
                <w:szCs w:val="21"/>
                <w:vertAlign w:val="baseline"/>
                <w:lang w:val="en-US" w:eastAsia="zh-CN"/>
              </w:rPr>
              <w:t>濉 溪经济开发区化工产业集中区</w:t>
            </w:r>
            <w:bookmarkEnd w:id="202"/>
            <w:bookmarkEnd w:id="203"/>
          </w:p>
        </w:tc>
        <w:tc>
          <w:tcPr>
            <w:tcW w:w="1843" w:type="dxa"/>
            <w:tcBorders>
              <w:tl2br w:val="nil"/>
              <w:tr2bl w:val="nil"/>
            </w:tcBorders>
            <w:vAlign w:val="center"/>
          </w:tcPr>
          <w:p w14:paraId="00DFB969">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04" w:name="_Toc19334"/>
            <w:bookmarkStart w:id="205" w:name="_Toc25539"/>
            <w:r>
              <w:rPr>
                <w:rFonts w:hint="eastAsia" w:ascii="Times New Roman" w:hAnsi="Times New Roman" w:cs="Times New Roman"/>
                <w:b w:val="0"/>
                <w:bCs w:val="0"/>
                <w:color w:val="auto"/>
                <w:sz w:val="21"/>
                <w:szCs w:val="21"/>
                <w:vertAlign w:val="baseline"/>
                <w:lang w:val="en-US" w:eastAsia="zh-CN"/>
              </w:rPr>
              <w:t>26 化学原料和化学制品制造业</w:t>
            </w:r>
            <w:bookmarkEnd w:id="204"/>
            <w:bookmarkEnd w:id="205"/>
          </w:p>
          <w:p w14:paraId="19CBF0CD">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6566" w:type="dxa"/>
            <w:tcBorders>
              <w:tl2br w:val="nil"/>
              <w:tr2bl w:val="nil"/>
            </w:tcBorders>
            <w:vAlign w:val="center"/>
          </w:tcPr>
          <w:p w14:paraId="4C270187">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6" w:name="_Toc4714"/>
            <w:bookmarkStart w:id="207" w:name="_Toc9007"/>
            <w:r>
              <w:rPr>
                <w:rFonts w:hint="default" w:ascii="Times New Roman" w:hAnsi="Times New Roman" w:cs="Times New Roman"/>
                <w:b w:val="0"/>
                <w:bCs w:val="0"/>
                <w:color w:val="auto"/>
                <w:sz w:val="21"/>
                <w:szCs w:val="21"/>
                <w:vertAlign w:val="baseline"/>
                <w:lang w:val="en-US" w:eastAsia="zh-CN"/>
              </w:rPr>
              <w:t>261 基础化学原料制造、262 肥料制造、263 农药制造、 264 涂料、油墨、颜料及类似产品制造、265 合成材料制造、266 专用化学产品制造等行业对现有项目相关提标改造项目，禁止引入涉危化品项目；</w:t>
            </w:r>
            <w:bookmarkEnd w:id="206"/>
            <w:bookmarkEnd w:id="207"/>
          </w:p>
        </w:tc>
      </w:tr>
      <w:tr w14:paraId="3A252E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40" w:type="dxa"/>
            <w:vMerge w:val="continue"/>
            <w:tcBorders>
              <w:tl2br w:val="nil"/>
              <w:tr2bl w:val="nil"/>
            </w:tcBorders>
            <w:vAlign w:val="center"/>
          </w:tcPr>
          <w:p w14:paraId="6B866BF5">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69855F94">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0EBB1D8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38EB6B6C">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8" w:name="_Toc14327"/>
            <w:bookmarkStart w:id="209" w:name="_Toc728"/>
            <w:r>
              <w:rPr>
                <w:rFonts w:hint="eastAsia" w:ascii="Times New Roman" w:hAnsi="Times New Roman" w:cs="Times New Roman"/>
                <w:b w:val="0"/>
                <w:bCs w:val="0"/>
                <w:color w:val="auto"/>
                <w:sz w:val="21"/>
                <w:szCs w:val="21"/>
                <w:vertAlign w:val="baseline"/>
                <w:lang w:val="en-US" w:eastAsia="zh-CN"/>
              </w:rPr>
              <w:t>有条件进入类</w:t>
            </w:r>
            <w:bookmarkEnd w:id="208"/>
            <w:bookmarkEnd w:id="209"/>
          </w:p>
        </w:tc>
        <w:tc>
          <w:tcPr>
            <w:tcW w:w="10445" w:type="dxa"/>
            <w:gridSpan w:val="4"/>
            <w:tcBorders>
              <w:tl2br w:val="nil"/>
              <w:tr2bl w:val="nil"/>
            </w:tcBorders>
            <w:vAlign w:val="center"/>
          </w:tcPr>
          <w:p w14:paraId="40BB0AC1">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10" w:name="_Toc8278"/>
            <w:bookmarkStart w:id="211" w:name="_Toc25708"/>
            <w:r>
              <w:rPr>
                <w:rFonts w:hint="eastAsia" w:ascii="Times New Roman" w:hAnsi="Times New Roman" w:cs="Times New Roman"/>
                <w:b w:val="0"/>
                <w:bCs w:val="0"/>
                <w:color w:val="auto"/>
                <w:sz w:val="21"/>
                <w:szCs w:val="21"/>
                <w:vertAlign w:val="baseline"/>
                <w:lang w:val="en-US" w:eastAsia="zh-CN"/>
              </w:rPr>
              <w:t>与主导产业链配套的其他绿色低碳相关产业</w:t>
            </w:r>
            <w:bookmarkEnd w:id="210"/>
            <w:bookmarkEnd w:id="211"/>
          </w:p>
        </w:tc>
      </w:tr>
      <w:tr w14:paraId="337B6D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9" w:hRule="atLeast"/>
        </w:trPr>
        <w:tc>
          <w:tcPr>
            <w:tcW w:w="1340" w:type="dxa"/>
            <w:vMerge w:val="continue"/>
            <w:tcBorders>
              <w:tl2br w:val="nil"/>
              <w:tr2bl w:val="nil"/>
            </w:tcBorders>
            <w:vAlign w:val="center"/>
          </w:tcPr>
          <w:p w14:paraId="00D34F74">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7CD6A513">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3F9B3E68">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13F7C04F">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12" w:name="_Toc998"/>
            <w:bookmarkStart w:id="213" w:name="_Toc24706"/>
            <w:r>
              <w:rPr>
                <w:rFonts w:hint="eastAsia" w:ascii="Times New Roman" w:hAnsi="Times New Roman" w:cs="Times New Roman"/>
                <w:b w:val="0"/>
                <w:bCs w:val="0"/>
                <w:color w:val="auto"/>
                <w:sz w:val="21"/>
                <w:szCs w:val="21"/>
                <w:vertAlign w:val="baseline"/>
                <w:lang w:val="en-US" w:eastAsia="zh-CN"/>
              </w:rPr>
              <w:t>限 制 类</w:t>
            </w:r>
            <w:bookmarkEnd w:id="212"/>
            <w:bookmarkEnd w:id="213"/>
          </w:p>
        </w:tc>
        <w:tc>
          <w:tcPr>
            <w:tcW w:w="10445" w:type="dxa"/>
            <w:gridSpan w:val="4"/>
            <w:tcBorders>
              <w:tl2br w:val="nil"/>
              <w:tr2bl w:val="nil"/>
            </w:tcBorders>
            <w:vAlign w:val="center"/>
          </w:tcPr>
          <w:p w14:paraId="2C45BE47">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14" w:name="_Toc7549"/>
            <w:bookmarkStart w:id="215" w:name="_Toc13091"/>
            <w:r>
              <w:rPr>
                <w:rFonts w:hint="default" w:ascii="Times New Roman" w:hAnsi="Times New Roman" w:cs="Times New Roman"/>
                <w:b w:val="0"/>
                <w:bCs w:val="0"/>
                <w:color w:val="auto"/>
                <w:sz w:val="21"/>
                <w:szCs w:val="21"/>
                <w:vertAlign w:val="baseline"/>
                <w:lang w:val="en-US" w:eastAsia="zh-CN"/>
              </w:rPr>
              <w:t>①《淮北市危险化学品禁止、限制和控制性目录》附件2</w:t>
            </w:r>
            <w:r>
              <w:rPr>
                <w:rFonts w:hint="eastAsia" w:ascii="宋体" w:hAnsi="宋体" w:eastAsia="宋体" w:cs="宋体"/>
                <w:b w:val="0"/>
                <w:bCs w:val="0"/>
                <w:color w:val="auto"/>
                <w:sz w:val="21"/>
                <w:szCs w:val="21"/>
                <w:vertAlign w:val="baseline"/>
                <w:lang w:val="en-US" w:eastAsia="zh-CN"/>
              </w:rPr>
              <w:t>“淮北市限制和控制生产的危险化学品目录（试行）”</w:t>
            </w:r>
            <w:r>
              <w:rPr>
                <w:rFonts w:hint="default" w:ascii="Times New Roman" w:hAnsi="Times New Roman" w:cs="Times New Roman"/>
                <w:b w:val="0"/>
                <w:bCs w:val="0"/>
                <w:color w:val="auto"/>
                <w:sz w:val="21"/>
                <w:szCs w:val="21"/>
                <w:vertAlign w:val="baseline"/>
                <w:lang w:val="en-US" w:eastAsia="zh-CN"/>
              </w:rPr>
              <w:t>所列危险化学品，主要原因是涉及高风险工艺，包括：光气化、氟化工艺、氯化工艺、过氧化工艺、重氮化工艺、硝化工艺、与高毒高残留化学品、有机硫、磷、氟、氯、溴、碘化物，含大部分易制爆化学品和高安全风险、高生态环境风险的化学品；</w:t>
            </w:r>
            <w:bookmarkEnd w:id="214"/>
            <w:bookmarkEnd w:id="215"/>
            <w:r>
              <w:rPr>
                <w:rFonts w:hint="default" w:ascii="Times New Roman" w:hAnsi="Times New Roman" w:cs="Times New Roman"/>
                <w:b w:val="0"/>
                <w:bCs w:val="0"/>
                <w:color w:val="auto"/>
                <w:sz w:val="21"/>
                <w:szCs w:val="21"/>
                <w:vertAlign w:val="baseline"/>
                <w:lang w:val="en-US" w:eastAsia="zh-CN"/>
              </w:rPr>
              <w:t xml:space="preserve"> </w:t>
            </w:r>
          </w:p>
          <w:p w14:paraId="6425B31B">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16" w:name="_Toc18383"/>
            <w:bookmarkStart w:id="217" w:name="_Toc22470"/>
            <w:r>
              <w:rPr>
                <w:rFonts w:hint="default" w:ascii="Times New Roman" w:hAnsi="Times New Roman" w:cs="Times New Roman"/>
                <w:b w:val="0"/>
                <w:bCs w:val="0"/>
                <w:color w:val="auto"/>
                <w:sz w:val="21"/>
                <w:szCs w:val="21"/>
                <w:vertAlign w:val="baseline"/>
                <w:lang w:val="en-US" w:eastAsia="zh-CN"/>
              </w:rPr>
              <w:t>②限制现有与主导产业不符的且污染物排放量大的企业新增产能；</w:t>
            </w:r>
            <w:bookmarkEnd w:id="216"/>
            <w:bookmarkEnd w:id="217"/>
          </w:p>
          <w:p w14:paraId="1F706FCF">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18" w:name="_Toc1643"/>
            <w:bookmarkStart w:id="219" w:name="_Toc21004"/>
            <w:r>
              <w:rPr>
                <w:rFonts w:hint="default" w:ascii="Times New Roman" w:hAnsi="Times New Roman" w:cs="Times New Roman"/>
                <w:b w:val="0"/>
                <w:bCs w:val="0"/>
                <w:color w:val="auto"/>
                <w:sz w:val="21"/>
                <w:szCs w:val="21"/>
                <w:vertAlign w:val="baseline"/>
                <w:lang w:val="en-US" w:eastAsia="zh-CN"/>
              </w:rPr>
              <w:t>③严格限制在淮河流域新建印染、制革、化工、电镀、酿造等大中型项目或者其他污染严重的项目；建该类项目的，应当事前征得省人民政府生态环境行政主管部门的同意，并按照规定办理有关手续；</w:t>
            </w:r>
            <w:bookmarkEnd w:id="218"/>
            <w:bookmarkEnd w:id="219"/>
          </w:p>
          <w:p w14:paraId="7F0ED949">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20" w:name="_Toc3692"/>
            <w:bookmarkStart w:id="221" w:name="_Toc3139"/>
            <w:r>
              <w:rPr>
                <w:rFonts w:hint="default" w:ascii="Times New Roman" w:hAnsi="Times New Roman" w:cs="Times New Roman"/>
                <w:b w:val="0"/>
                <w:bCs w:val="0"/>
                <w:color w:val="auto"/>
                <w:sz w:val="21"/>
                <w:szCs w:val="21"/>
                <w:vertAlign w:val="baseline"/>
                <w:lang w:val="en-US" w:eastAsia="zh-CN"/>
              </w:rPr>
              <w:t>④两高行业需满足《生态环境部关于加强高耗能、高排放建设项目生态环境源头防控的指导意见》、《安徽省节能减排及应对气候变化工作领导小组关于进一步加强新上</w:t>
            </w:r>
            <w:r>
              <w:rPr>
                <w:rFonts w:hint="eastAsia" w:ascii="宋体" w:hAnsi="宋体" w:eastAsia="宋体" w:cs="宋体"/>
                <w:b w:val="0"/>
                <w:bCs w:val="0"/>
                <w:color w:val="auto"/>
                <w:sz w:val="21"/>
                <w:szCs w:val="21"/>
                <w:vertAlign w:val="baseline"/>
                <w:lang w:val="en-US" w:eastAsia="zh-CN"/>
              </w:rPr>
              <w:t>“两高”</w:t>
            </w:r>
            <w:r>
              <w:rPr>
                <w:rFonts w:hint="default" w:ascii="Times New Roman" w:hAnsi="Times New Roman" w:cs="Times New Roman"/>
                <w:b w:val="0"/>
                <w:bCs w:val="0"/>
                <w:color w:val="auto"/>
                <w:sz w:val="21"/>
                <w:szCs w:val="21"/>
                <w:vertAlign w:val="baseline"/>
                <w:lang w:val="en-US" w:eastAsia="zh-CN"/>
              </w:rPr>
              <w:t>项目管理的通知》等两高文件要求，且不得新增区域污染物排放总量，远期根据区域环境质量现状，确保区域环境质量有所改善，且经过充分的环境影响论证</w:t>
            </w:r>
            <w:bookmarkEnd w:id="220"/>
            <w:bookmarkEnd w:id="221"/>
          </w:p>
        </w:tc>
      </w:tr>
      <w:tr w14:paraId="2F6E05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1340" w:type="dxa"/>
            <w:vMerge w:val="continue"/>
            <w:tcBorders>
              <w:tl2br w:val="nil"/>
              <w:tr2bl w:val="nil"/>
            </w:tcBorders>
            <w:vAlign w:val="center"/>
          </w:tcPr>
          <w:p w14:paraId="3DE68508">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11DDC04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011EA6E4">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64453657">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22" w:name="_Toc32197"/>
            <w:bookmarkStart w:id="223" w:name="_Toc30027"/>
            <w:r>
              <w:rPr>
                <w:rFonts w:hint="eastAsia" w:ascii="Times New Roman" w:hAnsi="Times New Roman" w:cs="Times New Roman"/>
                <w:b w:val="0"/>
                <w:bCs w:val="0"/>
                <w:color w:val="auto"/>
                <w:sz w:val="21"/>
                <w:szCs w:val="21"/>
                <w:vertAlign w:val="baseline"/>
                <w:lang w:val="en-US" w:eastAsia="zh-CN"/>
              </w:rPr>
              <w:t>禁</w:t>
            </w:r>
            <w:bookmarkEnd w:id="222"/>
            <w:bookmarkEnd w:id="223"/>
          </w:p>
          <w:p w14:paraId="58951073">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24" w:name="_Toc2046"/>
            <w:bookmarkStart w:id="225" w:name="_Toc21493"/>
            <w:r>
              <w:rPr>
                <w:rFonts w:hint="eastAsia" w:ascii="Times New Roman" w:hAnsi="Times New Roman" w:cs="Times New Roman"/>
                <w:b w:val="0"/>
                <w:bCs w:val="0"/>
                <w:color w:val="auto"/>
                <w:sz w:val="21"/>
                <w:szCs w:val="21"/>
                <w:vertAlign w:val="baseline"/>
                <w:lang w:val="en-US" w:eastAsia="zh-CN"/>
              </w:rPr>
              <w:t>止</w:t>
            </w:r>
            <w:bookmarkEnd w:id="224"/>
            <w:bookmarkEnd w:id="225"/>
          </w:p>
          <w:p w14:paraId="6008539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26" w:name="_Toc20360"/>
            <w:bookmarkStart w:id="227" w:name="_Toc3667"/>
            <w:r>
              <w:rPr>
                <w:rFonts w:hint="eastAsia" w:ascii="Times New Roman" w:hAnsi="Times New Roman" w:cs="Times New Roman"/>
                <w:b w:val="0"/>
                <w:bCs w:val="0"/>
                <w:color w:val="auto"/>
                <w:sz w:val="21"/>
                <w:szCs w:val="21"/>
                <w:vertAlign w:val="baseline"/>
                <w:lang w:val="en-US" w:eastAsia="zh-CN"/>
              </w:rPr>
              <w:t>类</w:t>
            </w:r>
            <w:bookmarkEnd w:id="226"/>
            <w:bookmarkEnd w:id="227"/>
          </w:p>
        </w:tc>
        <w:tc>
          <w:tcPr>
            <w:tcW w:w="10445" w:type="dxa"/>
            <w:gridSpan w:val="4"/>
            <w:tcBorders>
              <w:tl2br w:val="nil"/>
              <w:tr2bl w:val="nil"/>
            </w:tcBorders>
            <w:vAlign w:val="center"/>
          </w:tcPr>
          <w:p w14:paraId="72D55319">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28" w:name="_Toc32502"/>
            <w:bookmarkStart w:id="229" w:name="_Toc27538"/>
            <w:r>
              <w:rPr>
                <w:rFonts w:hint="default" w:ascii="Times New Roman" w:hAnsi="Times New Roman" w:cs="Times New Roman"/>
                <w:b w:val="0"/>
                <w:bCs w:val="0"/>
                <w:color w:val="auto"/>
                <w:sz w:val="21"/>
                <w:szCs w:val="21"/>
                <w:vertAlign w:val="baseline"/>
                <w:lang w:val="en-US" w:eastAsia="zh-CN"/>
              </w:rPr>
              <w:t>①禁止引入列入《产业结构调整指导目录（2019年本）》（2021年修改）、《市场准入负面清单（2022年版）》、《长江经济带发展负面清单指南（试行，2022年版）》等相关产业政策中禁止或淘汰类项目、产品、工艺、设备；</w:t>
            </w:r>
            <w:bookmarkEnd w:id="228"/>
            <w:bookmarkEnd w:id="229"/>
          </w:p>
          <w:p w14:paraId="10FECBF6">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0" w:name="_Toc16508"/>
            <w:bookmarkStart w:id="231" w:name="_Toc29814"/>
            <w:r>
              <w:rPr>
                <w:rFonts w:hint="default" w:ascii="Times New Roman" w:hAnsi="Times New Roman" w:cs="Times New Roman"/>
                <w:b w:val="0"/>
                <w:bCs w:val="0"/>
                <w:color w:val="auto"/>
                <w:sz w:val="21"/>
                <w:szCs w:val="21"/>
                <w:vertAlign w:val="baseline"/>
                <w:lang w:val="en-US" w:eastAsia="zh-CN"/>
              </w:rPr>
              <w:t>②禁止新建、扩建法律法规和相关政策明令禁止的落后产能项目；</w:t>
            </w:r>
            <w:bookmarkEnd w:id="230"/>
            <w:bookmarkEnd w:id="231"/>
          </w:p>
          <w:p w14:paraId="12B953CD">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2" w:name="_Toc1737"/>
            <w:bookmarkStart w:id="233" w:name="_Toc1724"/>
            <w:r>
              <w:rPr>
                <w:rFonts w:hint="default" w:ascii="Times New Roman" w:hAnsi="Times New Roman" w:cs="Times New Roman"/>
                <w:b w:val="0"/>
                <w:bCs w:val="0"/>
                <w:color w:val="auto"/>
                <w:sz w:val="21"/>
                <w:szCs w:val="21"/>
                <w:vertAlign w:val="baseline"/>
                <w:lang w:val="en-US" w:eastAsia="zh-CN"/>
              </w:rPr>
              <w:t>③禁止新建、扩建不符合国家产能置换要求的严重过剩产能行业的项目；</w:t>
            </w:r>
            <w:bookmarkEnd w:id="232"/>
            <w:bookmarkEnd w:id="233"/>
            <w:r>
              <w:rPr>
                <w:rFonts w:hint="default" w:ascii="Times New Roman" w:hAnsi="Times New Roman" w:cs="Times New Roman"/>
                <w:b w:val="0"/>
                <w:bCs w:val="0"/>
                <w:color w:val="auto"/>
                <w:sz w:val="21"/>
                <w:szCs w:val="21"/>
                <w:vertAlign w:val="baseline"/>
                <w:lang w:val="en-US" w:eastAsia="zh-CN"/>
              </w:rPr>
              <w:t xml:space="preserve"> </w:t>
            </w:r>
          </w:p>
          <w:p w14:paraId="75413D8C">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4" w:name="_Toc1075"/>
            <w:bookmarkStart w:id="235" w:name="_Toc15561"/>
            <w:r>
              <w:rPr>
                <w:rFonts w:hint="default" w:ascii="Times New Roman" w:hAnsi="Times New Roman" w:cs="Times New Roman"/>
                <w:b w:val="0"/>
                <w:bCs w:val="0"/>
                <w:color w:val="auto"/>
                <w:sz w:val="21"/>
                <w:szCs w:val="21"/>
                <w:vertAlign w:val="baseline"/>
                <w:lang w:val="en-US" w:eastAsia="zh-CN"/>
              </w:rPr>
              <w:t>④禁止新建、扩建不符合要求的高耗能高排放项目；</w:t>
            </w:r>
            <w:bookmarkEnd w:id="234"/>
            <w:bookmarkEnd w:id="235"/>
            <w:r>
              <w:rPr>
                <w:rFonts w:hint="default" w:ascii="Times New Roman" w:hAnsi="Times New Roman" w:cs="Times New Roman"/>
                <w:b w:val="0"/>
                <w:bCs w:val="0"/>
                <w:color w:val="auto"/>
                <w:sz w:val="21"/>
                <w:szCs w:val="21"/>
                <w:vertAlign w:val="baseline"/>
                <w:lang w:val="en-US" w:eastAsia="zh-CN"/>
              </w:rPr>
              <w:t xml:space="preserve"> </w:t>
            </w:r>
          </w:p>
          <w:p w14:paraId="73400C3A">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6" w:name="_Toc17296"/>
            <w:bookmarkStart w:id="237" w:name="_Toc32155"/>
            <w:r>
              <w:rPr>
                <w:rFonts w:hint="default" w:ascii="Times New Roman" w:hAnsi="Times New Roman" w:cs="Times New Roman"/>
                <w:b w:val="0"/>
                <w:bCs w:val="0"/>
                <w:color w:val="auto"/>
                <w:sz w:val="21"/>
                <w:szCs w:val="21"/>
                <w:vertAlign w:val="baseline"/>
                <w:lang w:val="en-US" w:eastAsia="zh-CN"/>
              </w:rPr>
              <w:t>⑤禁止新增钢铁、焦化、电解铝、水泥和平板玻璃等产能；</w:t>
            </w:r>
            <w:bookmarkEnd w:id="236"/>
            <w:bookmarkEnd w:id="237"/>
            <w:r>
              <w:rPr>
                <w:rFonts w:hint="default" w:ascii="Times New Roman" w:hAnsi="Times New Roman" w:cs="Times New Roman"/>
                <w:b w:val="0"/>
                <w:bCs w:val="0"/>
                <w:color w:val="auto"/>
                <w:sz w:val="21"/>
                <w:szCs w:val="21"/>
                <w:vertAlign w:val="baseline"/>
                <w:lang w:val="en-US" w:eastAsia="zh-CN"/>
              </w:rPr>
              <w:t xml:space="preserve"> </w:t>
            </w:r>
          </w:p>
          <w:p w14:paraId="108061F1">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8" w:name="_Toc9685"/>
            <w:bookmarkStart w:id="239" w:name="_Toc21671"/>
            <w:r>
              <w:rPr>
                <w:rFonts w:hint="default" w:ascii="Times New Roman" w:hAnsi="Times New Roman" w:cs="Times New Roman"/>
                <w:b w:val="0"/>
                <w:bCs w:val="0"/>
                <w:color w:val="auto"/>
                <w:sz w:val="21"/>
                <w:szCs w:val="21"/>
                <w:vertAlign w:val="baseline"/>
                <w:lang w:val="en-US" w:eastAsia="zh-CN"/>
              </w:rPr>
              <w:t>⑥禁止新建《淮北市危险化学品禁止、限制和控制性目录》在附件 1</w:t>
            </w:r>
            <w:r>
              <w:rPr>
                <w:rFonts w:hint="eastAsia" w:ascii="宋体" w:hAnsi="宋体" w:eastAsia="宋体" w:cs="宋体"/>
                <w:b w:val="0"/>
                <w:bCs w:val="0"/>
                <w:color w:val="auto"/>
                <w:sz w:val="21"/>
                <w:szCs w:val="21"/>
                <w:vertAlign w:val="baseline"/>
                <w:lang w:val="en-US" w:eastAsia="zh-CN"/>
              </w:rPr>
              <w:t>“淮北市禁止生产的危险化学品目录 （试行）”所列危险</w:t>
            </w:r>
            <w:r>
              <w:rPr>
                <w:rFonts w:hint="default" w:ascii="Times New Roman" w:hAnsi="Times New Roman" w:cs="Times New Roman"/>
                <w:b w:val="0"/>
                <w:bCs w:val="0"/>
                <w:color w:val="auto"/>
                <w:sz w:val="21"/>
                <w:szCs w:val="21"/>
                <w:vertAlign w:val="baseline"/>
                <w:lang w:val="en-US" w:eastAsia="zh-CN"/>
              </w:rPr>
              <w:t>化学品，主要包括了剧毒化学品、监控化学品以及国家明令淘汰的高毒高残留化学品；</w:t>
            </w:r>
            <w:bookmarkEnd w:id="238"/>
            <w:bookmarkEnd w:id="239"/>
            <w:r>
              <w:rPr>
                <w:rFonts w:hint="default" w:ascii="Times New Roman" w:hAnsi="Times New Roman" w:cs="Times New Roman"/>
                <w:b w:val="0"/>
                <w:bCs w:val="0"/>
                <w:color w:val="auto"/>
                <w:sz w:val="21"/>
                <w:szCs w:val="21"/>
                <w:vertAlign w:val="baseline"/>
                <w:lang w:val="en-US" w:eastAsia="zh-CN"/>
              </w:rPr>
              <w:t xml:space="preserve"> </w:t>
            </w:r>
          </w:p>
          <w:p w14:paraId="44CCEFAC">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0" w:name="_Toc31653"/>
            <w:bookmarkStart w:id="241" w:name="_Toc2154"/>
            <w:r>
              <w:rPr>
                <w:rFonts w:hint="default" w:ascii="Times New Roman" w:hAnsi="Times New Roman" w:cs="Times New Roman"/>
                <w:b w:val="0"/>
                <w:bCs w:val="0"/>
                <w:color w:val="auto"/>
                <w:sz w:val="21"/>
                <w:szCs w:val="21"/>
                <w:vertAlign w:val="baseline"/>
                <w:lang w:val="en-US" w:eastAsia="zh-CN"/>
              </w:rPr>
              <w:t>⑦主要禁止引入尚需自行锅炉的企业入区，引进项目必须使用清洁能源或实施集中供热；</w:t>
            </w:r>
            <w:bookmarkEnd w:id="240"/>
            <w:bookmarkEnd w:id="241"/>
            <w:r>
              <w:rPr>
                <w:rFonts w:hint="default" w:ascii="Times New Roman" w:hAnsi="Times New Roman" w:cs="Times New Roman"/>
                <w:b w:val="0"/>
                <w:bCs w:val="0"/>
                <w:color w:val="auto"/>
                <w:sz w:val="21"/>
                <w:szCs w:val="21"/>
                <w:vertAlign w:val="baseline"/>
                <w:lang w:val="en-US" w:eastAsia="zh-CN"/>
              </w:rPr>
              <w:t xml:space="preserve"> </w:t>
            </w:r>
          </w:p>
          <w:p w14:paraId="5EB7D644">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2" w:name="_Toc15602"/>
            <w:bookmarkStart w:id="243" w:name="_Toc24695"/>
            <w:r>
              <w:rPr>
                <w:rFonts w:hint="default" w:ascii="Times New Roman" w:hAnsi="Times New Roman" w:cs="Times New Roman"/>
                <w:b w:val="0"/>
                <w:bCs w:val="0"/>
                <w:color w:val="auto"/>
                <w:sz w:val="21"/>
                <w:szCs w:val="21"/>
                <w:vertAlign w:val="baseline"/>
                <w:lang w:val="en-US" w:eastAsia="zh-CN"/>
              </w:rPr>
              <w:t>⑧禁止在淮河流域新建化学制浆造纸企业和印染、制革、化工、电镀、酿造等污染严重的小型企业；</w:t>
            </w:r>
            <w:bookmarkEnd w:id="242"/>
            <w:bookmarkEnd w:id="243"/>
            <w:r>
              <w:rPr>
                <w:rFonts w:hint="default" w:ascii="Times New Roman" w:hAnsi="Times New Roman" w:cs="Times New Roman"/>
                <w:b w:val="0"/>
                <w:bCs w:val="0"/>
                <w:color w:val="auto"/>
                <w:sz w:val="21"/>
                <w:szCs w:val="21"/>
                <w:vertAlign w:val="baseline"/>
                <w:lang w:val="en-US" w:eastAsia="zh-CN"/>
              </w:rPr>
              <w:t xml:space="preserve"> </w:t>
            </w:r>
          </w:p>
          <w:p w14:paraId="7C61494F">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4" w:name="_Toc18960"/>
            <w:bookmarkStart w:id="245" w:name="_Toc24888"/>
            <w:r>
              <w:rPr>
                <w:rFonts w:hint="default" w:ascii="Times New Roman" w:hAnsi="Times New Roman" w:cs="Times New Roman"/>
                <w:b w:val="0"/>
                <w:bCs w:val="0"/>
                <w:color w:val="auto"/>
                <w:sz w:val="21"/>
                <w:szCs w:val="21"/>
                <w:vertAlign w:val="baseline"/>
                <w:lang w:val="en-US" w:eastAsia="zh-CN"/>
              </w:rPr>
              <w:t>⑨考虑到区块一化工区距濉溪县主城区较近，禁止引入污染物排放量大，环境风险高的项目，禁止引入危险工艺</w:t>
            </w:r>
            <w:bookmarkEnd w:id="244"/>
            <w:bookmarkEnd w:id="245"/>
          </w:p>
          <w:p w14:paraId="7BF3ADA6">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6" w:name="_Toc27323"/>
            <w:bookmarkStart w:id="247" w:name="_Toc5318"/>
            <w:r>
              <w:rPr>
                <w:rFonts w:hint="default" w:ascii="Times New Roman" w:hAnsi="Times New Roman" w:cs="Times New Roman"/>
                <w:b w:val="0"/>
                <w:bCs w:val="0"/>
                <w:color w:val="auto"/>
                <w:sz w:val="21"/>
                <w:szCs w:val="21"/>
                <w:vertAlign w:val="baseline"/>
                <w:lang w:val="en-US" w:eastAsia="zh-CN"/>
              </w:rPr>
              <w:t>⑩现状濉溪第二污水厂已接近满负荷且区域地表水不能全面达标，建议在濉溪第二污水厂改扩建完成前禁止引入水排放量大的项目；</w:t>
            </w:r>
            <w:bookmarkEnd w:id="246"/>
            <w:bookmarkEnd w:id="247"/>
          </w:p>
          <w:p w14:paraId="6CA42FE2">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8" w:name="_Toc28437"/>
            <w:bookmarkStart w:id="249" w:name="_Toc30562"/>
            <w:r>
              <w:rPr>
                <w:rFonts w:hint="default" w:ascii="Times New Roman" w:hAnsi="Times New Roman" w:eastAsia="宋体" w:cs="Times New Roman"/>
                <w:b w:val="0"/>
                <w:bCs w:val="0"/>
                <w:color w:val="auto"/>
                <w:sz w:val="21"/>
                <w:szCs w:val="21"/>
                <w:vertAlign w:val="baseline"/>
                <w:lang w:val="en-US" w:eastAsia="zh-CN"/>
              </w:rPr>
              <w:t>⑪</w:t>
            </w:r>
            <w:r>
              <w:rPr>
                <w:rFonts w:hint="default" w:ascii="Times New Roman" w:hAnsi="Times New Roman" w:cs="Times New Roman"/>
                <w:b w:val="0"/>
                <w:bCs w:val="0"/>
                <w:color w:val="auto"/>
                <w:sz w:val="21"/>
                <w:szCs w:val="21"/>
                <w:vertAlign w:val="baseline"/>
                <w:lang w:val="en-US" w:eastAsia="zh-CN"/>
              </w:rPr>
              <w:t>2018年~2022年淮北市PM</w:t>
            </w:r>
            <w:r>
              <w:rPr>
                <w:rFonts w:hint="default" w:ascii="Times New Roman" w:hAnsi="Times New Roman" w:cs="Times New Roman"/>
                <w:b w:val="0"/>
                <w:bCs w:val="0"/>
                <w:color w:val="auto"/>
                <w:sz w:val="21"/>
                <w:szCs w:val="21"/>
                <w:vertAlign w:val="subscript"/>
                <w:lang w:val="en-US" w:eastAsia="zh-CN"/>
              </w:rPr>
              <w:t>2.5</w:t>
            </w:r>
            <w:r>
              <w:rPr>
                <w:rFonts w:hint="default" w:ascii="Times New Roman" w:hAnsi="Times New Roman" w:cs="Times New Roman"/>
                <w:b w:val="0"/>
                <w:bCs w:val="0"/>
                <w:color w:val="auto"/>
                <w:sz w:val="21"/>
                <w:szCs w:val="21"/>
                <w:vertAlign w:val="baseline"/>
                <w:lang w:val="en-US" w:eastAsia="zh-CN"/>
              </w:rPr>
              <w:t>持续不达标，且 PM</w:t>
            </w:r>
            <w:r>
              <w:rPr>
                <w:rFonts w:hint="default" w:ascii="Times New Roman" w:hAnsi="Times New Roman" w:cs="Times New Roman"/>
                <w:b w:val="0"/>
                <w:bCs w:val="0"/>
                <w:color w:val="auto"/>
                <w:sz w:val="21"/>
                <w:szCs w:val="21"/>
                <w:vertAlign w:val="subscript"/>
                <w:lang w:val="en-US" w:eastAsia="zh-CN"/>
              </w:rPr>
              <w:t>2.5</w:t>
            </w:r>
            <w:r>
              <w:rPr>
                <w:rFonts w:hint="default" w:ascii="Times New Roman" w:hAnsi="Times New Roman" w:cs="Times New Roman"/>
                <w:b w:val="0"/>
                <w:bCs w:val="0"/>
                <w:color w:val="auto"/>
                <w:sz w:val="21"/>
                <w:szCs w:val="21"/>
                <w:vertAlign w:val="baseline"/>
                <w:lang w:val="en-US" w:eastAsia="zh-CN"/>
              </w:rPr>
              <w:t>、O</w:t>
            </w:r>
            <w:r>
              <w:rPr>
                <w:rFonts w:hint="default" w:ascii="Times New Roman" w:hAnsi="Times New Roman" w:cs="Times New Roman"/>
                <w:b w:val="0"/>
                <w:bCs w:val="0"/>
                <w:color w:val="auto"/>
                <w:sz w:val="21"/>
                <w:szCs w:val="21"/>
                <w:vertAlign w:val="subscript"/>
                <w:lang w:val="en-US" w:eastAsia="zh-CN"/>
              </w:rPr>
              <w:t>3</w:t>
            </w:r>
            <w:r>
              <w:rPr>
                <w:rFonts w:hint="default" w:ascii="Times New Roman" w:hAnsi="Times New Roman" w:cs="Times New Roman"/>
                <w:b w:val="0"/>
                <w:bCs w:val="0"/>
                <w:color w:val="auto"/>
                <w:sz w:val="21"/>
                <w:szCs w:val="21"/>
                <w:vertAlign w:val="baseline"/>
                <w:lang w:val="en-US" w:eastAsia="zh-CN"/>
              </w:rPr>
              <w:t>在2022年有反弹趋势，在环境质量持续改善前，禁止引入高污染高排放项目。</w:t>
            </w:r>
            <w:bookmarkEnd w:id="248"/>
            <w:bookmarkEnd w:id="249"/>
          </w:p>
        </w:tc>
      </w:tr>
    </w:tbl>
    <w:p w14:paraId="09C29F68">
      <w:pPr>
        <w:adjustRightInd w:val="0"/>
        <w:snapToGrid w:val="0"/>
        <w:spacing w:line="360" w:lineRule="auto"/>
        <w:jc w:val="center"/>
        <w:rPr>
          <w:rFonts w:hint="default"/>
          <w:b/>
          <w:bCs/>
          <w:color w:val="auto"/>
          <w:sz w:val="24"/>
          <w:szCs w:val="32"/>
          <w:lang w:val="en-US" w:eastAsia="zh-CN"/>
        </w:rPr>
        <w:sectPr>
          <w:pgSz w:w="16838" w:h="11906" w:orient="landscape"/>
          <w:pgMar w:top="1080" w:right="1440" w:bottom="1080" w:left="1440" w:header="1020" w:footer="992" w:gutter="0"/>
          <w:pgBorders>
            <w:top w:val="none" w:sz="0" w:space="0"/>
            <w:left w:val="none" w:sz="0" w:space="0"/>
            <w:bottom w:val="none" w:sz="0" w:space="0"/>
            <w:right w:val="none" w:sz="0" w:space="0"/>
          </w:pgBorders>
          <w:pgNumType w:fmt="numberInDash"/>
          <w:cols w:space="0" w:num="1"/>
          <w:docGrid w:type="lines" w:linePitch="304" w:charSpace="0"/>
        </w:sectPr>
      </w:pPr>
    </w:p>
    <w:p w14:paraId="2C0B3922">
      <w:pPr>
        <w:adjustRightInd w:val="0"/>
        <w:snapToGrid w:val="0"/>
        <w:spacing w:line="360" w:lineRule="auto"/>
        <w:ind w:firstLine="480" w:firstLineChars="200"/>
        <w:outlineLvl w:val="1"/>
        <w:rPr>
          <w:rFonts w:hint="eastAsia"/>
          <w:color w:val="auto"/>
          <w:sz w:val="24"/>
          <w:szCs w:val="32"/>
          <w:lang w:eastAsia="zh-CN"/>
        </w:rPr>
      </w:pPr>
      <w:bookmarkStart w:id="250" w:name="_Toc29004"/>
      <w:r>
        <w:rPr>
          <w:rFonts w:hint="eastAsia"/>
          <w:color w:val="auto"/>
          <w:sz w:val="24"/>
          <w:szCs w:val="32"/>
          <w:lang w:val="en-US" w:eastAsia="zh-CN"/>
        </w:rPr>
        <w:t>综上所述，本项目</w:t>
      </w:r>
      <w:r>
        <w:rPr>
          <w:rFonts w:hint="eastAsia"/>
          <w:color w:val="auto"/>
          <w:sz w:val="24"/>
          <w:szCs w:val="32"/>
          <w:lang w:eastAsia="zh-CN"/>
        </w:rPr>
        <w:t>行业类别为C3216有色金属冶炼，</w:t>
      </w:r>
      <w:r>
        <w:rPr>
          <w:rFonts w:hint="eastAsia"/>
          <w:color w:val="auto"/>
          <w:sz w:val="24"/>
          <w:szCs w:val="32"/>
          <w:lang w:val="en-US" w:eastAsia="zh-CN"/>
        </w:rPr>
        <w:t>属于安徽濉溪经济开发区生态环境准入清单中鼓励类项目</w:t>
      </w:r>
      <w:r>
        <w:rPr>
          <w:rFonts w:hint="eastAsia"/>
          <w:color w:val="auto"/>
          <w:sz w:val="24"/>
          <w:szCs w:val="32"/>
          <w:lang w:eastAsia="zh-CN"/>
        </w:rPr>
        <w:t>。</w:t>
      </w:r>
      <w:bookmarkEnd w:id="250"/>
    </w:p>
    <w:p w14:paraId="65173B23">
      <w:pPr>
        <w:adjustRightInd w:val="0"/>
        <w:snapToGrid w:val="0"/>
        <w:spacing w:line="360" w:lineRule="auto"/>
        <w:outlineLvl w:val="1"/>
        <w:rPr>
          <w:b/>
          <w:bCs/>
          <w:color w:val="auto"/>
          <w:sz w:val="28"/>
          <w:szCs w:val="36"/>
        </w:rPr>
      </w:pPr>
      <w:bookmarkStart w:id="251" w:name="_Toc4511"/>
      <w:r>
        <w:rPr>
          <w:b/>
          <w:bCs/>
          <w:color w:val="auto"/>
          <w:sz w:val="28"/>
          <w:szCs w:val="36"/>
        </w:rPr>
        <w:t>1.8 环境保护目标</w:t>
      </w:r>
      <w:bookmarkEnd w:id="82"/>
      <w:bookmarkEnd w:id="134"/>
      <w:bookmarkEnd w:id="251"/>
    </w:p>
    <w:p w14:paraId="4744A3E0">
      <w:pPr>
        <w:adjustRightInd w:val="0"/>
        <w:snapToGrid w:val="0"/>
        <w:spacing w:line="360" w:lineRule="auto"/>
        <w:ind w:firstLine="480" w:firstLineChars="200"/>
        <w:rPr>
          <w:color w:val="auto"/>
          <w:sz w:val="24"/>
          <w:szCs w:val="32"/>
        </w:rPr>
      </w:pPr>
      <w:r>
        <w:rPr>
          <w:color w:val="auto"/>
          <w:sz w:val="24"/>
          <w:szCs w:val="32"/>
        </w:rPr>
        <w:t>项目位于安徽</w:t>
      </w:r>
      <w:r>
        <w:rPr>
          <w:rFonts w:hint="eastAsia"/>
          <w:color w:val="auto"/>
          <w:sz w:val="24"/>
          <w:szCs w:val="32"/>
          <w:lang w:val="en-US" w:eastAsia="zh-CN"/>
        </w:rPr>
        <w:t>濉溪经济开发区内</w:t>
      </w:r>
      <w:r>
        <w:rPr>
          <w:color w:val="auto"/>
          <w:sz w:val="24"/>
          <w:szCs w:val="32"/>
        </w:rPr>
        <w:t>，</w:t>
      </w:r>
      <w:r>
        <w:rPr>
          <w:rFonts w:hint="eastAsia"/>
          <w:color w:val="auto"/>
          <w:sz w:val="24"/>
          <w:szCs w:val="32"/>
        </w:rPr>
        <w:t>根据现场调查</w:t>
      </w:r>
      <w:r>
        <w:rPr>
          <w:color w:val="auto"/>
          <w:sz w:val="24"/>
          <w:szCs w:val="32"/>
        </w:rPr>
        <w:t>，本评价区域内无历史文物古迹和风景名胜区等特殊敏感目标</w:t>
      </w:r>
      <w:r>
        <w:rPr>
          <w:rFonts w:hint="eastAsia"/>
          <w:color w:val="auto"/>
          <w:sz w:val="24"/>
          <w:szCs w:val="32"/>
        </w:rPr>
        <w:t>，后评价阶段环评报告目标与</w:t>
      </w:r>
      <w:r>
        <w:rPr>
          <w:rFonts w:hint="eastAsia"/>
          <w:color w:val="auto"/>
          <w:sz w:val="24"/>
          <w:szCs w:val="32"/>
          <w:lang w:val="en-US" w:eastAsia="zh-CN"/>
        </w:rPr>
        <w:t>原</w:t>
      </w:r>
      <w:r>
        <w:rPr>
          <w:rFonts w:hint="eastAsia"/>
          <w:color w:val="auto"/>
          <w:sz w:val="24"/>
          <w:szCs w:val="32"/>
        </w:rPr>
        <w:t>环评阶段</w:t>
      </w:r>
      <w:r>
        <w:rPr>
          <w:rFonts w:hint="eastAsia"/>
          <w:color w:val="auto"/>
          <w:sz w:val="24"/>
          <w:szCs w:val="32"/>
          <w:lang w:val="en-US" w:eastAsia="zh-CN"/>
        </w:rPr>
        <w:t>环境</w:t>
      </w:r>
      <w:r>
        <w:rPr>
          <w:rFonts w:hint="eastAsia"/>
          <w:color w:val="auto"/>
          <w:sz w:val="24"/>
          <w:szCs w:val="32"/>
        </w:rPr>
        <w:t>保护目标</w:t>
      </w:r>
      <w:r>
        <w:rPr>
          <w:rFonts w:hint="eastAsia"/>
          <w:color w:val="auto"/>
          <w:sz w:val="24"/>
          <w:szCs w:val="32"/>
          <w:lang w:val="en-US" w:eastAsia="zh-CN"/>
        </w:rPr>
        <w:t>发生变化，大气评价范围内的梁庄、王埝村、戚牌坊现已拆迁，</w:t>
      </w:r>
      <w:r>
        <w:rPr>
          <w:color w:val="auto"/>
          <w:sz w:val="24"/>
          <w:szCs w:val="32"/>
        </w:rPr>
        <w:t>具体情况见下表，详见下图：</w:t>
      </w:r>
    </w:p>
    <w:p w14:paraId="2F4FB360">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18</w:t>
      </w:r>
      <w:r>
        <w:rPr>
          <w:b/>
          <w:bCs/>
          <w:color w:val="auto"/>
          <w:sz w:val="24"/>
          <w:szCs w:val="32"/>
        </w:rPr>
        <w:t xml:space="preserve"> 主要环境保护目标一览表</w:t>
      </w:r>
    </w:p>
    <w:tbl>
      <w:tblPr>
        <w:tblStyle w:val="31"/>
        <w:tblW w:w="10247" w:type="dxa"/>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Layout w:type="fixed"/>
        <w:tblCellMar>
          <w:top w:w="0" w:type="dxa"/>
          <w:left w:w="108" w:type="dxa"/>
          <w:bottom w:w="0" w:type="dxa"/>
          <w:right w:w="108" w:type="dxa"/>
        </w:tblCellMar>
      </w:tblPr>
      <w:tblGrid>
        <w:gridCol w:w="523"/>
        <w:gridCol w:w="1481"/>
        <w:gridCol w:w="732"/>
        <w:gridCol w:w="733"/>
        <w:gridCol w:w="1867"/>
        <w:gridCol w:w="1018"/>
        <w:gridCol w:w="1733"/>
        <w:gridCol w:w="1000"/>
        <w:gridCol w:w="1160"/>
      </w:tblGrid>
      <w:tr w14:paraId="71AD41B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tblHeader/>
          <w:jc w:val="center"/>
        </w:trPr>
        <w:tc>
          <w:tcPr>
            <w:tcW w:w="523" w:type="dxa"/>
            <w:vMerge w:val="restart"/>
            <w:tcBorders>
              <w:tl2br w:val="nil"/>
              <w:tr2bl w:val="nil"/>
            </w:tcBorders>
            <w:shd w:val="clear" w:color="auto" w:fill="auto"/>
            <w:vAlign w:val="center"/>
          </w:tcPr>
          <w:p w14:paraId="55987C79">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序号</w:t>
            </w:r>
          </w:p>
        </w:tc>
        <w:tc>
          <w:tcPr>
            <w:tcW w:w="1481" w:type="dxa"/>
            <w:vMerge w:val="restart"/>
            <w:tcBorders>
              <w:tl2br w:val="nil"/>
              <w:tr2bl w:val="nil"/>
            </w:tcBorders>
            <w:shd w:val="clear" w:color="auto" w:fill="auto"/>
            <w:vAlign w:val="center"/>
          </w:tcPr>
          <w:p w14:paraId="01931B9C">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环境保护目标名称</w:t>
            </w:r>
          </w:p>
        </w:tc>
        <w:tc>
          <w:tcPr>
            <w:tcW w:w="1465" w:type="dxa"/>
            <w:gridSpan w:val="2"/>
            <w:tcBorders>
              <w:tl2br w:val="nil"/>
              <w:tr2bl w:val="nil"/>
            </w:tcBorders>
            <w:shd w:val="clear" w:color="auto" w:fill="auto"/>
            <w:vAlign w:val="center"/>
          </w:tcPr>
          <w:p w14:paraId="6A6855B2">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坐标/m</w:t>
            </w:r>
          </w:p>
        </w:tc>
        <w:tc>
          <w:tcPr>
            <w:tcW w:w="1867" w:type="dxa"/>
            <w:vMerge w:val="restart"/>
            <w:tcBorders>
              <w:tl2br w:val="nil"/>
              <w:tr2bl w:val="nil"/>
            </w:tcBorders>
            <w:shd w:val="clear" w:color="auto" w:fill="auto"/>
            <w:vAlign w:val="center"/>
          </w:tcPr>
          <w:p w14:paraId="53E676FC">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保护对象规模</w:t>
            </w:r>
          </w:p>
        </w:tc>
        <w:tc>
          <w:tcPr>
            <w:tcW w:w="1018" w:type="dxa"/>
            <w:vMerge w:val="restart"/>
            <w:tcBorders>
              <w:tl2br w:val="nil"/>
              <w:tr2bl w:val="nil"/>
            </w:tcBorders>
            <w:shd w:val="clear" w:color="auto" w:fill="auto"/>
            <w:vAlign w:val="center"/>
          </w:tcPr>
          <w:p w14:paraId="1BE09EA1">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保护内容</w:t>
            </w:r>
          </w:p>
        </w:tc>
        <w:tc>
          <w:tcPr>
            <w:tcW w:w="1733" w:type="dxa"/>
            <w:vMerge w:val="restart"/>
            <w:tcBorders>
              <w:tl2br w:val="nil"/>
              <w:tr2bl w:val="nil"/>
            </w:tcBorders>
            <w:shd w:val="clear" w:color="auto" w:fill="auto"/>
            <w:vAlign w:val="center"/>
          </w:tcPr>
          <w:p w14:paraId="3DD34160">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环境功能区</w:t>
            </w:r>
          </w:p>
        </w:tc>
        <w:tc>
          <w:tcPr>
            <w:tcW w:w="1000" w:type="dxa"/>
            <w:vMerge w:val="restart"/>
            <w:tcBorders>
              <w:tl2br w:val="nil"/>
              <w:tr2bl w:val="nil"/>
            </w:tcBorders>
            <w:shd w:val="clear" w:color="auto" w:fill="auto"/>
            <w:vAlign w:val="center"/>
          </w:tcPr>
          <w:p w14:paraId="383C4322">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相对厂区方位</w:t>
            </w:r>
          </w:p>
        </w:tc>
        <w:tc>
          <w:tcPr>
            <w:tcW w:w="1160" w:type="dxa"/>
            <w:vMerge w:val="restart"/>
            <w:tcBorders>
              <w:tl2br w:val="nil"/>
              <w:tr2bl w:val="nil"/>
            </w:tcBorders>
            <w:shd w:val="clear" w:color="auto" w:fill="auto"/>
            <w:vAlign w:val="center"/>
          </w:tcPr>
          <w:p w14:paraId="71EDA063">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相对厂界距离/m</w:t>
            </w:r>
          </w:p>
        </w:tc>
      </w:tr>
      <w:tr w14:paraId="4EBA9A5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3" w:hRule="atLeast"/>
          <w:tblHeader/>
          <w:jc w:val="center"/>
        </w:trPr>
        <w:tc>
          <w:tcPr>
            <w:tcW w:w="523" w:type="dxa"/>
            <w:vMerge w:val="continue"/>
            <w:tcBorders>
              <w:tl2br w:val="nil"/>
              <w:tr2bl w:val="nil"/>
            </w:tcBorders>
            <w:shd w:val="clear" w:color="auto" w:fill="auto"/>
            <w:vAlign w:val="center"/>
          </w:tcPr>
          <w:p w14:paraId="04F7CAAD">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481" w:type="dxa"/>
            <w:vMerge w:val="continue"/>
            <w:tcBorders>
              <w:tl2br w:val="nil"/>
              <w:tr2bl w:val="nil"/>
            </w:tcBorders>
            <w:shd w:val="clear" w:color="auto" w:fill="auto"/>
            <w:vAlign w:val="center"/>
          </w:tcPr>
          <w:p w14:paraId="782CA518">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732" w:type="dxa"/>
            <w:tcBorders>
              <w:tl2br w:val="nil"/>
              <w:tr2bl w:val="nil"/>
            </w:tcBorders>
            <w:shd w:val="clear" w:color="auto" w:fill="auto"/>
            <w:vAlign w:val="center"/>
          </w:tcPr>
          <w:p w14:paraId="20FED530">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X</w:t>
            </w:r>
          </w:p>
        </w:tc>
        <w:tc>
          <w:tcPr>
            <w:tcW w:w="733" w:type="dxa"/>
            <w:tcBorders>
              <w:tl2br w:val="nil"/>
              <w:tr2bl w:val="nil"/>
            </w:tcBorders>
            <w:shd w:val="clear" w:color="auto" w:fill="auto"/>
            <w:vAlign w:val="center"/>
          </w:tcPr>
          <w:p w14:paraId="1106A180">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Y</w:t>
            </w:r>
          </w:p>
        </w:tc>
        <w:tc>
          <w:tcPr>
            <w:tcW w:w="1867" w:type="dxa"/>
            <w:vMerge w:val="continue"/>
            <w:tcBorders>
              <w:tl2br w:val="nil"/>
              <w:tr2bl w:val="nil"/>
            </w:tcBorders>
            <w:shd w:val="clear" w:color="auto" w:fill="auto"/>
            <w:vAlign w:val="center"/>
          </w:tcPr>
          <w:p w14:paraId="091C9D04">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018" w:type="dxa"/>
            <w:vMerge w:val="continue"/>
            <w:tcBorders>
              <w:tl2br w:val="nil"/>
              <w:tr2bl w:val="nil"/>
            </w:tcBorders>
            <w:shd w:val="clear" w:color="auto" w:fill="auto"/>
            <w:vAlign w:val="center"/>
          </w:tcPr>
          <w:p w14:paraId="000AFAB1">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733" w:type="dxa"/>
            <w:vMerge w:val="continue"/>
            <w:tcBorders>
              <w:tl2br w:val="nil"/>
              <w:tr2bl w:val="nil"/>
            </w:tcBorders>
            <w:shd w:val="clear" w:color="auto" w:fill="auto"/>
            <w:vAlign w:val="center"/>
          </w:tcPr>
          <w:p w14:paraId="398B959E">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000" w:type="dxa"/>
            <w:vMerge w:val="continue"/>
            <w:tcBorders>
              <w:tl2br w:val="nil"/>
              <w:tr2bl w:val="nil"/>
            </w:tcBorders>
            <w:shd w:val="clear" w:color="auto" w:fill="auto"/>
            <w:vAlign w:val="center"/>
          </w:tcPr>
          <w:p w14:paraId="546D9372">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160" w:type="dxa"/>
            <w:vMerge w:val="continue"/>
            <w:tcBorders>
              <w:tl2br w:val="nil"/>
              <w:tr2bl w:val="nil"/>
            </w:tcBorders>
            <w:shd w:val="clear" w:color="auto" w:fill="auto"/>
            <w:vAlign w:val="center"/>
          </w:tcPr>
          <w:p w14:paraId="549ADBAF">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r>
      <w:tr w14:paraId="4B4D43B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A33D6FC">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c>
          <w:tcPr>
            <w:tcW w:w="1481" w:type="dxa"/>
            <w:tcBorders>
              <w:tl2br w:val="nil"/>
              <w:tr2bl w:val="nil"/>
            </w:tcBorders>
            <w:shd w:val="clear" w:color="auto" w:fill="auto"/>
            <w:vAlign w:val="center"/>
          </w:tcPr>
          <w:p w14:paraId="757AD09D">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赵</w:t>
            </w:r>
            <w:r>
              <w:rPr>
                <w:rFonts w:hint="eastAsia" w:ascii="Times New Roman" w:hAnsi="Times New Roman" w:cs="Times New Roman"/>
                <w:color w:val="auto"/>
                <w:sz w:val="21"/>
                <w:szCs w:val="21"/>
                <w:lang w:val="en-US" w:eastAsia="zh-CN"/>
              </w:rPr>
              <w:t>楼村</w:t>
            </w:r>
          </w:p>
        </w:tc>
        <w:tc>
          <w:tcPr>
            <w:tcW w:w="732" w:type="dxa"/>
            <w:tcBorders>
              <w:tl2br w:val="nil"/>
              <w:tr2bl w:val="nil"/>
            </w:tcBorders>
            <w:shd w:val="clear" w:color="auto" w:fill="auto"/>
            <w:vAlign w:val="center"/>
          </w:tcPr>
          <w:p w14:paraId="23B60FC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865</w:t>
            </w:r>
          </w:p>
        </w:tc>
        <w:tc>
          <w:tcPr>
            <w:tcW w:w="733" w:type="dxa"/>
            <w:tcBorders>
              <w:tl2br w:val="nil"/>
              <w:tr2bl w:val="nil"/>
            </w:tcBorders>
            <w:shd w:val="clear" w:color="auto" w:fill="auto"/>
            <w:vAlign w:val="center"/>
          </w:tcPr>
          <w:p w14:paraId="11EB9600">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867" w:type="dxa"/>
            <w:tcBorders>
              <w:top w:val="single" w:color="auto" w:sz="4" w:space="0"/>
              <w:tl2br w:val="nil"/>
              <w:tr2bl w:val="nil"/>
            </w:tcBorders>
            <w:shd w:val="clear" w:color="auto" w:fill="auto"/>
            <w:vAlign w:val="center"/>
          </w:tcPr>
          <w:p w14:paraId="5A7895E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113</w:t>
            </w:r>
            <w:r>
              <w:rPr>
                <w:rFonts w:hint="default" w:ascii="Times New Roman" w:hAnsi="Times New Roman" w:cs="Times New Roman"/>
                <w:color w:val="auto"/>
                <w:sz w:val="21"/>
                <w:szCs w:val="21"/>
                <w:lang w:val="en-US" w:eastAsia="zh-CN"/>
              </w:rPr>
              <w:t>户/</w:t>
            </w:r>
            <w:r>
              <w:rPr>
                <w:rFonts w:hint="eastAsia" w:cs="Times New Roman"/>
                <w:color w:val="auto"/>
                <w:sz w:val="21"/>
                <w:szCs w:val="21"/>
                <w:lang w:val="en-US" w:eastAsia="zh-CN"/>
              </w:rPr>
              <w:t>400</w:t>
            </w:r>
            <w:r>
              <w:rPr>
                <w:rFonts w:hint="default" w:ascii="Times New Roman" w:hAnsi="Times New Roman" w:cs="Times New Roman"/>
                <w:color w:val="auto"/>
                <w:sz w:val="21"/>
                <w:szCs w:val="21"/>
                <w:lang w:val="en-US" w:eastAsia="zh-CN"/>
              </w:rPr>
              <w:t>人</w:t>
            </w:r>
          </w:p>
        </w:tc>
        <w:tc>
          <w:tcPr>
            <w:tcW w:w="1018" w:type="dxa"/>
            <w:vMerge w:val="restart"/>
            <w:tcBorders>
              <w:top w:val="single" w:color="auto" w:sz="4" w:space="0"/>
              <w:tl2br w:val="nil"/>
              <w:tr2bl w:val="nil"/>
            </w:tcBorders>
            <w:shd w:val="clear" w:color="auto" w:fill="auto"/>
            <w:vAlign w:val="center"/>
          </w:tcPr>
          <w:p w14:paraId="2F4E576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环境空气</w:t>
            </w:r>
          </w:p>
        </w:tc>
        <w:tc>
          <w:tcPr>
            <w:tcW w:w="1733" w:type="dxa"/>
            <w:vMerge w:val="restart"/>
            <w:tcBorders>
              <w:top w:val="single" w:color="auto" w:sz="4" w:space="0"/>
              <w:tl2br w:val="nil"/>
              <w:tr2bl w:val="nil"/>
            </w:tcBorders>
            <w:shd w:val="clear" w:color="auto" w:fill="auto"/>
            <w:vAlign w:val="center"/>
          </w:tcPr>
          <w:p w14:paraId="2B4C553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GB3095-2012</w:t>
            </w:r>
          </w:p>
        </w:tc>
        <w:tc>
          <w:tcPr>
            <w:tcW w:w="1000" w:type="dxa"/>
            <w:tcBorders>
              <w:tl2br w:val="nil"/>
              <w:tr2bl w:val="nil"/>
            </w:tcBorders>
            <w:shd w:val="clear" w:color="auto" w:fill="auto"/>
            <w:vAlign w:val="center"/>
          </w:tcPr>
          <w:p w14:paraId="3782B3A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w:t>
            </w:r>
          </w:p>
        </w:tc>
        <w:tc>
          <w:tcPr>
            <w:tcW w:w="1160" w:type="dxa"/>
            <w:tcBorders>
              <w:tl2br w:val="nil"/>
              <w:tr2bl w:val="nil"/>
            </w:tcBorders>
            <w:shd w:val="clear" w:color="auto" w:fill="auto"/>
            <w:vAlign w:val="center"/>
          </w:tcPr>
          <w:p w14:paraId="2755DDE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880</w:t>
            </w:r>
          </w:p>
        </w:tc>
      </w:tr>
      <w:tr w14:paraId="27536A6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D995C36">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w:t>
            </w:r>
          </w:p>
        </w:tc>
        <w:tc>
          <w:tcPr>
            <w:tcW w:w="1481" w:type="dxa"/>
            <w:tcBorders>
              <w:tl2br w:val="nil"/>
              <w:tr2bl w:val="nil"/>
            </w:tcBorders>
            <w:shd w:val="clear" w:color="auto" w:fill="auto"/>
            <w:vAlign w:val="center"/>
          </w:tcPr>
          <w:p w14:paraId="11126FB8">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杜庄</w:t>
            </w:r>
          </w:p>
        </w:tc>
        <w:tc>
          <w:tcPr>
            <w:tcW w:w="732" w:type="dxa"/>
            <w:tcBorders>
              <w:tl2br w:val="nil"/>
              <w:tr2bl w:val="nil"/>
            </w:tcBorders>
            <w:shd w:val="clear" w:color="auto" w:fill="auto"/>
            <w:vAlign w:val="center"/>
          </w:tcPr>
          <w:p w14:paraId="1D3F718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1307</w:t>
            </w:r>
          </w:p>
        </w:tc>
        <w:tc>
          <w:tcPr>
            <w:tcW w:w="733" w:type="dxa"/>
            <w:tcBorders>
              <w:tl2br w:val="nil"/>
              <w:tr2bl w:val="nil"/>
            </w:tcBorders>
            <w:shd w:val="clear" w:color="auto" w:fill="auto"/>
            <w:vAlign w:val="center"/>
          </w:tcPr>
          <w:p w14:paraId="6836DF0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417</w:t>
            </w:r>
          </w:p>
        </w:tc>
        <w:tc>
          <w:tcPr>
            <w:tcW w:w="1867" w:type="dxa"/>
            <w:tcBorders>
              <w:tl2br w:val="nil"/>
              <w:tr2bl w:val="nil"/>
            </w:tcBorders>
            <w:shd w:val="clear" w:color="auto" w:fill="auto"/>
            <w:vAlign w:val="center"/>
          </w:tcPr>
          <w:p w14:paraId="2217236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95</w:t>
            </w:r>
            <w:r>
              <w:rPr>
                <w:rFonts w:hint="default" w:ascii="Times New Roman" w:hAnsi="Times New Roman" w:cs="Times New Roman"/>
                <w:color w:val="auto"/>
                <w:sz w:val="21"/>
                <w:szCs w:val="21"/>
                <w:lang w:val="en-US" w:eastAsia="zh-CN"/>
              </w:rPr>
              <w:t>户/</w:t>
            </w:r>
            <w:r>
              <w:rPr>
                <w:rFonts w:hint="eastAsia" w:cs="Times New Roman"/>
                <w:color w:val="auto"/>
                <w:sz w:val="21"/>
                <w:szCs w:val="21"/>
                <w:lang w:val="en-US" w:eastAsia="zh-CN"/>
              </w:rPr>
              <w:t>333</w:t>
            </w:r>
            <w:r>
              <w:rPr>
                <w:rFonts w:hint="default" w:ascii="Times New Roman" w:hAnsi="Times New Roman" w:cs="Times New Roman"/>
                <w:color w:val="auto"/>
                <w:sz w:val="21"/>
                <w:szCs w:val="21"/>
                <w:lang w:val="en-US" w:eastAsia="zh-CN"/>
              </w:rPr>
              <w:t>人</w:t>
            </w:r>
          </w:p>
        </w:tc>
        <w:tc>
          <w:tcPr>
            <w:tcW w:w="1018" w:type="dxa"/>
            <w:vMerge w:val="continue"/>
            <w:tcBorders>
              <w:tl2br w:val="nil"/>
              <w:tr2bl w:val="nil"/>
            </w:tcBorders>
            <w:shd w:val="clear" w:color="auto" w:fill="auto"/>
            <w:vAlign w:val="center"/>
          </w:tcPr>
          <w:p w14:paraId="1E697AF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4A4E7E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307E75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63C88F0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1434</w:t>
            </w:r>
          </w:p>
        </w:tc>
      </w:tr>
      <w:tr w14:paraId="6E23635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3A905D8">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w:t>
            </w:r>
          </w:p>
        </w:tc>
        <w:tc>
          <w:tcPr>
            <w:tcW w:w="1481" w:type="dxa"/>
            <w:tcBorders>
              <w:tl2br w:val="nil"/>
              <w:tr2bl w:val="nil"/>
            </w:tcBorders>
            <w:shd w:val="clear" w:color="auto" w:fill="auto"/>
            <w:vAlign w:val="center"/>
          </w:tcPr>
          <w:p w14:paraId="3A50E63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小城村</w:t>
            </w:r>
          </w:p>
        </w:tc>
        <w:tc>
          <w:tcPr>
            <w:tcW w:w="732" w:type="dxa"/>
            <w:tcBorders>
              <w:tl2br w:val="nil"/>
              <w:tr2bl w:val="nil"/>
            </w:tcBorders>
            <w:shd w:val="clear" w:color="auto" w:fill="auto"/>
            <w:vAlign w:val="center"/>
          </w:tcPr>
          <w:p w14:paraId="74D5A1C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1748</w:t>
            </w:r>
          </w:p>
        </w:tc>
        <w:tc>
          <w:tcPr>
            <w:tcW w:w="733" w:type="dxa"/>
            <w:tcBorders>
              <w:tl2br w:val="nil"/>
              <w:tr2bl w:val="nil"/>
            </w:tcBorders>
            <w:shd w:val="clear" w:color="auto" w:fill="auto"/>
            <w:vAlign w:val="center"/>
          </w:tcPr>
          <w:p w14:paraId="141A9BD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512</w:t>
            </w:r>
          </w:p>
        </w:tc>
        <w:tc>
          <w:tcPr>
            <w:tcW w:w="1867" w:type="dxa"/>
            <w:tcBorders>
              <w:tl2br w:val="nil"/>
              <w:tr2bl w:val="nil"/>
            </w:tcBorders>
            <w:shd w:val="clear" w:color="auto" w:fill="auto"/>
            <w:vAlign w:val="center"/>
          </w:tcPr>
          <w:p w14:paraId="2B7DF69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4000</w:t>
            </w:r>
            <w:r>
              <w:rPr>
                <w:rFonts w:hint="default" w:ascii="Times New Roman" w:hAnsi="Times New Roman" w:cs="Times New Roman"/>
                <w:color w:val="auto"/>
                <w:sz w:val="21"/>
                <w:szCs w:val="21"/>
                <w:lang w:val="en-US" w:eastAsia="zh-CN"/>
              </w:rPr>
              <w:t>人</w:t>
            </w:r>
          </w:p>
        </w:tc>
        <w:tc>
          <w:tcPr>
            <w:tcW w:w="1018" w:type="dxa"/>
            <w:vMerge w:val="continue"/>
            <w:tcBorders>
              <w:tl2br w:val="nil"/>
              <w:tr2bl w:val="nil"/>
            </w:tcBorders>
            <w:shd w:val="clear" w:color="auto" w:fill="auto"/>
            <w:vAlign w:val="center"/>
          </w:tcPr>
          <w:p w14:paraId="7A2AE20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EF0143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B1A55B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59F2C10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816</w:t>
            </w:r>
          </w:p>
        </w:tc>
      </w:tr>
      <w:tr w14:paraId="20951EB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68" w:hRule="atLeast"/>
          <w:jc w:val="center"/>
        </w:trPr>
        <w:tc>
          <w:tcPr>
            <w:tcW w:w="523" w:type="dxa"/>
            <w:tcBorders>
              <w:tl2br w:val="nil"/>
              <w:tr2bl w:val="nil"/>
            </w:tcBorders>
            <w:shd w:val="clear" w:color="auto" w:fill="auto"/>
            <w:vAlign w:val="center"/>
          </w:tcPr>
          <w:p w14:paraId="5CBBBF1C">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w:t>
            </w:r>
          </w:p>
        </w:tc>
        <w:tc>
          <w:tcPr>
            <w:tcW w:w="1481" w:type="dxa"/>
            <w:tcBorders>
              <w:tl2br w:val="nil"/>
              <w:tr2bl w:val="nil"/>
            </w:tcBorders>
            <w:shd w:val="clear" w:color="auto" w:fill="auto"/>
            <w:vAlign w:val="center"/>
          </w:tcPr>
          <w:p w14:paraId="57E9D15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刘桥镇</w:t>
            </w:r>
          </w:p>
        </w:tc>
        <w:tc>
          <w:tcPr>
            <w:tcW w:w="732" w:type="dxa"/>
            <w:tcBorders>
              <w:tl2br w:val="nil"/>
              <w:tr2bl w:val="nil"/>
            </w:tcBorders>
            <w:shd w:val="clear" w:color="auto" w:fill="auto"/>
            <w:vAlign w:val="center"/>
          </w:tcPr>
          <w:p w14:paraId="33A13DA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440</w:t>
            </w:r>
          </w:p>
        </w:tc>
        <w:tc>
          <w:tcPr>
            <w:tcW w:w="733" w:type="dxa"/>
            <w:tcBorders>
              <w:tl2br w:val="nil"/>
              <w:tr2bl w:val="nil"/>
            </w:tcBorders>
            <w:shd w:val="clear" w:color="auto" w:fill="auto"/>
            <w:vAlign w:val="center"/>
          </w:tcPr>
          <w:p w14:paraId="16E4F2A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924</w:t>
            </w:r>
          </w:p>
        </w:tc>
        <w:tc>
          <w:tcPr>
            <w:tcW w:w="1867" w:type="dxa"/>
            <w:tcBorders>
              <w:tl2br w:val="nil"/>
              <w:tr2bl w:val="nil"/>
            </w:tcBorders>
            <w:shd w:val="clear" w:color="auto" w:fill="auto"/>
            <w:vAlign w:val="center"/>
          </w:tcPr>
          <w:p w14:paraId="3F40619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7000</w:t>
            </w:r>
            <w:r>
              <w:rPr>
                <w:rFonts w:hint="default" w:ascii="Times New Roman" w:hAnsi="Times New Roman" w:cs="Times New Roman"/>
                <w:color w:val="auto"/>
                <w:sz w:val="21"/>
                <w:szCs w:val="21"/>
                <w:lang w:val="en-US" w:eastAsia="zh-CN"/>
              </w:rPr>
              <w:t>人</w:t>
            </w:r>
          </w:p>
        </w:tc>
        <w:tc>
          <w:tcPr>
            <w:tcW w:w="1018" w:type="dxa"/>
            <w:vMerge w:val="continue"/>
            <w:tcBorders>
              <w:tl2br w:val="nil"/>
              <w:tr2bl w:val="nil"/>
            </w:tcBorders>
            <w:shd w:val="clear" w:color="auto" w:fill="auto"/>
            <w:vAlign w:val="center"/>
          </w:tcPr>
          <w:p w14:paraId="1443A19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4F4CC6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6DC3B5E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67017AB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1695</w:t>
            </w:r>
          </w:p>
        </w:tc>
      </w:tr>
      <w:tr w14:paraId="1800472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445A865">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w:t>
            </w:r>
          </w:p>
        </w:tc>
        <w:tc>
          <w:tcPr>
            <w:tcW w:w="1481" w:type="dxa"/>
            <w:tcBorders>
              <w:tl2br w:val="nil"/>
              <w:tr2bl w:val="nil"/>
            </w:tcBorders>
            <w:shd w:val="clear" w:color="auto" w:fill="auto"/>
            <w:vAlign w:val="center"/>
          </w:tcPr>
          <w:p w14:paraId="06A90FC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张演庄</w:t>
            </w:r>
          </w:p>
        </w:tc>
        <w:tc>
          <w:tcPr>
            <w:tcW w:w="732" w:type="dxa"/>
            <w:tcBorders>
              <w:tl2br w:val="nil"/>
              <w:tr2bl w:val="nil"/>
            </w:tcBorders>
            <w:shd w:val="clear" w:color="auto" w:fill="auto"/>
            <w:vAlign w:val="center"/>
          </w:tcPr>
          <w:p w14:paraId="516CE5F5">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-254</w:t>
            </w:r>
          </w:p>
        </w:tc>
        <w:tc>
          <w:tcPr>
            <w:tcW w:w="733" w:type="dxa"/>
            <w:tcBorders>
              <w:tl2br w:val="nil"/>
              <w:tr2bl w:val="nil"/>
            </w:tcBorders>
            <w:shd w:val="clear" w:color="auto" w:fill="auto"/>
            <w:vAlign w:val="center"/>
          </w:tcPr>
          <w:p w14:paraId="186DFF5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2046</w:t>
            </w:r>
          </w:p>
        </w:tc>
        <w:tc>
          <w:tcPr>
            <w:tcW w:w="1867" w:type="dxa"/>
            <w:tcBorders>
              <w:tl2br w:val="nil"/>
              <w:tr2bl w:val="nil"/>
            </w:tcBorders>
            <w:shd w:val="clear" w:color="auto" w:fill="auto"/>
            <w:vAlign w:val="center"/>
          </w:tcPr>
          <w:p w14:paraId="4B25151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123人</w:t>
            </w:r>
          </w:p>
        </w:tc>
        <w:tc>
          <w:tcPr>
            <w:tcW w:w="1018" w:type="dxa"/>
            <w:vMerge w:val="continue"/>
            <w:tcBorders>
              <w:tl2br w:val="nil"/>
              <w:tr2bl w:val="nil"/>
            </w:tcBorders>
            <w:shd w:val="clear" w:color="auto" w:fill="auto"/>
            <w:vAlign w:val="center"/>
          </w:tcPr>
          <w:p w14:paraId="0694DE7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C38636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71FCBA3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0850E0C3">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2061</w:t>
            </w:r>
          </w:p>
        </w:tc>
      </w:tr>
      <w:tr w14:paraId="7683169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C2A913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6</w:t>
            </w:r>
          </w:p>
        </w:tc>
        <w:tc>
          <w:tcPr>
            <w:tcW w:w="1481" w:type="dxa"/>
            <w:tcBorders>
              <w:tl2br w:val="nil"/>
              <w:tr2bl w:val="nil"/>
            </w:tcBorders>
            <w:shd w:val="clear" w:color="auto" w:fill="auto"/>
            <w:vAlign w:val="center"/>
          </w:tcPr>
          <w:p w14:paraId="72AF460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垄庄</w:t>
            </w:r>
          </w:p>
        </w:tc>
        <w:tc>
          <w:tcPr>
            <w:tcW w:w="732" w:type="dxa"/>
            <w:tcBorders>
              <w:tl2br w:val="nil"/>
              <w:tr2bl w:val="nil"/>
            </w:tcBorders>
            <w:shd w:val="clear" w:color="auto" w:fill="auto"/>
            <w:vAlign w:val="center"/>
          </w:tcPr>
          <w:p w14:paraId="2AB7759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518</w:t>
            </w:r>
          </w:p>
        </w:tc>
        <w:tc>
          <w:tcPr>
            <w:tcW w:w="733" w:type="dxa"/>
            <w:tcBorders>
              <w:tl2br w:val="nil"/>
              <w:tr2bl w:val="nil"/>
            </w:tcBorders>
            <w:shd w:val="clear" w:color="auto" w:fill="auto"/>
            <w:vAlign w:val="center"/>
          </w:tcPr>
          <w:p w14:paraId="140C65E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1758</w:t>
            </w:r>
          </w:p>
        </w:tc>
        <w:tc>
          <w:tcPr>
            <w:tcW w:w="1867" w:type="dxa"/>
            <w:tcBorders>
              <w:tl2br w:val="nil"/>
              <w:tr2bl w:val="nil"/>
            </w:tcBorders>
            <w:shd w:val="clear" w:color="auto" w:fill="auto"/>
            <w:vAlign w:val="center"/>
          </w:tcPr>
          <w:p w14:paraId="7A55D41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约55户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193人</w:t>
            </w:r>
          </w:p>
        </w:tc>
        <w:tc>
          <w:tcPr>
            <w:tcW w:w="1018" w:type="dxa"/>
            <w:vMerge w:val="continue"/>
            <w:tcBorders>
              <w:tl2br w:val="nil"/>
              <w:tr2bl w:val="nil"/>
            </w:tcBorders>
            <w:shd w:val="clear" w:color="auto" w:fill="auto"/>
            <w:vAlign w:val="center"/>
          </w:tcPr>
          <w:p w14:paraId="05EC824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A1CD99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347250B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63B391C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1818</w:t>
            </w:r>
          </w:p>
        </w:tc>
      </w:tr>
      <w:tr w14:paraId="3A366D0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D045E3C">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7</w:t>
            </w:r>
          </w:p>
        </w:tc>
        <w:tc>
          <w:tcPr>
            <w:tcW w:w="1481" w:type="dxa"/>
            <w:tcBorders>
              <w:tl2br w:val="nil"/>
              <w:tr2bl w:val="nil"/>
            </w:tcBorders>
            <w:shd w:val="clear" w:color="auto" w:fill="auto"/>
            <w:vAlign w:val="center"/>
          </w:tcPr>
          <w:p w14:paraId="006A19F3">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前花园</w:t>
            </w:r>
          </w:p>
        </w:tc>
        <w:tc>
          <w:tcPr>
            <w:tcW w:w="732" w:type="dxa"/>
            <w:tcBorders>
              <w:tl2br w:val="nil"/>
              <w:tr2bl w:val="nil"/>
            </w:tcBorders>
            <w:shd w:val="clear" w:color="auto" w:fill="auto"/>
            <w:vAlign w:val="center"/>
          </w:tcPr>
          <w:p w14:paraId="4AC9341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790</w:t>
            </w:r>
          </w:p>
        </w:tc>
        <w:tc>
          <w:tcPr>
            <w:tcW w:w="733" w:type="dxa"/>
            <w:tcBorders>
              <w:tl2br w:val="nil"/>
              <w:tr2bl w:val="nil"/>
            </w:tcBorders>
            <w:shd w:val="clear" w:color="auto" w:fill="auto"/>
            <w:vAlign w:val="center"/>
          </w:tcPr>
          <w:p w14:paraId="355E0A6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2186</w:t>
            </w:r>
          </w:p>
        </w:tc>
        <w:tc>
          <w:tcPr>
            <w:tcW w:w="1867" w:type="dxa"/>
            <w:tcBorders>
              <w:tl2br w:val="nil"/>
              <w:tr2bl w:val="nil"/>
            </w:tcBorders>
            <w:shd w:val="clear" w:color="auto" w:fill="auto"/>
            <w:vAlign w:val="center"/>
          </w:tcPr>
          <w:p w14:paraId="3FCA656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约40户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140人</w:t>
            </w:r>
          </w:p>
        </w:tc>
        <w:tc>
          <w:tcPr>
            <w:tcW w:w="1018" w:type="dxa"/>
            <w:vMerge w:val="continue"/>
            <w:tcBorders>
              <w:tl2br w:val="nil"/>
              <w:tr2bl w:val="nil"/>
            </w:tcBorders>
            <w:shd w:val="clear" w:color="auto" w:fill="auto"/>
            <w:vAlign w:val="center"/>
          </w:tcPr>
          <w:p w14:paraId="1C23A5F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B10FAC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879C71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4888150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2314</w:t>
            </w:r>
          </w:p>
        </w:tc>
      </w:tr>
      <w:tr w14:paraId="32CA8D4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6BBD9A1">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8</w:t>
            </w:r>
          </w:p>
        </w:tc>
        <w:tc>
          <w:tcPr>
            <w:tcW w:w="1481" w:type="dxa"/>
            <w:tcBorders>
              <w:tl2br w:val="nil"/>
              <w:tr2bl w:val="nil"/>
            </w:tcBorders>
            <w:shd w:val="clear" w:color="auto" w:fill="auto"/>
            <w:vAlign w:val="center"/>
          </w:tcPr>
          <w:p w14:paraId="57954D64">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亲水嘉苑</w:t>
            </w:r>
          </w:p>
        </w:tc>
        <w:tc>
          <w:tcPr>
            <w:tcW w:w="732" w:type="dxa"/>
            <w:tcBorders>
              <w:tl2br w:val="nil"/>
              <w:tr2bl w:val="nil"/>
            </w:tcBorders>
            <w:shd w:val="clear" w:color="auto" w:fill="auto"/>
            <w:vAlign w:val="center"/>
          </w:tcPr>
          <w:p w14:paraId="58CA099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1234</w:t>
            </w:r>
          </w:p>
        </w:tc>
        <w:tc>
          <w:tcPr>
            <w:tcW w:w="733" w:type="dxa"/>
            <w:tcBorders>
              <w:tl2br w:val="nil"/>
              <w:tr2bl w:val="nil"/>
            </w:tcBorders>
            <w:shd w:val="clear" w:color="auto" w:fill="auto"/>
            <w:vAlign w:val="center"/>
          </w:tcPr>
          <w:p w14:paraId="4BAF6E7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1761</w:t>
            </w:r>
          </w:p>
        </w:tc>
        <w:tc>
          <w:tcPr>
            <w:tcW w:w="1867" w:type="dxa"/>
            <w:tcBorders>
              <w:tl2br w:val="nil"/>
              <w:tr2bl w:val="nil"/>
            </w:tcBorders>
            <w:shd w:val="clear" w:color="auto" w:fill="auto"/>
            <w:vAlign w:val="center"/>
          </w:tcPr>
          <w:p w14:paraId="106EFC0A">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54F949E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6CCC43D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741A2DA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387A882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2177</w:t>
            </w:r>
          </w:p>
        </w:tc>
      </w:tr>
      <w:tr w14:paraId="49D8FA7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1E833AB">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9</w:t>
            </w:r>
          </w:p>
        </w:tc>
        <w:tc>
          <w:tcPr>
            <w:tcW w:w="1481" w:type="dxa"/>
            <w:tcBorders>
              <w:tl2br w:val="nil"/>
              <w:tr2bl w:val="nil"/>
            </w:tcBorders>
            <w:shd w:val="clear" w:color="auto" w:fill="auto"/>
            <w:vAlign w:val="center"/>
          </w:tcPr>
          <w:p w14:paraId="707D932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新城丽景苑</w:t>
            </w:r>
          </w:p>
        </w:tc>
        <w:tc>
          <w:tcPr>
            <w:tcW w:w="732" w:type="dxa"/>
            <w:tcBorders>
              <w:tl2br w:val="nil"/>
              <w:tr2bl w:val="nil"/>
            </w:tcBorders>
            <w:shd w:val="clear" w:color="auto" w:fill="auto"/>
            <w:vAlign w:val="center"/>
          </w:tcPr>
          <w:p w14:paraId="1BAE7D2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1702</w:t>
            </w:r>
          </w:p>
        </w:tc>
        <w:tc>
          <w:tcPr>
            <w:tcW w:w="733" w:type="dxa"/>
            <w:tcBorders>
              <w:tl2br w:val="nil"/>
              <w:tr2bl w:val="nil"/>
            </w:tcBorders>
            <w:shd w:val="clear" w:color="auto" w:fill="auto"/>
            <w:vAlign w:val="center"/>
          </w:tcPr>
          <w:p w14:paraId="42A9619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1328</w:t>
            </w:r>
          </w:p>
        </w:tc>
        <w:tc>
          <w:tcPr>
            <w:tcW w:w="1867" w:type="dxa"/>
            <w:tcBorders>
              <w:tl2br w:val="nil"/>
              <w:tr2bl w:val="nil"/>
            </w:tcBorders>
            <w:shd w:val="clear" w:color="auto" w:fill="auto"/>
            <w:vAlign w:val="center"/>
          </w:tcPr>
          <w:p w14:paraId="76CF362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71018FD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E4667D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48430C0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11C12B9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1915</w:t>
            </w:r>
          </w:p>
        </w:tc>
      </w:tr>
      <w:tr w14:paraId="0C563BE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30EDB9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c>
          <w:tcPr>
            <w:tcW w:w="1481" w:type="dxa"/>
            <w:tcBorders>
              <w:tl2br w:val="nil"/>
              <w:tr2bl w:val="nil"/>
            </w:tcBorders>
            <w:shd w:val="clear" w:color="auto" w:fill="auto"/>
            <w:vAlign w:val="center"/>
          </w:tcPr>
          <w:p w14:paraId="37B6337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丽景新城</w:t>
            </w:r>
          </w:p>
        </w:tc>
        <w:tc>
          <w:tcPr>
            <w:tcW w:w="732" w:type="dxa"/>
            <w:tcBorders>
              <w:tl2br w:val="nil"/>
              <w:tr2bl w:val="nil"/>
            </w:tcBorders>
            <w:shd w:val="clear" w:color="auto" w:fill="auto"/>
            <w:vAlign w:val="center"/>
          </w:tcPr>
          <w:p w14:paraId="4C1BEDC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1941</w:t>
            </w:r>
          </w:p>
        </w:tc>
        <w:tc>
          <w:tcPr>
            <w:tcW w:w="733" w:type="dxa"/>
            <w:tcBorders>
              <w:tl2br w:val="nil"/>
              <w:tr2bl w:val="nil"/>
            </w:tcBorders>
            <w:shd w:val="clear" w:color="auto" w:fill="auto"/>
            <w:vAlign w:val="center"/>
          </w:tcPr>
          <w:p w14:paraId="7FF71C2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1219</w:t>
            </w:r>
          </w:p>
        </w:tc>
        <w:tc>
          <w:tcPr>
            <w:tcW w:w="1867" w:type="dxa"/>
            <w:tcBorders>
              <w:tl2br w:val="nil"/>
              <w:tr2bl w:val="nil"/>
            </w:tcBorders>
            <w:shd w:val="clear" w:color="auto" w:fill="auto"/>
            <w:vAlign w:val="center"/>
          </w:tcPr>
          <w:p w14:paraId="4C661EA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约3500人</w:t>
            </w:r>
          </w:p>
        </w:tc>
        <w:tc>
          <w:tcPr>
            <w:tcW w:w="1018" w:type="dxa"/>
            <w:vMerge w:val="continue"/>
            <w:tcBorders>
              <w:tl2br w:val="nil"/>
              <w:tr2bl w:val="nil"/>
            </w:tcBorders>
            <w:shd w:val="clear" w:color="auto" w:fill="auto"/>
            <w:vAlign w:val="center"/>
          </w:tcPr>
          <w:p w14:paraId="3ADC357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44D043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3D28A1E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1A7C61C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1963</w:t>
            </w:r>
          </w:p>
        </w:tc>
      </w:tr>
      <w:tr w14:paraId="51E264B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1B76F05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11</w:t>
            </w:r>
          </w:p>
        </w:tc>
        <w:tc>
          <w:tcPr>
            <w:tcW w:w="1481" w:type="dxa"/>
            <w:tcBorders>
              <w:tl2br w:val="nil"/>
              <w:tr2bl w:val="nil"/>
            </w:tcBorders>
            <w:shd w:val="clear" w:color="auto" w:fill="auto"/>
            <w:vAlign w:val="center"/>
          </w:tcPr>
          <w:p w14:paraId="34EF418F">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新城文景苑</w:t>
            </w:r>
          </w:p>
        </w:tc>
        <w:tc>
          <w:tcPr>
            <w:tcW w:w="732" w:type="dxa"/>
            <w:tcBorders>
              <w:tl2br w:val="nil"/>
              <w:tr2bl w:val="nil"/>
            </w:tcBorders>
            <w:shd w:val="clear" w:color="auto" w:fill="auto"/>
            <w:vAlign w:val="center"/>
          </w:tcPr>
          <w:p w14:paraId="6E014AA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1937</w:t>
            </w:r>
          </w:p>
        </w:tc>
        <w:tc>
          <w:tcPr>
            <w:tcW w:w="733" w:type="dxa"/>
            <w:tcBorders>
              <w:tl2br w:val="nil"/>
              <w:tr2bl w:val="nil"/>
            </w:tcBorders>
            <w:shd w:val="clear" w:color="auto" w:fill="auto"/>
            <w:vAlign w:val="center"/>
          </w:tcPr>
          <w:p w14:paraId="6A637BA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1159</w:t>
            </w:r>
          </w:p>
        </w:tc>
        <w:tc>
          <w:tcPr>
            <w:tcW w:w="1867" w:type="dxa"/>
            <w:tcBorders>
              <w:tl2br w:val="nil"/>
              <w:tr2bl w:val="nil"/>
            </w:tcBorders>
            <w:shd w:val="clear" w:color="auto" w:fill="auto"/>
            <w:vAlign w:val="center"/>
          </w:tcPr>
          <w:p w14:paraId="43A6549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499F288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B6C282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D3CF60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2DA169A5">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2190</w:t>
            </w:r>
          </w:p>
        </w:tc>
      </w:tr>
      <w:tr w14:paraId="55A9254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2D9ED9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12</w:t>
            </w:r>
          </w:p>
        </w:tc>
        <w:tc>
          <w:tcPr>
            <w:tcW w:w="1481" w:type="dxa"/>
            <w:tcBorders>
              <w:tl2br w:val="nil"/>
              <w:tr2bl w:val="nil"/>
            </w:tcBorders>
            <w:shd w:val="clear" w:color="auto" w:fill="auto"/>
            <w:vAlign w:val="center"/>
          </w:tcPr>
          <w:p w14:paraId="7DB4C6DF">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星河花园小区</w:t>
            </w:r>
          </w:p>
        </w:tc>
        <w:tc>
          <w:tcPr>
            <w:tcW w:w="732" w:type="dxa"/>
            <w:tcBorders>
              <w:tl2br w:val="nil"/>
              <w:tr2bl w:val="nil"/>
            </w:tcBorders>
            <w:shd w:val="clear" w:color="auto" w:fill="auto"/>
            <w:vAlign w:val="center"/>
          </w:tcPr>
          <w:p w14:paraId="354A96F5">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474</w:t>
            </w:r>
          </w:p>
        </w:tc>
        <w:tc>
          <w:tcPr>
            <w:tcW w:w="733" w:type="dxa"/>
            <w:tcBorders>
              <w:tl2br w:val="nil"/>
              <w:tr2bl w:val="nil"/>
            </w:tcBorders>
            <w:shd w:val="clear" w:color="auto" w:fill="auto"/>
            <w:vAlign w:val="center"/>
          </w:tcPr>
          <w:p w14:paraId="35163F7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1071</w:t>
            </w:r>
          </w:p>
        </w:tc>
        <w:tc>
          <w:tcPr>
            <w:tcW w:w="1867" w:type="dxa"/>
            <w:tcBorders>
              <w:tl2br w:val="nil"/>
              <w:tr2bl w:val="nil"/>
            </w:tcBorders>
            <w:shd w:val="clear" w:color="auto" w:fill="auto"/>
            <w:vAlign w:val="center"/>
          </w:tcPr>
          <w:p w14:paraId="54D8D46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约3500人</w:t>
            </w:r>
          </w:p>
        </w:tc>
        <w:tc>
          <w:tcPr>
            <w:tcW w:w="1018" w:type="dxa"/>
            <w:vMerge w:val="continue"/>
            <w:tcBorders>
              <w:tl2br w:val="nil"/>
              <w:tr2bl w:val="nil"/>
            </w:tcBorders>
            <w:shd w:val="clear" w:color="auto" w:fill="auto"/>
            <w:vAlign w:val="center"/>
          </w:tcPr>
          <w:p w14:paraId="2ECC715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1FEAEE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628580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58BE5CE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1159</w:t>
            </w:r>
          </w:p>
        </w:tc>
      </w:tr>
      <w:tr w14:paraId="4341C2D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2B79BBB">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13</w:t>
            </w:r>
          </w:p>
        </w:tc>
        <w:tc>
          <w:tcPr>
            <w:tcW w:w="1481" w:type="dxa"/>
            <w:tcBorders>
              <w:tl2br w:val="nil"/>
              <w:tr2bl w:val="nil"/>
            </w:tcBorders>
            <w:shd w:val="clear" w:color="auto" w:fill="auto"/>
            <w:vAlign w:val="center"/>
          </w:tcPr>
          <w:p w14:paraId="3572F42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杨楼小学</w:t>
            </w:r>
          </w:p>
        </w:tc>
        <w:tc>
          <w:tcPr>
            <w:tcW w:w="732" w:type="dxa"/>
            <w:tcBorders>
              <w:tl2br w:val="nil"/>
              <w:tr2bl w:val="nil"/>
            </w:tcBorders>
            <w:shd w:val="clear" w:color="auto" w:fill="auto"/>
            <w:vAlign w:val="center"/>
          </w:tcPr>
          <w:p w14:paraId="2A948FF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463</w:t>
            </w:r>
          </w:p>
        </w:tc>
        <w:tc>
          <w:tcPr>
            <w:tcW w:w="733" w:type="dxa"/>
            <w:tcBorders>
              <w:tl2br w:val="nil"/>
              <w:tr2bl w:val="nil"/>
            </w:tcBorders>
            <w:shd w:val="clear" w:color="auto" w:fill="auto"/>
            <w:vAlign w:val="center"/>
          </w:tcPr>
          <w:p w14:paraId="2E2F965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999</w:t>
            </w:r>
          </w:p>
        </w:tc>
        <w:tc>
          <w:tcPr>
            <w:tcW w:w="1867" w:type="dxa"/>
            <w:tcBorders>
              <w:tl2br w:val="nil"/>
              <w:tr2bl w:val="nil"/>
            </w:tcBorders>
            <w:shd w:val="clear" w:color="auto" w:fill="auto"/>
            <w:vAlign w:val="center"/>
          </w:tcPr>
          <w:p w14:paraId="611A11B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约400人</w:t>
            </w:r>
          </w:p>
        </w:tc>
        <w:tc>
          <w:tcPr>
            <w:tcW w:w="1018" w:type="dxa"/>
            <w:vMerge w:val="continue"/>
            <w:tcBorders>
              <w:tl2br w:val="nil"/>
              <w:tr2bl w:val="nil"/>
            </w:tcBorders>
            <w:shd w:val="clear" w:color="auto" w:fill="auto"/>
            <w:vAlign w:val="center"/>
          </w:tcPr>
          <w:p w14:paraId="020E6E5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21A153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03F549D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3128961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1074</w:t>
            </w:r>
          </w:p>
        </w:tc>
      </w:tr>
      <w:tr w14:paraId="4EEC4A9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908480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14</w:t>
            </w:r>
          </w:p>
        </w:tc>
        <w:tc>
          <w:tcPr>
            <w:tcW w:w="1481" w:type="dxa"/>
            <w:tcBorders>
              <w:tl2br w:val="nil"/>
              <w:tr2bl w:val="nil"/>
            </w:tcBorders>
            <w:shd w:val="clear" w:color="auto" w:fill="auto"/>
            <w:vAlign w:val="center"/>
          </w:tcPr>
          <w:p w14:paraId="5823C32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东信学府花园</w:t>
            </w:r>
          </w:p>
        </w:tc>
        <w:tc>
          <w:tcPr>
            <w:tcW w:w="732" w:type="dxa"/>
            <w:tcBorders>
              <w:tl2br w:val="nil"/>
              <w:tr2bl w:val="nil"/>
            </w:tcBorders>
            <w:shd w:val="clear" w:color="auto" w:fill="auto"/>
            <w:vAlign w:val="center"/>
          </w:tcPr>
          <w:p w14:paraId="48AE13B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1706</w:t>
            </w:r>
          </w:p>
        </w:tc>
        <w:tc>
          <w:tcPr>
            <w:tcW w:w="733" w:type="dxa"/>
            <w:tcBorders>
              <w:tl2br w:val="nil"/>
              <w:tr2bl w:val="nil"/>
            </w:tcBorders>
            <w:shd w:val="clear" w:color="auto" w:fill="auto"/>
            <w:vAlign w:val="center"/>
          </w:tcPr>
          <w:p w14:paraId="5F5D7C1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662</w:t>
            </w:r>
          </w:p>
        </w:tc>
        <w:tc>
          <w:tcPr>
            <w:tcW w:w="1867" w:type="dxa"/>
            <w:tcBorders>
              <w:tl2br w:val="nil"/>
              <w:tr2bl w:val="nil"/>
            </w:tcBorders>
            <w:shd w:val="clear" w:color="auto" w:fill="auto"/>
            <w:vAlign w:val="center"/>
          </w:tcPr>
          <w:p w14:paraId="6117D903">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约3500人</w:t>
            </w:r>
          </w:p>
        </w:tc>
        <w:tc>
          <w:tcPr>
            <w:tcW w:w="1018" w:type="dxa"/>
            <w:vMerge w:val="continue"/>
            <w:tcBorders>
              <w:tl2br w:val="nil"/>
              <w:tr2bl w:val="nil"/>
            </w:tcBorders>
            <w:shd w:val="clear" w:color="auto" w:fill="auto"/>
            <w:vAlign w:val="center"/>
          </w:tcPr>
          <w:p w14:paraId="3B15E99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4A0689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AEF8E1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12398AC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1806</w:t>
            </w:r>
          </w:p>
        </w:tc>
      </w:tr>
      <w:tr w14:paraId="038DA30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18AC75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15</w:t>
            </w:r>
          </w:p>
        </w:tc>
        <w:tc>
          <w:tcPr>
            <w:tcW w:w="1481" w:type="dxa"/>
            <w:tcBorders>
              <w:tl2br w:val="nil"/>
              <w:tr2bl w:val="nil"/>
            </w:tcBorders>
            <w:shd w:val="clear" w:color="auto" w:fill="auto"/>
            <w:vAlign w:val="center"/>
          </w:tcPr>
          <w:p w14:paraId="171E384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九华学府</w:t>
            </w:r>
          </w:p>
        </w:tc>
        <w:tc>
          <w:tcPr>
            <w:tcW w:w="732" w:type="dxa"/>
            <w:tcBorders>
              <w:tl2br w:val="nil"/>
              <w:tr2bl w:val="nil"/>
            </w:tcBorders>
            <w:shd w:val="clear" w:color="auto" w:fill="auto"/>
            <w:vAlign w:val="center"/>
          </w:tcPr>
          <w:p w14:paraId="27E0A7E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1307</w:t>
            </w:r>
          </w:p>
        </w:tc>
        <w:tc>
          <w:tcPr>
            <w:tcW w:w="733" w:type="dxa"/>
            <w:tcBorders>
              <w:tl2br w:val="nil"/>
              <w:tr2bl w:val="nil"/>
            </w:tcBorders>
            <w:shd w:val="clear" w:color="auto" w:fill="auto"/>
            <w:vAlign w:val="center"/>
          </w:tcPr>
          <w:p w14:paraId="04A0D22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369</w:t>
            </w:r>
          </w:p>
        </w:tc>
        <w:tc>
          <w:tcPr>
            <w:tcW w:w="1867" w:type="dxa"/>
            <w:tcBorders>
              <w:tl2br w:val="nil"/>
              <w:tr2bl w:val="nil"/>
            </w:tcBorders>
            <w:shd w:val="clear" w:color="auto" w:fill="auto"/>
            <w:vAlign w:val="center"/>
          </w:tcPr>
          <w:p w14:paraId="091CCDB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约2500人</w:t>
            </w:r>
          </w:p>
        </w:tc>
        <w:tc>
          <w:tcPr>
            <w:tcW w:w="1018" w:type="dxa"/>
            <w:vMerge w:val="continue"/>
            <w:tcBorders>
              <w:tl2br w:val="nil"/>
              <w:tr2bl w:val="nil"/>
            </w:tcBorders>
            <w:shd w:val="clear" w:color="auto" w:fill="auto"/>
            <w:vAlign w:val="center"/>
          </w:tcPr>
          <w:p w14:paraId="5285B61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41BD3A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80CDC9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6190A02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1369</w:t>
            </w:r>
          </w:p>
        </w:tc>
      </w:tr>
      <w:tr w14:paraId="350FFC5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BE8788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16</w:t>
            </w:r>
          </w:p>
        </w:tc>
        <w:tc>
          <w:tcPr>
            <w:tcW w:w="1481" w:type="dxa"/>
            <w:tcBorders>
              <w:tl2br w:val="nil"/>
              <w:tr2bl w:val="nil"/>
            </w:tcBorders>
            <w:shd w:val="clear" w:color="auto" w:fill="auto"/>
            <w:vAlign w:val="center"/>
          </w:tcPr>
          <w:p w14:paraId="4ABD0583">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和谐家园</w:t>
            </w:r>
          </w:p>
        </w:tc>
        <w:tc>
          <w:tcPr>
            <w:tcW w:w="732" w:type="dxa"/>
            <w:tcBorders>
              <w:tl2br w:val="nil"/>
              <w:tr2bl w:val="nil"/>
            </w:tcBorders>
            <w:shd w:val="clear" w:color="auto" w:fill="auto"/>
            <w:vAlign w:val="center"/>
          </w:tcPr>
          <w:p w14:paraId="1A3A806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1325</w:t>
            </w:r>
          </w:p>
        </w:tc>
        <w:tc>
          <w:tcPr>
            <w:tcW w:w="733" w:type="dxa"/>
            <w:tcBorders>
              <w:tl2br w:val="nil"/>
              <w:tr2bl w:val="nil"/>
            </w:tcBorders>
            <w:shd w:val="clear" w:color="auto" w:fill="auto"/>
            <w:vAlign w:val="center"/>
          </w:tcPr>
          <w:p w14:paraId="22DD06A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867" w:type="dxa"/>
            <w:tcBorders>
              <w:tl2br w:val="nil"/>
              <w:tr2bl w:val="nil"/>
            </w:tcBorders>
            <w:shd w:val="clear" w:color="auto" w:fill="auto"/>
            <w:vAlign w:val="center"/>
          </w:tcPr>
          <w:p w14:paraId="3B7ADCC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约2000人</w:t>
            </w:r>
          </w:p>
        </w:tc>
        <w:tc>
          <w:tcPr>
            <w:tcW w:w="1018" w:type="dxa"/>
            <w:vMerge w:val="continue"/>
            <w:tcBorders>
              <w:tl2br w:val="nil"/>
              <w:tr2bl w:val="nil"/>
            </w:tcBorders>
            <w:shd w:val="clear" w:color="auto" w:fill="auto"/>
            <w:vAlign w:val="center"/>
          </w:tcPr>
          <w:p w14:paraId="37DEFAF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C64D00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C05765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SE</w:t>
            </w:r>
          </w:p>
        </w:tc>
        <w:tc>
          <w:tcPr>
            <w:tcW w:w="1160" w:type="dxa"/>
            <w:tcBorders>
              <w:tl2br w:val="nil"/>
              <w:tr2bl w:val="nil"/>
            </w:tcBorders>
            <w:shd w:val="clear" w:color="auto" w:fill="auto"/>
            <w:vAlign w:val="center"/>
          </w:tcPr>
          <w:p w14:paraId="34974B9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1319</w:t>
            </w:r>
          </w:p>
        </w:tc>
      </w:tr>
      <w:tr w14:paraId="700EFEA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7541A0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17</w:t>
            </w:r>
          </w:p>
        </w:tc>
        <w:tc>
          <w:tcPr>
            <w:tcW w:w="1481" w:type="dxa"/>
            <w:tcBorders>
              <w:tl2br w:val="nil"/>
              <w:tr2bl w:val="nil"/>
            </w:tcBorders>
            <w:shd w:val="clear" w:color="auto" w:fill="auto"/>
            <w:vAlign w:val="center"/>
          </w:tcPr>
          <w:p w14:paraId="1B7FD09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中国铁建青秀城</w:t>
            </w:r>
          </w:p>
        </w:tc>
        <w:tc>
          <w:tcPr>
            <w:tcW w:w="732" w:type="dxa"/>
            <w:tcBorders>
              <w:tl2br w:val="nil"/>
              <w:tr2bl w:val="nil"/>
            </w:tcBorders>
            <w:shd w:val="clear" w:color="auto" w:fill="auto"/>
            <w:vAlign w:val="center"/>
          </w:tcPr>
          <w:p w14:paraId="25D3BD2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2156</w:t>
            </w:r>
          </w:p>
        </w:tc>
        <w:tc>
          <w:tcPr>
            <w:tcW w:w="733" w:type="dxa"/>
            <w:tcBorders>
              <w:tl2br w:val="nil"/>
              <w:tr2bl w:val="nil"/>
            </w:tcBorders>
            <w:shd w:val="clear" w:color="auto" w:fill="auto"/>
            <w:vAlign w:val="center"/>
          </w:tcPr>
          <w:p w14:paraId="47898A9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2184</w:t>
            </w:r>
          </w:p>
        </w:tc>
        <w:tc>
          <w:tcPr>
            <w:tcW w:w="1867" w:type="dxa"/>
            <w:tcBorders>
              <w:tl2br w:val="nil"/>
              <w:tr2bl w:val="nil"/>
            </w:tcBorders>
            <w:shd w:val="clear" w:color="auto" w:fill="auto"/>
            <w:vAlign w:val="center"/>
          </w:tcPr>
          <w:p w14:paraId="6BB89EE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约4000人</w:t>
            </w:r>
          </w:p>
        </w:tc>
        <w:tc>
          <w:tcPr>
            <w:tcW w:w="1018" w:type="dxa"/>
            <w:vMerge w:val="continue"/>
            <w:tcBorders>
              <w:tl2br w:val="nil"/>
              <w:tr2bl w:val="nil"/>
            </w:tcBorders>
            <w:shd w:val="clear" w:color="auto" w:fill="auto"/>
            <w:vAlign w:val="center"/>
          </w:tcPr>
          <w:p w14:paraId="28A2855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2548254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2CB154E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4252BE8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3010</w:t>
            </w:r>
          </w:p>
        </w:tc>
      </w:tr>
      <w:tr w14:paraId="3A59CA7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B54690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18</w:t>
            </w:r>
          </w:p>
        </w:tc>
        <w:tc>
          <w:tcPr>
            <w:tcW w:w="1481" w:type="dxa"/>
            <w:tcBorders>
              <w:tl2br w:val="nil"/>
              <w:tr2bl w:val="nil"/>
            </w:tcBorders>
            <w:shd w:val="clear" w:color="auto" w:fill="auto"/>
            <w:vAlign w:val="center"/>
          </w:tcPr>
          <w:p w14:paraId="6B5F52D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武庄</w:t>
            </w:r>
          </w:p>
        </w:tc>
        <w:tc>
          <w:tcPr>
            <w:tcW w:w="732" w:type="dxa"/>
            <w:tcBorders>
              <w:tl2br w:val="nil"/>
              <w:tr2bl w:val="nil"/>
            </w:tcBorders>
            <w:shd w:val="clear" w:color="auto" w:fill="auto"/>
            <w:vAlign w:val="center"/>
          </w:tcPr>
          <w:p w14:paraId="3ACC575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2283</w:t>
            </w:r>
          </w:p>
        </w:tc>
        <w:tc>
          <w:tcPr>
            <w:tcW w:w="733" w:type="dxa"/>
            <w:tcBorders>
              <w:tl2br w:val="nil"/>
              <w:tr2bl w:val="nil"/>
            </w:tcBorders>
            <w:shd w:val="clear" w:color="auto" w:fill="auto"/>
            <w:vAlign w:val="center"/>
          </w:tcPr>
          <w:p w14:paraId="7E4BCAE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1808</w:t>
            </w:r>
          </w:p>
        </w:tc>
        <w:tc>
          <w:tcPr>
            <w:tcW w:w="1867" w:type="dxa"/>
            <w:tcBorders>
              <w:tl2br w:val="nil"/>
              <w:tr2bl w:val="nil"/>
            </w:tcBorders>
            <w:shd w:val="clear" w:color="auto" w:fill="auto"/>
            <w:vAlign w:val="center"/>
          </w:tcPr>
          <w:p w14:paraId="3DE284E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约75户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263人</w:t>
            </w:r>
          </w:p>
        </w:tc>
        <w:tc>
          <w:tcPr>
            <w:tcW w:w="1018" w:type="dxa"/>
            <w:vMerge w:val="continue"/>
            <w:tcBorders>
              <w:tl2br w:val="nil"/>
              <w:tr2bl w:val="nil"/>
            </w:tcBorders>
            <w:shd w:val="clear" w:color="auto" w:fill="auto"/>
            <w:vAlign w:val="center"/>
          </w:tcPr>
          <w:p w14:paraId="3174B73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6DBDDB0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343D121">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2F922F5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2941</w:t>
            </w:r>
          </w:p>
        </w:tc>
      </w:tr>
      <w:tr w14:paraId="2B2AEBC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8ABA90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19</w:t>
            </w:r>
          </w:p>
        </w:tc>
        <w:tc>
          <w:tcPr>
            <w:tcW w:w="1481" w:type="dxa"/>
            <w:tcBorders>
              <w:tl2br w:val="nil"/>
              <w:tr2bl w:val="nil"/>
            </w:tcBorders>
            <w:shd w:val="clear" w:color="auto" w:fill="auto"/>
            <w:vAlign w:val="center"/>
          </w:tcPr>
          <w:p w14:paraId="2D2C9F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后刘庄</w:t>
            </w:r>
          </w:p>
        </w:tc>
        <w:tc>
          <w:tcPr>
            <w:tcW w:w="732" w:type="dxa"/>
            <w:tcBorders>
              <w:tl2br w:val="nil"/>
              <w:tr2bl w:val="nil"/>
            </w:tcBorders>
            <w:shd w:val="clear" w:color="auto" w:fill="auto"/>
            <w:vAlign w:val="center"/>
          </w:tcPr>
          <w:p w14:paraId="4C962B6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2231</w:t>
            </w:r>
          </w:p>
        </w:tc>
        <w:tc>
          <w:tcPr>
            <w:tcW w:w="733" w:type="dxa"/>
            <w:tcBorders>
              <w:tl2br w:val="nil"/>
              <w:tr2bl w:val="nil"/>
            </w:tcBorders>
            <w:shd w:val="clear" w:color="auto" w:fill="auto"/>
            <w:vAlign w:val="center"/>
          </w:tcPr>
          <w:p w14:paraId="37F09CE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1437</w:t>
            </w:r>
          </w:p>
        </w:tc>
        <w:tc>
          <w:tcPr>
            <w:tcW w:w="1867" w:type="dxa"/>
            <w:tcBorders>
              <w:tl2br w:val="nil"/>
              <w:tr2bl w:val="nil"/>
            </w:tcBorders>
            <w:shd w:val="clear" w:color="auto" w:fill="auto"/>
            <w:vAlign w:val="center"/>
          </w:tcPr>
          <w:p w14:paraId="3C43D9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约175户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623人</w:t>
            </w:r>
          </w:p>
        </w:tc>
        <w:tc>
          <w:tcPr>
            <w:tcW w:w="1018" w:type="dxa"/>
            <w:vMerge w:val="continue"/>
            <w:tcBorders>
              <w:tl2br w:val="nil"/>
              <w:tr2bl w:val="nil"/>
            </w:tcBorders>
            <w:shd w:val="clear" w:color="auto" w:fill="auto"/>
            <w:vAlign w:val="center"/>
          </w:tcPr>
          <w:p w14:paraId="2E630EE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806491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080A5FE9">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61F1208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2687</w:t>
            </w:r>
          </w:p>
        </w:tc>
      </w:tr>
      <w:tr w14:paraId="3D6A863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15E768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20</w:t>
            </w:r>
          </w:p>
        </w:tc>
        <w:tc>
          <w:tcPr>
            <w:tcW w:w="1481" w:type="dxa"/>
            <w:tcBorders>
              <w:tl2br w:val="nil"/>
              <w:tr2bl w:val="nil"/>
            </w:tcBorders>
            <w:shd w:val="clear" w:color="auto" w:fill="auto"/>
            <w:vAlign w:val="center"/>
          </w:tcPr>
          <w:p w14:paraId="247BE42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前刘庄</w:t>
            </w:r>
          </w:p>
        </w:tc>
        <w:tc>
          <w:tcPr>
            <w:tcW w:w="732" w:type="dxa"/>
            <w:tcBorders>
              <w:tl2br w:val="nil"/>
              <w:tr2bl w:val="nil"/>
            </w:tcBorders>
            <w:shd w:val="clear" w:color="auto" w:fill="auto"/>
            <w:vAlign w:val="center"/>
          </w:tcPr>
          <w:p w14:paraId="07164B7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2257</w:t>
            </w:r>
          </w:p>
        </w:tc>
        <w:tc>
          <w:tcPr>
            <w:tcW w:w="733" w:type="dxa"/>
            <w:tcBorders>
              <w:tl2br w:val="nil"/>
              <w:tr2bl w:val="nil"/>
            </w:tcBorders>
            <w:shd w:val="clear" w:color="auto" w:fill="auto"/>
            <w:vAlign w:val="center"/>
          </w:tcPr>
          <w:p w14:paraId="1303A58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1099</w:t>
            </w:r>
          </w:p>
        </w:tc>
        <w:tc>
          <w:tcPr>
            <w:tcW w:w="1867" w:type="dxa"/>
            <w:tcBorders>
              <w:tl2br w:val="nil"/>
              <w:tr2bl w:val="nil"/>
            </w:tcBorders>
            <w:shd w:val="clear" w:color="auto" w:fill="auto"/>
            <w:vAlign w:val="center"/>
          </w:tcPr>
          <w:p w14:paraId="187CDC54">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约190户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665人</w:t>
            </w:r>
          </w:p>
        </w:tc>
        <w:tc>
          <w:tcPr>
            <w:tcW w:w="1018" w:type="dxa"/>
            <w:vMerge w:val="continue"/>
            <w:tcBorders>
              <w:tl2br w:val="nil"/>
              <w:tr2bl w:val="nil"/>
            </w:tcBorders>
            <w:shd w:val="clear" w:color="auto" w:fill="auto"/>
            <w:vAlign w:val="center"/>
          </w:tcPr>
          <w:p w14:paraId="11EECCD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3A51A50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5A58A9E">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3FBF74D3">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2562</w:t>
            </w:r>
          </w:p>
        </w:tc>
      </w:tr>
      <w:tr w14:paraId="3554E80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BDCE56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21</w:t>
            </w:r>
          </w:p>
        </w:tc>
        <w:tc>
          <w:tcPr>
            <w:tcW w:w="1481" w:type="dxa"/>
            <w:tcBorders>
              <w:tl2br w:val="nil"/>
              <w:tr2bl w:val="nil"/>
            </w:tcBorders>
            <w:shd w:val="clear" w:color="auto" w:fill="auto"/>
            <w:vAlign w:val="center"/>
          </w:tcPr>
          <w:p w14:paraId="02310AB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凤凰城</w:t>
            </w:r>
          </w:p>
        </w:tc>
        <w:tc>
          <w:tcPr>
            <w:tcW w:w="732" w:type="dxa"/>
            <w:tcBorders>
              <w:tl2br w:val="nil"/>
              <w:tr2bl w:val="nil"/>
            </w:tcBorders>
            <w:shd w:val="clear" w:color="auto" w:fill="auto"/>
            <w:vAlign w:val="center"/>
          </w:tcPr>
          <w:p w14:paraId="18DC34F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1778</w:t>
            </w:r>
          </w:p>
        </w:tc>
        <w:tc>
          <w:tcPr>
            <w:tcW w:w="733" w:type="dxa"/>
            <w:tcBorders>
              <w:tl2br w:val="nil"/>
              <w:tr2bl w:val="nil"/>
            </w:tcBorders>
            <w:shd w:val="clear" w:color="auto" w:fill="auto"/>
            <w:vAlign w:val="center"/>
          </w:tcPr>
          <w:p w14:paraId="2234A41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1035</w:t>
            </w:r>
          </w:p>
        </w:tc>
        <w:tc>
          <w:tcPr>
            <w:tcW w:w="1867" w:type="dxa"/>
            <w:tcBorders>
              <w:tl2br w:val="nil"/>
              <w:tr2bl w:val="nil"/>
            </w:tcBorders>
            <w:shd w:val="clear" w:color="auto" w:fill="auto"/>
            <w:vAlign w:val="center"/>
          </w:tcPr>
          <w:p w14:paraId="20FFBDE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约2000人</w:t>
            </w:r>
          </w:p>
        </w:tc>
        <w:tc>
          <w:tcPr>
            <w:tcW w:w="1018" w:type="dxa"/>
            <w:vMerge w:val="continue"/>
            <w:tcBorders>
              <w:tl2br w:val="nil"/>
              <w:tr2bl w:val="nil"/>
            </w:tcBorders>
            <w:shd w:val="clear" w:color="auto" w:fill="auto"/>
            <w:vAlign w:val="center"/>
          </w:tcPr>
          <w:p w14:paraId="294AB42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C2417A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24476A2B">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2C49BA6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2085</w:t>
            </w:r>
          </w:p>
        </w:tc>
      </w:tr>
      <w:tr w14:paraId="5A49F8D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561A5F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22</w:t>
            </w:r>
          </w:p>
        </w:tc>
        <w:tc>
          <w:tcPr>
            <w:tcW w:w="1481" w:type="dxa"/>
            <w:tcBorders>
              <w:tl2br w:val="nil"/>
              <w:tr2bl w:val="nil"/>
            </w:tcBorders>
            <w:shd w:val="clear" w:color="auto" w:fill="auto"/>
            <w:vAlign w:val="center"/>
          </w:tcPr>
          <w:p w14:paraId="714DD0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濉溪中学</w:t>
            </w:r>
          </w:p>
        </w:tc>
        <w:tc>
          <w:tcPr>
            <w:tcW w:w="732" w:type="dxa"/>
            <w:tcBorders>
              <w:tl2br w:val="nil"/>
              <w:tr2bl w:val="nil"/>
            </w:tcBorders>
            <w:shd w:val="clear" w:color="auto" w:fill="auto"/>
            <w:vAlign w:val="center"/>
          </w:tcPr>
          <w:p w14:paraId="3BE452A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1804</w:t>
            </w:r>
          </w:p>
        </w:tc>
        <w:tc>
          <w:tcPr>
            <w:tcW w:w="733" w:type="dxa"/>
            <w:tcBorders>
              <w:tl2br w:val="nil"/>
              <w:tr2bl w:val="nil"/>
            </w:tcBorders>
            <w:shd w:val="clear" w:color="auto" w:fill="auto"/>
            <w:vAlign w:val="center"/>
          </w:tcPr>
          <w:p w14:paraId="0FF226E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628</w:t>
            </w:r>
          </w:p>
        </w:tc>
        <w:tc>
          <w:tcPr>
            <w:tcW w:w="1867" w:type="dxa"/>
            <w:tcBorders>
              <w:tl2br w:val="nil"/>
              <w:tr2bl w:val="nil"/>
            </w:tcBorders>
            <w:shd w:val="clear" w:color="auto" w:fill="auto"/>
            <w:vAlign w:val="center"/>
          </w:tcPr>
          <w:p w14:paraId="22C4189F">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约6000人</w:t>
            </w:r>
          </w:p>
        </w:tc>
        <w:tc>
          <w:tcPr>
            <w:tcW w:w="1018" w:type="dxa"/>
            <w:vMerge w:val="continue"/>
            <w:tcBorders>
              <w:tl2br w:val="nil"/>
              <w:tr2bl w:val="nil"/>
            </w:tcBorders>
            <w:shd w:val="clear" w:color="auto" w:fill="auto"/>
            <w:vAlign w:val="center"/>
          </w:tcPr>
          <w:p w14:paraId="3F571BC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30ECBCF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72C3D8AE">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0E12C7B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1916</w:t>
            </w:r>
          </w:p>
        </w:tc>
      </w:tr>
      <w:tr w14:paraId="6286C51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4ADB2A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23</w:t>
            </w:r>
          </w:p>
        </w:tc>
        <w:tc>
          <w:tcPr>
            <w:tcW w:w="1481" w:type="dxa"/>
            <w:tcBorders>
              <w:tl2br w:val="nil"/>
              <w:tr2bl w:val="nil"/>
            </w:tcBorders>
            <w:shd w:val="clear" w:color="auto" w:fill="auto"/>
            <w:vAlign w:val="center"/>
          </w:tcPr>
          <w:p w14:paraId="126BAFD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英才学校</w:t>
            </w:r>
          </w:p>
        </w:tc>
        <w:tc>
          <w:tcPr>
            <w:tcW w:w="732" w:type="dxa"/>
            <w:tcBorders>
              <w:tl2br w:val="nil"/>
              <w:tr2bl w:val="nil"/>
            </w:tcBorders>
            <w:shd w:val="clear" w:color="auto" w:fill="auto"/>
            <w:vAlign w:val="center"/>
          </w:tcPr>
          <w:p w14:paraId="6D192C8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1847</w:t>
            </w:r>
          </w:p>
        </w:tc>
        <w:tc>
          <w:tcPr>
            <w:tcW w:w="733" w:type="dxa"/>
            <w:tcBorders>
              <w:tl2br w:val="nil"/>
              <w:tr2bl w:val="nil"/>
            </w:tcBorders>
            <w:shd w:val="clear" w:color="auto" w:fill="auto"/>
            <w:vAlign w:val="center"/>
          </w:tcPr>
          <w:p w14:paraId="12BB1F1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443</w:t>
            </w:r>
          </w:p>
        </w:tc>
        <w:tc>
          <w:tcPr>
            <w:tcW w:w="1867" w:type="dxa"/>
            <w:tcBorders>
              <w:tl2br w:val="nil"/>
              <w:tr2bl w:val="nil"/>
            </w:tcBorders>
            <w:shd w:val="clear" w:color="auto" w:fill="auto"/>
            <w:vAlign w:val="center"/>
          </w:tcPr>
          <w:p w14:paraId="56BA1CA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约2000人</w:t>
            </w:r>
          </w:p>
        </w:tc>
        <w:tc>
          <w:tcPr>
            <w:tcW w:w="1018" w:type="dxa"/>
            <w:vMerge w:val="continue"/>
            <w:tcBorders>
              <w:tl2br w:val="nil"/>
              <w:tr2bl w:val="nil"/>
            </w:tcBorders>
            <w:shd w:val="clear" w:color="auto" w:fill="auto"/>
            <w:vAlign w:val="center"/>
          </w:tcPr>
          <w:p w14:paraId="48A33C8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68F26A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8F7A27D">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06FC317D">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1896</w:t>
            </w:r>
          </w:p>
        </w:tc>
      </w:tr>
      <w:tr w14:paraId="2F01BC6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0EC7FF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24</w:t>
            </w:r>
          </w:p>
        </w:tc>
        <w:tc>
          <w:tcPr>
            <w:tcW w:w="1481" w:type="dxa"/>
            <w:tcBorders>
              <w:tl2br w:val="nil"/>
              <w:tr2bl w:val="nil"/>
            </w:tcBorders>
            <w:shd w:val="clear" w:color="auto" w:fill="auto"/>
            <w:vAlign w:val="center"/>
          </w:tcPr>
          <w:p w14:paraId="11209B3A">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濉溪龙华学校</w:t>
            </w:r>
          </w:p>
        </w:tc>
        <w:tc>
          <w:tcPr>
            <w:tcW w:w="732" w:type="dxa"/>
            <w:tcBorders>
              <w:tl2br w:val="nil"/>
              <w:tr2bl w:val="nil"/>
            </w:tcBorders>
            <w:shd w:val="clear" w:color="auto" w:fill="auto"/>
            <w:vAlign w:val="center"/>
          </w:tcPr>
          <w:p w14:paraId="023294A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2008</w:t>
            </w:r>
          </w:p>
        </w:tc>
        <w:tc>
          <w:tcPr>
            <w:tcW w:w="733" w:type="dxa"/>
            <w:tcBorders>
              <w:tl2br w:val="nil"/>
              <w:tr2bl w:val="nil"/>
            </w:tcBorders>
            <w:shd w:val="clear" w:color="auto" w:fill="auto"/>
            <w:vAlign w:val="center"/>
          </w:tcPr>
          <w:p w14:paraId="7E9F8AA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310</w:t>
            </w:r>
          </w:p>
        </w:tc>
        <w:tc>
          <w:tcPr>
            <w:tcW w:w="1867" w:type="dxa"/>
            <w:tcBorders>
              <w:tl2br w:val="nil"/>
              <w:tr2bl w:val="nil"/>
            </w:tcBorders>
            <w:shd w:val="clear" w:color="auto" w:fill="auto"/>
            <w:vAlign w:val="center"/>
          </w:tcPr>
          <w:p w14:paraId="326A4CA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5C204C0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2285CD6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65417665">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0AE7DC1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2028</w:t>
            </w:r>
          </w:p>
        </w:tc>
      </w:tr>
      <w:tr w14:paraId="32D5BF0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0FE5C7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c>
          <w:tcPr>
            <w:tcW w:w="1481" w:type="dxa"/>
            <w:tcBorders>
              <w:tl2br w:val="nil"/>
              <w:tr2bl w:val="nil"/>
            </w:tcBorders>
            <w:shd w:val="clear" w:color="auto" w:fill="auto"/>
            <w:vAlign w:val="center"/>
          </w:tcPr>
          <w:p w14:paraId="13F5133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丁庄</w:t>
            </w:r>
          </w:p>
        </w:tc>
        <w:tc>
          <w:tcPr>
            <w:tcW w:w="732" w:type="dxa"/>
            <w:tcBorders>
              <w:tl2br w:val="nil"/>
              <w:tr2bl w:val="nil"/>
            </w:tcBorders>
            <w:shd w:val="clear" w:color="auto" w:fill="auto"/>
            <w:vAlign w:val="center"/>
          </w:tcPr>
          <w:p w14:paraId="1BE7C73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-366</w:t>
            </w:r>
          </w:p>
        </w:tc>
        <w:tc>
          <w:tcPr>
            <w:tcW w:w="733" w:type="dxa"/>
            <w:tcBorders>
              <w:tl2br w:val="nil"/>
              <w:tr2bl w:val="nil"/>
            </w:tcBorders>
            <w:shd w:val="clear" w:color="auto" w:fill="auto"/>
            <w:vAlign w:val="center"/>
          </w:tcPr>
          <w:p w14:paraId="2E97BD73">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-1808</w:t>
            </w:r>
          </w:p>
        </w:tc>
        <w:tc>
          <w:tcPr>
            <w:tcW w:w="1867" w:type="dxa"/>
            <w:tcBorders>
              <w:tl2br w:val="nil"/>
              <w:tr2bl w:val="nil"/>
            </w:tcBorders>
            <w:shd w:val="clear" w:color="auto" w:fill="auto"/>
            <w:vAlign w:val="center"/>
          </w:tcPr>
          <w:p w14:paraId="204E2BB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约65户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228人</w:t>
            </w:r>
          </w:p>
        </w:tc>
        <w:tc>
          <w:tcPr>
            <w:tcW w:w="1018" w:type="dxa"/>
            <w:vMerge w:val="continue"/>
            <w:tcBorders>
              <w:tl2br w:val="nil"/>
              <w:tr2bl w:val="nil"/>
            </w:tcBorders>
            <w:shd w:val="clear" w:color="auto" w:fill="auto"/>
            <w:vAlign w:val="center"/>
          </w:tcPr>
          <w:p w14:paraId="53AE066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4167BB0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44ABD6D2">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44CF607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1841</w:t>
            </w:r>
          </w:p>
        </w:tc>
      </w:tr>
      <w:tr w14:paraId="44E881A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EE4EBC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26</w:t>
            </w:r>
          </w:p>
        </w:tc>
        <w:tc>
          <w:tcPr>
            <w:tcW w:w="1481" w:type="dxa"/>
            <w:tcBorders>
              <w:tl2br w:val="nil"/>
              <w:tr2bl w:val="nil"/>
            </w:tcBorders>
            <w:shd w:val="clear" w:color="auto" w:fill="auto"/>
            <w:vAlign w:val="center"/>
          </w:tcPr>
          <w:p w14:paraId="2D6B6334">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黄大庄</w:t>
            </w:r>
          </w:p>
        </w:tc>
        <w:tc>
          <w:tcPr>
            <w:tcW w:w="732" w:type="dxa"/>
            <w:tcBorders>
              <w:tl2br w:val="nil"/>
              <w:tr2bl w:val="nil"/>
            </w:tcBorders>
            <w:shd w:val="clear" w:color="auto" w:fill="auto"/>
            <w:vAlign w:val="center"/>
          </w:tcPr>
          <w:p w14:paraId="2C669C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-1076</w:t>
            </w:r>
          </w:p>
        </w:tc>
        <w:tc>
          <w:tcPr>
            <w:tcW w:w="733" w:type="dxa"/>
            <w:tcBorders>
              <w:tl2br w:val="nil"/>
              <w:tr2bl w:val="nil"/>
            </w:tcBorders>
            <w:shd w:val="clear" w:color="auto" w:fill="auto"/>
            <w:vAlign w:val="center"/>
          </w:tcPr>
          <w:p w14:paraId="73C796C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-1965</w:t>
            </w:r>
          </w:p>
        </w:tc>
        <w:tc>
          <w:tcPr>
            <w:tcW w:w="1867" w:type="dxa"/>
            <w:tcBorders>
              <w:tl2br w:val="nil"/>
              <w:tr2bl w:val="nil"/>
            </w:tcBorders>
            <w:shd w:val="clear" w:color="auto" w:fill="auto"/>
            <w:vAlign w:val="center"/>
          </w:tcPr>
          <w:p w14:paraId="37AF6FCA">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default" w:ascii="Times New Roman" w:hAnsi="Times New Roman" w:eastAsia="宋体" w:cs="Times New Roman"/>
                <w:b w:val="0"/>
                <w:color w:val="auto"/>
                <w:sz w:val="21"/>
                <w:szCs w:val="21"/>
                <w:lang w:eastAsia="zh-CN"/>
              </w:rPr>
              <w:t>约</w:t>
            </w:r>
            <w:r>
              <w:rPr>
                <w:rFonts w:hint="eastAsia" w:cs="Times New Roman"/>
                <w:b w:val="0"/>
                <w:color w:val="auto"/>
                <w:sz w:val="21"/>
                <w:szCs w:val="21"/>
                <w:lang w:val="en-US" w:eastAsia="zh-CN"/>
              </w:rPr>
              <w:t>14</w:t>
            </w:r>
            <w:r>
              <w:rPr>
                <w:rFonts w:hint="default" w:ascii="Times New Roman" w:hAnsi="Times New Roman" w:eastAsia="宋体" w:cs="Times New Roman"/>
                <w:b w:val="0"/>
                <w:color w:val="auto"/>
                <w:sz w:val="21"/>
                <w:szCs w:val="21"/>
                <w:lang w:val="en-US" w:eastAsia="zh-CN"/>
              </w:rPr>
              <w:t>0</w:t>
            </w:r>
            <w:r>
              <w:rPr>
                <w:rFonts w:hint="default" w:ascii="Times New Roman" w:hAnsi="Times New Roman" w:eastAsia="宋体" w:cs="Times New Roman"/>
                <w:b w:val="0"/>
                <w:color w:val="auto"/>
                <w:sz w:val="21"/>
                <w:szCs w:val="21"/>
              </w:rPr>
              <w:t>户/</w:t>
            </w:r>
            <w:r>
              <w:rPr>
                <w:rFonts w:hint="eastAsia" w:cs="Times New Roman"/>
                <w:b w:val="0"/>
                <w:color w:val="auto"/>
                <w:sz w:val="21"/>
                <w:szCs w:val="21"/>
                <w:lang w:val="en-US" w:eastAsia="zh-CN"/>
              </w:rPr>
              <w:t>490</w:t>
            </w:r>
            <w:r>
              <w:rPr>
                <w:rFonts w:hint="default" w:ascii="Times New Roman" w:hAnsi="Times New Roman" w:eastAsia="宋体" w:cs="Times New Roman"/>
                <w:b w:val="0"/>
                <w:color w:val="auto"/>
                <w:sz w:val="21"/>
                <w:szCs w:val="21"/>
              </w:rPr>
              <w:t>人</w:t>
            </w:r>
          </w:p>
        </w:tc>
        <w:tc>
          <w:tcPr>
            <w:tcW w:w="1018" w:type="dxa"/>
            <w:vMerge w:val="continue"/>
            <w:tcBorders>
              <w:tl2br w:val="nil"/>
              <w:tr2bl w:val="nil"/>
            </w:tcBorders>
            <w:shd w:val="clear" w:color="auto" w:fill="auto"/>
            <w:vAlign w:val="center"/>
          </w:tcPr>
          <w:p w14:paraId="2B0C577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2AA7317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7ABE0FE">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5F4749E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2209</w:t>
            </w:r>
          </w:p>
        </w:tc>
      </w:tr>
      <w:tr w14:paraId="1FC9025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04B39AA">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27</w:t>
            </w:r>
          </w:p>
        </w:tc>
        <w:tc>
          <w:tcPr>
            <w:tcW w:w="1481" w:type="dxa"/>
            <w:tcBorders>
              <w:tl2br w:val="nil"/>
              <w:tr2bl w:val="nil"/>
            </w:tcBorders>
            <w:shd w:val="clear" w:color="auto" w:fill="auto"/>
            <w:vAlign w:val="center"/>
          </w:tcPr>
          <w:p w14:paraId="2EF6513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朱楼村</w:t>
            </w:r>
          </w:p>
        </w:tc>
        <w:tc>
          <w:tcPr>
            <w:tcW w:w="732" w:type="dxa"/>
            <w:tcBorders>
              <w:tl2br w:val="nil"/>
              <w:tr2bl w:val="nil"/>
            </w:tcBorders>
            <w:shd w:val="clear" w:color="auto" w:fill="auto"/>
            <w:vAlign w:val="center"/>
          </w:tcPr>
          <w:p w14:paraId="1D5E5CD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-179</w:t>
            </w:r>
          </w:p>
        </w:tc>
        <w:tc>
          <w:tcPr>
            <w:tcW w:w="733" w:type="dxa"/>
            <w:tcBorders>
              <w:tl2br w:val="nil"/>
              <w:tr2bl w:val="nil"/>
            </w:tcBorders>
            <w:shd w:val="clear" w:color="auto" w:fill="auto"/>
            <w:vAlign w:val="center"/>
          </w:tcPr>
          <w:p w14:paraId="10F7EDA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-1761</w:t>
            </w:r>
          </w:p>
        </w:tc>
        <w:tc>
          <w:tcPr>
            <w:tcW w:w="1867" w:type="dxa"/>
            <w:tcBorders>
              <w:tl2br w:val="nil"/>
              <w:tr2bl w:val="nil"/>
            </w:tcBorders>
            <w:shd w:val="clear" w:color="auto" w:fill="auto"/>
            <w:vAlign w:val="center"/>
          </w:tcPr>
          <w:p w14:paraId="06A09683">
            <w:pPr>
              <w:bidi w:val="0"/>
              <w:snapToGrid w:val="0"/>
              <w:spacing w:line="240" w:lineRule="auto"/>
              <w:ind w:left="0" w:leftChars="0" w:right="0" w:rightChars="0" w:firstLine="0" w:firstLineChars="0"/>
              <w:jc w:val="center"/>
              <w:rPr>
                <w:rFonts w:hint="default" w:ascii="Times New Roman" w:hAnsi="Times New Roman" w:eastAsia="宋体" w:cs="Times New Roman"/>
                <w:b w:val="0"/>
                <w:color w:val="auto"/>
                <w:sz w:val="21"/>
                <w:szCs w:val="21"/>
                <w:lang w:eastAsia="zh-CN"/>
              </w:rPr>
            </w:pPr>
            <w:r>
              <w:rPr>
                <w:rFonts w:hint="default" w:ascii="Times New Roman" w:hAnsi="Times New Roman" w:eastAsia="宋体" w:cs="Times New Roman"/>
                <w:b w:val="0"/>
                <w:color w:val="auto"/>
                <w:sz w:val="21"/>
                <w:szCs w:val="21"/>
                <w:lang w:eastAsia="zh-CN"/>
              </w:rPr>
              <w:t>约</w:t>
            </w:r>
            <w:r>
              <w:rPr>
                <w:rFonts w:hint="eastAsia" w:cs="Times New Roman"/>
                <w:b w:val="0"/>
                <w:color w:val="auto"/>
                <w:sz w:val="21"/>
                <w:szCs w:val="21"/>
                <w:lang w:val="en-US" w:eastAsia="zh-CN"/>
              </w:rPr>
              <w:t>17</w:t>
            </w:r>
            <w:r>
              <w:rPr>
                <w:rFonts w:hint="default" w:ascii="Times New Roman" w:hAnsi="Times New Roman" w:eastAsia="宋体" w:cs="Times New Roman"/>
                <w:b w:val="0"/>
                <w:color w:val="auto"/>
                <w:sz w:val="21"/>
                <w:szCs w:val="21"/>
                <w:lang w:val="en-US" w:eastAsia="zh-CN"/>
              </w:rPr>
              <w:t>0</w:t>
            </w:r>
            <w:r>
              <w:rPr>
                <w:rFonts w:hint="default" w:ascii="Times New Roman" w:hAnsi="Times New Roman" w:eastAsia="宋体" w:cs="Times New Roman"/>
                <w:b w:val="0"/>
                <w:color w:val="auto"/>
                <w:sz w:val="21"/>
                <w:szCs w:val="21"/>
              </w:rPr>
              <w:t>户/</w:t>
            </w:r>
            <w:r>
              <w:rPr>
                <w:rFonts w:hint="eastAsia" w:cs="Times New Roman"/>
                <w:b w:val="0"/>
                <w:color w:val="auto"/>
                <w:sz w:val="21"/>
                <w:szCs w:val="21"/>
                <w:lang w:val="en-US" w:eastAsia="zh-CN"/>
              </w:rPr>
              <w:t>595</w:t>
            </w:r>
            <w:r>
              <w:rPr>
                <w:rFonts w:hint="default" w:ascii="Times New Roman" w:hAnsi="Times New Roman" w:eastAsia="宋体" w:cs="Times New Roman"/>
                <w:b w:val="0"/>
                <w:color w:val="auto"/>
                <w:sz w:val="21"/>
                <w:szCs w:val="21"/>
              </w:rPr>
              <w:t>人</w:t>
            </w:r>
          </w:p>
        </w:tc>
        <w:tc>
          <w:tcPr>
            <w:tcW w:w="1018" w:type="dxa"/>
            <w:vMerge w:val="continue"/>
            <w:tcBorders>
              <w:tl2br w:val="nil"/>
              <w:tr2bl w:val="nil"/>
            </w:tcBorders>
            <w:shd w:val="clear" w:color="auto" w:fill="auto"/>
            <w:vAlign w:val="center"/>
          </w:tcPr>
          <w:p w14:paraId="4F8A443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1042A3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64E56523">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31EB582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1870</w:t>
            </w:r>
          </w:p>
        </w:tc>
      </w:tr>
      <w:tr w14:paraId="01C43CF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76C81C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28</w:t>
            </w:r>
          </w:p>
        </w:tc>
        <w:tc>
          <w:tcPr>
            <w:tcW w:w="1481" w:type="dxa"/>
            <w:tcBorders>
              <w:tl2br w:val="nil"/>
              <w:tr2bl w:val="nil"/>
            </w:tcBorders>
            <w:shd w:val="clear" w:color="auto" w:fill="auto"/>
            <w:vAlign w:val="center"/>
          </w:tcPr>
          <w:p w14:paraId="22313EE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王堰村</w:t>
            </w:r>
          </w:p>
        </w:tc>
        <w:tc>
          <w:tcPr>
            <w:tcW w:w="732" w:type="dxa"/>
            <w:tcBorders>
              <w:tl2br w:val="nil"/>
              <w:tr2bl w:val="nil"/>
            </w:tcBorders>
            <w:shd w:val="clear" w:color="auto" w:fill="auto"/>
            <w:vAlign w:val="center"/>
          </w:tcPr>
          <w:p w14:paraId="379FA44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-1798</w:t>
            </w:r>
          </w:p>
        </w:tc>
        <w:tc>
          <w:tcPr>
            <w:tcW w:w="733" w:type="dxa"/>
            <w:tcBorders>
              <w:tl2br w:val="nil"/>
              <w:tr2bl w:val="nil"/>
            </w:tcBorders>
            <w:shd w:val="clear" w:color="auto" w:fill="auto"/>
            <w:vAlign w:val="center"/>
          </w:tcPr>
          <w:p w14:paraId="3A60AA4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-1066</w:t>
            </w:r>
          </w:p>
        </w:tc>
        <w:tc>
          <w:tcPr>
            <w:tcW w:w="1867" w:type="dxa"/>
            <w:tcBorders>
              <w:tl2br w:val="nil"/>
              <w:tr2bl w:val="nil"/>
            </w:tcBorders>
            <w:shd w:val="clear" w:color="auto" w:fill="auto"/>
            <w:vAlign w:val="center"/>
          </w:tcPr>
          <w:p w14:paraId="57CB2610">
            <w:pPr>
              <w:bidi w:val="0"/>
              <w:snapToGrid w:val="0"/>
              <w:spacing w:line="240" w:lineRule="auto"/>
              <w:ind w:left="0" w:leftChars="0" w:right="0" w:rightChars="0" w:firstLine="0" w:firstLineChars="0"/>
              <w:jc w:val="center"/>
              <w:rPr>
                <w:rFonts w:hint="default" w:ascii="Times New Roman" w:hAnsi="Times New Roman" w:eastAsia="宋体" w:cs="Times New Roman"/>
                <w:b w:val="0"/>
                <w:color w:val="auto"/>
                <w:sz w:val="21"/>
                <w:szCs w:val="21"/>
                <w:lang w:val="en-US" w:eastAsia="zh-CN"/>
              </w:rPr>
            </w:pPr>
            <w:r>
              <w:rPr>
                <w:rFonts w:hint="eastAsia" w:cs="Times New Roman"/>
                <w:b w:val="0"/>
                <w:color w:val="auto"/>
                <w:sz w:val="21"/>
                <w:szCs w:val="21"/>
                <w:lang w:val="en-US" w:eastAsia="zh-CN"/>
              </w:rPr>
              <w:t>约150户</w:t>
            </w:r>
            <w:r>
              <w:rPr>
                <w:rFonts w:hint="default" w:ascii="Times New Roman" w:hAnsi="Times New Roman" w:cs="Times New Roman"/>
                <w:color w:val="auto"/>
                <w:sz w:val="21"/>
                <w:szCs w:val="21"/>
                <w:lang w:val="en-US" w:eastAsia="zh-CN"/>
              </w:rPr>
              <w:t>/</w:t>
            </w:r>
            <w:r>
              <w:rPr>
                <w:rFonts w:hint="eastAsia" w:cs="Times New Roman"/>
                <w:b w:val="0"/>
                <w:color w:val="auto"/>
                <w:sz w:val="21"/>
                <w:szCs w:val="21"/>
                <w:lang w:val="en-US" w:eastAsia="zh-CN"/>
              </w:rPr>
              <w:t>525人</w:t>
            </w:r>
          </w:p>
        </w:tc>
        <w:tc>
          <w:tcPr>
            <w:tcW w:w="1018" w:type="dxa"/>
            <w:vMerge w:val="continue"/>
            <w:tcBorders>
              <w:tl2br w:val="nil"/>
              <w:tr2bl w:val="nil"/>
            </w:tcBorders>
            <w:shd w:val="clear" w:color="auto" w:fill="auto"/>
            <w:vAlign w:val="center"/>
          </w:tcPr>
          <w:p w14:paraId="47CF766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8BA771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1F4DF48">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67D31D0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2065</w:t>
            </w:r>
          </w:p>
        </w:tc>
      </w:tr>
      <w:tr w14:paraId="09E70CD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D47DFA2">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29</w:t>
            </w:r>
          </w:p>
        </w:tc>
        <w:tc>
          <w:tcPr>
            <w:tcW w:w="1481" w:type="dxa"/>
            <w:tcBorders>
              <w:tl2br w:val="nil"/>
              <w:tr2bl w:val="nil"/>
            </w:tcBorders>
            <w:shd w:val="clear" w:color="auto" w:fill="auto"/>
            <w:vAlign w:val="center"/>
          </w:tcPr>
          <w:p w14:paraId="206ED29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周庄</w:t>
            </w:r>
          </w:p>
        </w:tc>
        <w:tc>
          <w:tcPr>
            <w:tcW w:w="732" w:type="dxa"/>
            <w:tcBorders>
              <w:tl2br w:val="nil"/>
              <w:tr2bl w:val="nil"/>
            </w:tcBorders>
            <w:shd w:val="clear" w:color="auto" w:fill="auto"/>
            <w:vAlign w:val="center"/>
          </w:tcPr>
          <w:p w14:paraId="28599495">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-1577</w:t>
            </w:r>
          </w:p>
        </w:tc>
        <w:tc>
          <w:tcPr>
            <w:tcW w:w="733" w:type="dxa"/>
            <w:tcBorders>
              <w:tl2br w:val="nil"/>
              <w:tr2bl w:val="nil"/>
            </w:tcBorders>
            <w:shd w:val="clear" w:color="auto" w:fill="auto"/>
            <w:vAlign w:val="center"/>
          </w:tcPr>
          <w:p w14:paraId="6A3A58AD">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-186</w:t>
            </w:r>
          </w:p>
        </w:tc>
        <w:tc>
          <w:tcPr>
            <w:tcW w:w="1867" w:type="dxa"/>
            <w:tcBorders>
              <w:tl2br w:val="nil"/>
              <w:tr2bl w:val="nil"/>
            </w:tcBorders>
            <w:shd w:val="clear" w:color="auto" w:fill="auto"/>
            <w:vAlign w:val="center"/>
          </w:tcPr>
          <w:p w14:paraId="5AD2295C">
            <w:pPr>
              <w:bidi w:val="0"/>
              <w:snapToGrid w:val="0"/>
              <w:spacing w:line="240" w:lineRule="auto"/>
              <w:ind w:left="0" w:leftChars="0" w:right="0" w:rightChars="0" w:firstLine="0" w:firstLineChars="0"/>
              <w:jc w:val="center"/>
              <w:rPr>
                <w:rFonts w:hint="eastAsia" w:cs="Times New Roman"/>
                <w:b w:val="0"/>
                <w:color w:val="auto"/>
                <w:sz w:val="21"/>
                <w:szCs w:val="21"/>
                <w:lang w:val="en-US" w:eastAsia="zh-CN"/>
              </w:rPr>
            </w:pPr>
            <w:r>
              <w:rPr>
                <w:rFonts w:hint="eastAsia" w:cs="Times New Roman"/>
                <w:color w:val="auto"/>
                <w:sz w:val="21"/>
                <w:szCs w:val="21"/>
                <w:lang w:val="en-US" w:eastAsia="zh-CN"/>
              </w:rPr>
              <w:t>约130户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455人</w:t>
            </w:r>
          </w:p>
        </w:tc>
        <w:tc>
          <w:tcPr>
            <w:tcW w:w="1018" w:type="dxa"/>
            <w:vMerge w:val="continue"/>
            <w:tcBorders>
              <w:tl2br w:val="nil"/>
              <w:tr2bl w:val="nil"/>
            </w:tcBorders>
            <w:shd w:val="clear" w:color="auto" w:fill="auto"/>
            <w:vAlign w:val="center"/>
          </w:tcPr>
          <w:p w14:paraId="652C338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846091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16AEA3A">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37C94C5A">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1751</w:t>
            </w:r>
          </w:p>
        </w:tc>
      </w:tr>
      <w:tr w14:paraId="3530D84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B716EE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1</w:t>
            </w:r>
          </w:p>
        </w:tc>
        <w:tc>
          <w:tcPr>
            <w:tcW w:w="1481" w:type="dxa"/>
            <w:tcBorders>
              <w:tl2br w:val="nil"/>
              <w:tr2bl w:val="nil"/>
            </w:tcBorders>
            <w:shd w:val="clear" w:color="auto" w:fill="auto"/>
            <w:vAlign w:val="center"/>
          </w:tcPr>
          <w:p w14:paraId="1670C51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王引河</w:t>
            </w:r>
          </w:p>
        </w:tc>
        <w:tc>
          <w:tcPr>
            <w:tcW w:w="732" w:type="dxa"/>
            <w:tcBorders>
              <w:tl2br w:val="nil"/>
              <w:tr2bl w:val="nil"/>
            </w:tcBorders>
            <w:shd w:val="clear" w:color="auto" w:fill="auto"/>
            <w:vAlign w:val="center"/>
          </w:tcPr>
          <w:p w14:paraId="06F51F4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65684D0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327BC91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小型河流</w:t>
            </w:r>
          </w:p>
        </w:tc>
        <w:tc>
          <w:tcPr>
            <w:tcW w:w="1018" w:type="dxa"/>
            <w:vMerge w:val="restart"/>
            <w:tcBorders>
              <w:tl2br w:val="nil"/>
              <w:tr2bl w:val="nil"/>
            </w:tcBorders>
            <w:shd w:val="clear" w:color="auto" w:fill="auto"/>
            <w:vAlign w:val="center"/>
          </w:tcPr>
          <w:p w14:paraId="6452DDF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地表水环境</w:t>
            </w:r>
          </w:p>
        </w:tc>
        <w:tc>
          <w:tcPr>
            <w:tcW w:w="1733" w:type="dxa"/>
            <w:tcBorders>
              <w:tl2br w:val="nil"/>
              <w:tr2bl w:val="nil"/>
            </w:tcBorders>
            <w:shd w:val="clear" w:color="auto" w:fill="auto"/>
            <w:vAlign w:val="center"/>
          </w:tcPr>
          <w:p w14:paraId="366B201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（GB3838-2002）</w:t>
            </w:r>
            <w:r>
              <w:rPr>
                <w:rFonts w:hint="eastAsia" w:cs="Times New Roman"/>
                <w:color w:val="auto"/>
                <w:sz w:val="21"/>
                <w:szCs w:val="21"/>
                <w:lang w:val="en-US" w:eastAsia="zh-CN"/>
              </w:rPr>
              <w:t>III</w:t>
            </w:r>
            <w:r>
              <w:rPr>
                <w:rFonts w:hint="default" w:ascii="Times New Roman" w:hAnsi="Times New Roman" w:cs="Times New Roman"/>
                <w:color w:val="auto"/>
                <w:sz w:val="21"/>
                <w:szCs w:val="21"/>
                <w:lang w:val="en-US" w:eastAsia="zh-CN"/>
              </w:rPr>
              <w:t>类</w:t>
            </w:r>
          </w:p>
        </w:tc>
        <w:tc>
          <w:tcPr>
            <w:tcW w:w="1000" w:type="dxa"/>
            <w:tcBorders>
              <w:tl2br w:val="nil"/>
              <w:tr2bl w:val="nil"/>
            </w:tcBorders>
            <w:shd w:val="clear" w:color="auto" w:fill="auto"/>
            <w:vAlign w:val="center"/>
          </w:tcPr>
          <w:p w14:paraId="2E08EB9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E</w:t>
            </w:r>
          </w:p>
        </w:tc>
        <w:tc>
          <w:tcPr>
            <w:tcW w:w="1160" w:type="dxa"/>
            <w:tcBorders>
              <w:tl2br w:val="nil"/>
              <w:tr2bl w:val="nil"/>
            </w:tcBorders>
            <w:shd w:val="clear" w:color="auto" w:fill="auto"/>
            <w:vAlign w:val="center"/>
          </w:tcPr>
          <w:p w14:paraId="2770F69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1860</w:t>
            </w:r>
          </w:p>
        </w:tc>
      </w:tr>
      <w:tr w14:paraId="7C06992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B0E498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481" w:type="dxa"/>
            <w:tcBorders>
              <w:tl2br w:val="nil"/>
              <w:tr2bl w:val="nil"/>
            </w:tcBorders>
            <w:shd w:val="clear" w:color="auto" w:fill="auto"/>
            <w:vAlign w:val="center"/>
          </w:tcPr>
          <w:p w14:paraId="0FBBC76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巴河</w:t>
            </w:r>
          </w:p>
        </w:tc>
        <w:tc>
          <w:tcPr>
            <w:tcW w:w="732" w:type="dxa"/>
            <w:tcBorders>
              <w:tl2br w:val="nil"/>
              <w:tr2bl w:val="nil"/>
            </w:tcBorders>
            <w:shd w:val="clear" w:color="auto" w:fill="auto"/>
            <w:vAlign w:val="center"/>
          </w:tcPr>
          <w:p w14:paraId="005341C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4F200AC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294CCFD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小型河流</w:t>
            </w:r>
          </w:p>
        </w:tc>
        <w:tc>
          <w:tcPr>
            <w:tcW w:w="1018" w:type="dxa"/>
            <w:vMerge w:val="continue"/>
            <w:tcBorders>
              <w:tl2br w:val="nil"/>
              <w:tr2bl w:val="nil"/>
            </w:tcBorders>
            <w:shd w:val="clear" w:color="auto" w:fill="auto"/>
            <w:vAlign w:val="center"/>
          </w:tcPr>
          <w:p w14:paraId="3A37FC9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33" w:type="dxa"/>
            <w:tcBorders>
              <w:tl2br w:val="nil"/>
              <w:tr2bl w:val="nil"/>
            </w:tcBorders>
            <w:shd w:val="clear" w:color="auto" w:fill="auto"/>
            <w:vAlign w:val="center"/>
          </w:tcPr>
          <w:p w14:paraId="5337919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（GB3838-2002）</w:t>
            </w:r>
            <w:r>
              <w:rPr>
                <w:rFonts w:hint="eastAsia" w:cs="Times New Roman"/>
                <w:color w:val="auto"/>
                <w:sz w:val="21"/>
                <w:szCs w:val="21"/>
                <w:lang w:val="en-US" w:eastAsia="zh-CN"/>
              </w:rPr>
              <w:t>IV</w:t>
            </w:r>
            <w:r>
              <w:rPr>
                <w:rFonts w:hint="default" w:ascii="Times New Roman" w:hAnsi="Times New Roman" w:cs="Times New Roman"/>
                <w:color w:val="auto"/>
                <w:sz w:val="21"/>
                <w:szCs w:val="21"/>
                <w:lang w:val="en-US" w:eastAsia="zh-CN"/>
              </w:rPr>
              <w:t>类</w:t>
            </w:r>
          </w:p>
        </w:tc>
        <w:tc>
          <w:tcPr>
            <w:tcW w:w="1000" w:type="dxa"/>
            <w:tcBorders>
              <w:tl2br w:val="nil"/>
              <w:tr2bl w:val="nil"/>
            </w:tcBorders>
            <w:shd w:val="clear" w:color="auto" w:fill="auto"/>
            <w:vAlign w:val="center"/>
          </w:tcPr>
          <w:p w14:paraId="1BDD240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S</w:t>
            </w:r>
          </w:p>
        </w:tc>
        <w:tc>
          <w:tcPr>
            <w:tcW w:w="1160" w:type="dxa"/>
            <w:tcBorders>
              <w:tl2br w:val="nil"/>
              <w:tr2bl w:val="nil"/>
            </w:tcBorders>
            <w:shd w:val="clear" w:color="auto" w:fill="auto"/>
            <w:vAlign w:val="center"/>
          </w:tcPr>
          <w:p w14:paraId="1C032DD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1369</w:t>
            </w:r>
          </w:p>
        </w:tc>
      </w:tr>
      <w:tr w14:paraId="5B3A01A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8F441F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3</w:t>
            </w:r>
          </w:p>
        </w:tc>
        <w:tc>
          <w:tcPr>
            <w:tcW w:w="1481" w:type="dxa"/>
            <w:tcBorders>
              <w:tl2br w:val="nil"/>
              <w:tr2bl w:val="nil"/>
            </w:tcBorders>
            <w:shd w:val="clear" w:color="auto" w:fill="auto"/>
            <w:vAlign w:val="center"/>
          </w:tcPr>
          <w:p w14:paraId="6610A0B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区域声环境</w:t>
            </w:r>
          </w:p>
        </w:tc>
        <w:tc>
          <w:tcPr>
            <w:tcW w:w="732" w:type="dxa"/>
            <w:tcBorders>
              <w:tl2br w:val="nil"/>
              <w:tr2bl w:val="nil"/>
            </w:tcBorders>
            <w:shd w:val="clear" w:color="auto" w:fill="auto"/>
            <w:vAlign w:val="center"/>
          </w:tcPr>
          <w:p w14:paraId="680773B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7FB9A3C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30082CD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018" w:type="dxa"/>
            <w:tcBorders>
              <w:tl2br w:val="nil"/>
              <w:tr2bl w:val="nil"/>
            </w:tcBorders>
            <w:shd w:val="clear" w:color="auto" w:fill="auto"/>
            <w:vAlign w:val="center"/>
          </w:tcPr>
          <w:p w14:paraId="7CC8B25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声环境</w:t>
            </w:r>
          </w:p>
        </w:tc>
        <w:tc>
          <w:tcPr>
            <w:tcW w:w="1733" w:type="dxa"/>
            <w:tcBorders>
              <w:tl2br w:val="nil"/>
              <w:tr2bl w:val="nil"/>
            </w:tcBorders>
            <w:shd w:val="clear" w:color="auto" w:fill="auto"/>
            <w:vAlign w:val="center"/>
          </w:tcPr>
          <w:p w14:paraId="7B3FF4E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（GB3096-2008）3类</w:t>
            </w:r>
          </w:p>
        </w:tc>
        <w:tc>
          <w:tcPr>
            <w:tcW w:w="1000" w:type="dxa"/>
            <w:tcBorders>
              <w:tl2br w:val="nil"/>
              <w:tr2bl w:val="nil"/>
            </w:tcBorders>
            <w:shd w:val="clear" w:color="auto" w:fill="auto"/>
            <w:vAlign w:val="center"/>
          </w:tcPr>
          <w:p w14:paraId="0810260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160" w:type="dxa"/>
            <w:tcBorders>
              <w:tl2br w:val="nil"/>
              <w:tr2bl w:val="nil"/>
            </w:tcBorders>
            <w:shd w:val="clear" w:color="auto" w:fill="auto"/>
            <w:vAlign w:val="center"/>
          </w:tcPr>
          <w:p w14:paraId="6979ED7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r>
      <w:tr w14:paraId="18B5CF7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ADCF99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4</w:t>
            </w:r>
          </w:p>
        </w:tc>
        <w:tc>
          <w:tcPr>
            <w:tcW w:w="1481" w:type="dxa"/>
            <w:tcBorders>
              <w:tl2br w:val="nil"/>
              <w:tr2bl w:val="nil"/>
            </w:tcBorders>
            <w:shd w:val="clear" w:color="auto" w:fill="auto"/>
            <w:vAlign w:val="center"/>
          </w:tcPr>
          <w:p w14:paraId="66E39CA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区域地下水</w:t>
            </w:r>
          </w:p>
        </w:tc>
        <w:tc>
          <w:tcPr>
            <w:tcW w:w="732" w:type="dxa"/>
            <w:tcBorders>
              <w:tl2br w:val="nil"/>
              <w:tr2bl w:val="nil"/>
            </w:tcBorders>
            <w:shd w:val="clear" w:color="auto" w:fill="auto"/>
            <w:vAlign w:val="center"/>
          </w:tcPr>
          <w:p w14:paraId="0900033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1BF5D18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5B6D876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018" w:type="dxa"/>
            <w:tcBorders>
              <w:tl2br w:val="nil"/>
              <w:tr2bl w:val="nil"/>
            </w:tcBorders>
            <w:shd w:val="clear" w:color="auto" w:fill="auto"/>
            <w:vAlign w:val="center"/>
          </w:tcPr>
          <w:p w14:paraId="782873B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地下水环境</w:t>
            </w:r>
          </w:p>
        </w:tc>
        <w:tc>
          <w:tcPr>
            <w:tcW w:w="1733" w:type="dxa"/>
            <w:tcBorders>
              <w:tl2br w:val="nil"/>
              <w:tr2bl w:val="nil"/>
            </w:tcBorders>
            <w:shd w:val="clear" w:color="auto" w:fill="auto"/>
            <w:vAlign w:val="center"/>
          </w:tcPr>
          <w:p w14:paraId="64AE04D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（GB/T14848-2017）III类</w:t>
            </w:r>
          </w:p>
        </w:tc>
        <w:tc>
          <w:tcPr>
            <w:tcW w:w="1000" w:type="dxa"/>
            <w:tcBorders>
              <w:tl2br w:val="nil"/>
              <w:tr2bl w:val="nil"/>
            </w:tcBorders>
            <w:shd w:val="clear" w:color="auto" w:fill="auto"/>
            <w:vAlign w:val="center"/>
          </w:tcPr>
          <w:p w14:paraId="77730BB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160" w:type="dxa"/>
            <w:tcBorders>
              <w:tl2br w:val="nil"/>
              <w:tr2bl w:val="nil"/>
            </w:tcBorders>
            <w:shd w:val="clear" w:color="auto" w:fill="auto"/>
            <w:vAlign w:val="center"/>
          </w:tcPr>
          <w:p w14:paraId="18DEF0B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r>
      <w:tr w14:paraId="3BFC7F8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755AB8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5</w:t>
            </w:r>
          </w:p>
        </w:tc>
        <w:tc>
          <w:tcPr>
            <w:tcW w:w="1481" w:type="dxa"/>
            <w:tcBorders>
              <w:tl2br w:val="nil"/>
              <w:tr2bl w:val="nil"/>
            </w:tcBorders>
            <w:shd w:val="clear" w:color="auto" w:fill="auto"/>
            <w:vAlign w:val="center"/>
          </w:tcPr>
          <w:p w14:paraId="0A1409D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区域及周边土壤</w:t>
            </w:r>
          </w:p>
        </w:tc>
        <w:tc>
          <w:tcPr>
            <w:tcW w:w="732" w:type="dxa"/>
            <w:tcBorders>
              <w:tl2br w:val="nil"/>
              <w:tr2bl w:val="nil"/>
            </w:tcBorders>
            <w:shd w:val="clear" w:color="auto" w:fill="auto"/>
            <w:vAlign w:val="center"/>
          </w:tcPr>
          <w:p w14:paraId="1B232DA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1FF42A4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6727976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018" w:type="dxa"/>
            <w:tcBorders>
              <w:tl2br w:val="nil"/>
              <w:tr2bl w:val="nil"/>
            </w:tcBorders>
            <w:shd w:val="clear" w:color="auto" w:fill="auto"/>
            <w:vAlign w:val="center"/>
          </w:tcPr>
          <w:p w14:paraId="0A30633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土壤环境</w:t>
            </w:r>
          </w:p>
        </w:tc>
        <w:tc>
          <w:tcPr>
            <w:tcW w:w="1733" w:type="dxa"/>
            <w:tcBorders>
              <w:tl2br w:val="nil"/>
              <w:tr2bl w:val="nil"/>
            </w:tcBorders>
            <w:shd w:val="clear" w:color="auto" w:fill="auto"/>
            <w:vAlign w:val="center"/>
          </w:tcPr>
          <w:p w14:paraId="19D0981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（GB36600-2018）第二类用地筛选值</w:t>
            </w:r>
          </w:p>
        </w:tc>
        <w:tc>
          <w:tcPr>
            <w:tcW w:w="1000" w:type="dxa"/>
            <w:tcBorders>
              <w:tl2br w:val="nil"/>
              <w:tr2bl w:val="nil"/>
            </w:tcBorders>
            <w:shd w:val="clear" w:color="auto" w:fill="auto"/>
            <w:vAlign w:val="center"/>
          </w:tcPr>
          <w:p w14:paraId="26866E6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160" w:type="dxa"/>
            <w:tcBorders>
              <w:tl2br w:val="nil"/>
              <w:tr2bl w:val="nil"/>
            </w:tcBorders>
            <w:shd w:val="clear" w:color="auto" w:fill="auto"/>
            <w:vAlign w:val="center"/>
          </w:tcPr>
          <w:p w14:paraId="51C010B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r>
      <w:tr w14:paraId="39C3F01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10247" w:type="dxa"/>
            <w:gridSpan w:val="9"/>
            <w:tcBorders>
              <w:tl2br w:val="nil"/>
              <w:tr2bl w:val="nil"/>
            </w:tcBorders>
            <w:shd w:val="clear" w:color="auto" w:fill="auto"/>
            <w:vAlign w:val="center"/>
          </w:tcPr>
          <w:p w14:paraId="09D702C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以厂区西南角为坐标原点，正东为X轴，正北为Y轴。</w:t>
            </w:r>
          </w:p>
        </w:tc>
      </w:tr>
    </w:tbl>
    <w:p w14:paraId="5602DBC5">
      <w:pPr>
        <w:pStyle w:val="41"/>
        <w:rPr>
          <w:b/>
          <w:bCs/>
          <w:color w:val="auto"/>
          <w:sz w:val="24"/>
          <w:szCs w:val="32"/>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1ED11367">
      <w:pPr>
        <w:pStyle w:val="27"/>
        <w:spacing w:line="240" w:lineRule="auto"/>
        <w:jc w:val="center"/>
        <w:rPr>
          <w:color w:val="auto"/>
        </w:rPr>
        <w:sectPr>
          <w:pgSz w:w="16838" w:h="11906" w:orient="landscape"/>
          <w:pgMar w:top="1100" w:right="1080" w:bottom="110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color w:val="auto"/>
          <w:sz w:val="24"/>
        </w:rPr>
        <mc:AlternateContent>
          <mc:Choice Requires="wps">
            <w:drawing>
              <wp:anchor distT="0" distB="0" distL="114300" distR="114300" simplePos="0" relativeHeight="251790336" behindDoc="0" locked="0" layoutInCell="1" allowOverlap="1">
                <wp:simplePos x="0" y="0"/>
                <wp:positionH relativeFrom="column">
                  <wp:posOffset>4429760</wp:posOffset>
                </wp:positionH>
                <wp:positionV relativeFrom="paragraph">
                  <wp:posOffset>4609465</wp:posOffset>
                </wp:positionV>
                <wp:extent cx="720090" cy="276225"/>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72009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65424E">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朱楼村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8pt;margin-top:362.95pt;height:21.75pt;width:56.7pt;z-index:251790336;mso-width-relative:page;mso-height-relative:page;" filled="f" stroked="f" coordsize="21600,21600" o:gfxdata="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&#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phshu3AAAAAsBAAAPAAAAAAAAAAEAIAAAACIAAABk&#10;cnMvZG93bnJldi54bWxQSwECFAAUAAAACACHTuJAblE6QzsCAABpBAAADgAAAAAAAAABACAAAAAr&#10;AQAAZHJzL2Uyb0RvYy54bWxQSwUGAAAAAAYABgBZAQAA2AUAAAAA&#10;">
                <v:fill on="f" focussize="0,0"/>
                <v:stroke on="f" weight="0.5pt"/>
                <v:imagedata o:title=""/>
                <o:lock v:ext="edit" aspectratio="f"/>
                <v:textbox>
                  <w:txbxContent>
                    <w:p w14:paraId="5D65424E">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朱楼村</w:t>
                      </w:r>
                    </w:p>
                  </w:txbxContent>
                </v:textbox>
              </v:shape>
            </w:pict>
          </mc:Fallback>
        </mc:AlternateContent>
      </w:r>
      <w:r>
        <w:rPr>
          <w:color w:val="auto"/>
          <w:sz w:val="24"/>
        </w:rPr>
        <mc:AlternateContent>
          <mc:Choice Requires="wps">
            <w:drawing>
              <wp:anchor distT="0" distB="0" distL="114300" distR="114300" simplePos="0" relativeHeight="251686912" behindDoc="0" locked="0" layoutInCell="1" allowOverlap="1">
                <wp:simplePos x="0" y="0"/>
                <wp:positionH relativeFrom="column">
                  <wp:posOffset>4086860</wp:posOffset>
                </wp:positionH>
                <wp:positionV relativeFrom="paragraph">
                  <wp:posOffset>4968875</wp:posOffset>
                </wp:positionV>
                <wp:extent cx="565785" cy="276225"/>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56578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5694F3">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丁庄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1.8pt;margin-top:391.25pt;height:21.75pt;width:44.55pt;z-index:251686912;mso-width-relative:page;mso-height-relative:page;" filled="f" stroked="f" coordsize="21600,21600" o:gfxdata="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7TdtENwAAAALAQAADwAAAAAAAAABACAAAAAiAAAA&#10;ZHJzL2Rvd25yZXYueG1sUEsBAhQAFAAAAAgAh07iQFeDYxU8AgAAZwQAAA4AAAAAAAAAAQAgAAAA&#10;KwEAAGRycy9lMm9Eb2MueG1sUEsFBgAAAAAGAAYAWQEAANkFAAAAAA==&#10;">
                <v:fill on="f" focussize="0,0"/>
                <v:stroke on="f" weight="0.5pt"/>
                <v:imagedata o:title=""/>
                <o:lock v:ext="edit" aspectratio="f"/>
                <v:textbox>
                  <w:txbxContent>
                    <w:p w14:paraId="425694F3">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丁庄</w:t>
                      </w:r>
                    </w:p>
                  </w:txbxContent>
                </v:textbox>
              </v:shape>
            </w:pict>
          </mc:Fallback>
        </mc:AlternateContent>
      </w:r>
      <w:r>
        <w:rPr>
          <w:color w:val="auto"/>
          <w:sz w:val="24"/>
        </w:rPr>
        <mc:AlternateContent>
          <mc:Choice Requires="wps">
            <w:drawing>
              <wp:anchor distT="0" distB="0" distL="114300" distR="114300" simplePos="0" relativeHeight="251789312" behindDoc="0" locked="0" layoutInCell="1" allowOverlap="1">
                <wp:simplePos x="0" y="0"/>
                <wp:positionH relativeFrom="column">
                  <wp:posOffset>4425950</wp:posOffset>
                </wp:positionH>
                <wp:positionV relativeFrom="paragraph">
                  <wp:posOffset>4751070</wp:posOffset>
                </wp:positionV>
                <wp:extent cx="144145" cy="144145"/>
                <wp:effectExtent l="4445" t="4445" r="22860" b="22860"/>
                <wp:wrapNone/>
                <wp:docPr id="173" name="椭圆 173"/>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48.5pt;margin-top:374.1pt;height:11.35pt;width:11.35pt;z-index:251789312;mso-width-relative:page;mso-height-relative:page;" fillcolor="#FFFF00" filled="t" stroked="t" coordsize="21600,21600" o:gfxdata="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RRmDw2AAAAAsBAAAPAAAAAAAAAAEAIAAAACIAAABkcnMvZG93bnJl&#10;di54bWxQSwECFAAUAAAACACHTuJAiZqxL/0BAAAZBAAADgAAAAAAAAABACAAAAAnAQAAZHJzL2Uy&#10;b0RvYy54bWxQSwUGAAAAAAYABgBZAQAAlg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5888" behindDoc="0" locked="0" layoutInCell="1" allowOverlap="1">
                <wp:simplePos x="0" y="0"/>
                <wp:positionH relativeFrom="column">
                  <wp:posOffset>4118610</wp:posOffset>
                </wp:positionH>
                <wp:positionV relativeFrom="paragraph">
                  <wp:posOffset>4919980</wp:posOffset>
                </wp:positionV>
                <wp:extent cx="144145" cy="144145"/>
                <wp:effectExtent l="4445" t="4445" r="22860" b="22860"/>
                <wp:wrapNone/>
                <wp:docPr id="20" name="椭圆 2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24.3pt;margin-top:387.4pt;height:11.35pt;width:11.35pt;z-index:251685888;mso-width-relative:page;mso-height-relative:page;" fillcolor="#FFFF00" filled="t" stroked="t" coordsize="21600,21600" o:gfxdata="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z8Ikq1wAAAAsBAAAPAAAAAAAAAAEAIAAAACIAAABkcnMvZG93bnJldi54&#10;bWxQSwECFAAUAAAACACHTuJA1oo1Fv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44256" behindDoc="0" locked="0" layoutInCell="1" allowOverlap="1">
                <wp:simplePos x="0" y="0"/>
                <wp:positionH relativeFrom="column">
                  <wp:posOffset>4372610</wp:posOffset>
                </wp:positionH>
                <wp:positionV relativeFrom="paragraph">
                  <wp:posOffset>4170680</wp:posOffset>
                </wp:positionV>
                <wp:extent cx="755015" cy="276225"/>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A9E220">
                            <w:pPr>
                              <w:spacing w:line="240" w:lineRule="auto"/>
                              <w:jc w:val="center"/>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巴河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4.3pt;margin-top:328.4pt;height:21.75pt;width:59.45pt;z-index:251744256;mso-width-relative:page;mso-height-relative:page;" filled="f" stroked="f" coordsize="21600,21600" o:gfxdata="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&#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F4wPV2wAAAAsBAAAPAAAAAAAAAAEAIAAAACIAAABk&#10;cnMvZG93bnJldi54bWxQSwECFAAUAAAACACHTuJATJiD/jwCAABpBAAADgAAAAAAAAABACAAAAAq&#10;AQAAZHJzL2Uyb0RvYy54bWxQSwUGAAAAAAYABgBZAQAA2AUAAAAA&#10;">
                <v:fill on="f" focussize="0,0"/>
                <v:stroke on="f" weight="0.5pt"/>
                <v:imagedata o:title=""/>
                <o:lock v:ext="edit" aspectratio="f"/>
                <v:textbox>
                  <w:txbxContent>
                    <w:p w14:paraId="3CA9E220">
                      <w:pPr>
                        <w:spacing w:line="240" w:lineRule="auto"/>
                        <w:jc w:val="center"/>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巴河</w:t>
                      </w:r>
                    </w:p>
                  </w:txbxContent>
                </v:textbox>
              </v:shape>
            </w:pict>
          </mc:Fallback>
        </mc:AlternateContent>
      </w:r>
      <w:r>
        <w:rPr>
          <w:color w:val="auto"/>
          <w:sz w:val="24"/>
        </w:rPr>
        <mc:AlternateContent>
          <mc:Choice Requires="wps">
            <w:drawing>
              <wp:anchor distT="0" distB="0" distL="114300" distR="114300" simplePos="0" relativeHeight="251746304" behindDoc="0" locked="0" layoutInCell="1" allowOverlap="1">
                <wp:simplePos x="0" y="0"/>
                <wp:positionH relativeFrom="column">
                  <wp:posOffset>970915</wp:posOffset>
                </wp:positionH>
                <wp:positionV relativeFrom="paragraph">
                  <wp:posOffset>4159885</wp:posOffset>
                </wp:positionV>
                <wp:extent cx="7158355" cy="1677670"/>
                <wp:effectExtent l="4445" t="4445" r="19050" b="13335"/>
                <wp:wrapNone/>
                <wp:docPr id="129" name="任意多边形 129"/>
                <wp:cNvGraphicFramePr/>
                <a:graphic xmlns:a="http://schemas.openxmlformats.org/drawingml/2006/main">
                  <a:graphicData uri="http://schemas.microsoft.com/office/word/2010/wordprocessingShape">
                    <wps:wsp>
                      <wps:cNvSpPr/>
                      <wps:spPr>
                        <a:xfrm>
                          <a:off x="1656715" y="4858385"/>
                          <a:ext cx="7158355" cy="1677670"/>
                        </a:xfrm>
                        <a:custGeom>
                          <a:avLst/>
                          <a:gdLst>
                            <a:gd name="connisteX0" fmla="*/ 0 w 7158355"/>
                            <a:gd name="connsiteY0" fmla="*/ 1128395 h 1677670"/>
                            <a:gd name="connisteX1" fmla="*/ 153670 w 7158355"/>
                            <a:gd name="connsiteY1" fmla="*/ 1076960 h 1677670"/>
                            <a:gd name="connisteX2" fmla="*/ 556260 w 7158355"/>
                            <a:gd name="connsiteY2" fmla="*/ 857250 h 1677670"/>
                            <a:gd name="connisteX3" fmla="*/ 812800 w 7158355"/>
                            <a:gd name="connsiteY3" fmla="*/ 731520 h 1677670"/>
                            <a:gd name="connisteX4" fmla="*/ 1143000 w 7158355"/>
                            <a:gd name="connsiteY4" fmla="*/ 585470 h 1677670"/>
                            <a:gd name="connisteX5" fmla="*/ 1384300 w 7158355"/>
                            <a:gd name="connsiteY5" fmla="*/ 410210 h 1677670"/>
                            <a:gd name="connisteX6" fmla="*/ 1619250 w 7158355"/>
                            <a:gd name="connsiteY6" fmla="*/ 263525 h 1677670"/>
                            <a:gd name="connisteX7" fmla="*/ 1868170 w 7158355"/>
                            <a:gd name="connsiteY7" fmla="*/ 190500 h 1677670"/>
                            <a:gd name="connisteX8" fmla="*/ 2102485 w 7158355"/>
                            <a:gd name="connsiteY8" fmla="*/ 73025 h 1677670"/>
                            <a:gd name="connisteX9" fmla="*/ 2373630 w 7158355"/>
                            <a:gd name="connsiteY9" fmla="*/ 50800 h 1677670"/>
                            <a:gd name="connisteX10" fmla="*/ 2659380 w 7158355"/>
                            <a:gd name="connsiteY10" fmla="*/ 36195 h 1677670"/>
                            <a:gd name="connisteX11" fmla="*/ 2922905 w 7158355"/>
                            <a:gd name="connsiteY11" fmla="*/ 50800 h 1677670"/>
                            <a:gd name="connisteX12" fmla="*/ 3274695 w 7158355"/>
                            <a:gd name="connsiteY12" fmla="*/ 131445 h 1677670"/>
                            <a:gd name="connisteX13" fmla="*/ 3684905 w 7158355"/>
                            <a:gd name="connsiteY13" fmla="*/ 366395 h 1677670"/>
                            <a:gd name="connisteX14" fmla="*/ 3926840 w 7158355"/>
                            <a:gd name="connsiteY14" fmla="*/ 549275 h 1677670"/>
                            <a:gd name="connisteX15" fmla="*/ 4205605 w 7158355"/>
                            <a:gd name="connsiteY15" fmla="*/ 622300 h 1677670"/>
                            <a:gd name="connisteX16" fmla="*/ 4703445 w 7158355"/>
                            <a:gd name="connsiteY16" fmla="*/ 688340 h 1677670"/>
                            <a:gd name="connisteX17" fmla="*/ 5113655 w 7158355"/>
                            <a:gd name="connsiteY17" fmla="*/ 775970 h 1677670"/>
                            <a:gd name="connisteX18" fmla="*/ 5297170 w 7158355"/>
                            <a:gd name="connsiteY18" fmla="*/ 864235 h 1677670"/>
                            <a:gd name="connisteX19" fmla="*/ 5480050 w 7158355"/>
                            <a:gd name="connsiteY19" fmla="*/ 937895 h 1677670"/>
                            <a:gd name="connisteX20" fmla="*/ 5707380 w 7158355"/>
                            <a:gd name="connsiteY20" fmla="*/ 930275 h 1677670"/>
                            <a:gd name="connisteX21" fmla="*/ 5949315 w 7158355"/>
                            <a:gd name="connsiteY21" fmla="*/ 1017270 h 1677670"/>
                            <a:gd name="connisteX22" fmla="*/ 6235065 w 7158355"/>
                            <a:gd name="connsiteY22" fmla="*/ 1061720 h 1677670"/>
                            <a:gd name="connisteX23" fmla="*/ 6483985 w 7158355"/>
                            <a:gd name="connsiteY23" fmla="*/ 1193800 h 1677670"/>
                            <a:gd name="connisteX24" fmla="*/ 6806565 w 7158355"/>
                            <a:gd name="connsiteY24" fmla="*/ 1406525 h 1677670"/>
                            <a:gd name="connisteX25" fmla="*/ 7048500 w 7158355"/>
                            <a:gd name="connsiteY25" fmla="*/ 1574800 h 1677670"/>
                            <a:gd name="connisteX26" fmla="*/ 7158355 w 7158355"/>
                            <a:gd name="connsiteY26" fmla="*/ 1677670 h 1677670"/>
                            <a:gd name="connisteX27" fmla="*/ 7092315 w 7158355"/>
                            <a:gd name="connsiteY27" fmla="*/ 1524000 h 1677670"/>
                            <a:gd name="connisteX28" fmla="*/ 6762750 w 7158355"/>
                            <a:gd name="connsiteY28" fmla="*/ 1311275 h 1677670"/>
                            <a:gd name="connisteX29" fmla="*/ 6432550 w 7158355"/>
                            <a:gd name="connsiteY29" fmla="*/ 1098550 h 1677670"/>
                            <a:gd name="connisteX30" fmla="*/ 6278880 w 7158355"/>
                            <a:gd name="connsiteY30" fmla="*/ 1025525 h 1677670"/>
                            <a:gd name="connisteX31" fmla="*/ 6080760 w 7158355"/>
                            <a:gd name="connsiteY31" fmla="*/ 996315 h 1677670"/>
                            <a:gd name="connisteX32" fmla="*/ 5795010 w 7158355"/>
                            <a:gd name="connsiteY32" fmla="*/ 915670 h 1677670"/>
                            <a:gd name="connisteX33" fmla="*/ 5502275 w 7158355"/>
                            <a:gd name="connsiteY33" fmla="*/ 878840 h 1677670"/>
                            <a:gd name="connisteX34" fmla="*/ 5318760 w 7158355"/>
                            <a:gd name="connsiteY34" fmla="*/ 812800 h 1677670"/>
                            <a:gd name="connisteX35" fmla="*/ 5084445 w 7158355"/>
                            <a:gd name="connsiteY35" fmla="*/ 710565 h 1677670"/>
                            <a:gd name="connisteX36" fmla="*/ 4747260 w 7158355"/>
                            <a:gd name="connsiteY36" fmla="*/ 658495 h 1677670"/>
                            <a:gd name="connisteX37" fmla="*/ 4330065 w 7158355"/>
                            <a:gd name="connsiteY37" fmla="*/ 593090 h 1677670"/>
                            <a:gd name="connisteX38" fmla="*/ 4102735 w 7158355"/>
                            <a:gd name="connsiteY38" fmla="*/ 556895 h 1677670"/>
                            <a:gd name="connisteX39" fmla="*/ 3926840 w 7158355"/>
                            <a:gd name="connsiteY39" fmla="*/ 467995 h 1677670"/>
                            <a:gd name="connisteX40" fmla="*/ 3568065 w 7158355"/>
                            <a:gd name="connsiteY40" fmla="*/ 234315 h 1677670"/>
                            <a:gd name="connisteX41" fmla="*/ 3274695 w 7158355"/>
                            <a:gd name="connsiteY41" fmla="*/ 80645 h 1677670"/>
                            <a:gd name="connisteX42" fmla="*/ 2879090 w 7158355"/>
                            <a:gd name="connsiteY42" fmla="*/ 0 h 1677670"/>
                            <a:gd name="connisteX43" fmla="*/ 2388235 w 7158355"/>
                            <a:gd name="connsiteY43" fmla="*/ 6985 h 1677670"/>
                            <a:gd name="connisteX44" fmla="*/ 2021840 w 7158355"/>
                            <a:gd name="connsiteY44" fmla="*/ 43815 h 1677670"/>
                            <a:gd name="connisteX45" fmla="*/ 1729105 w 7158355"/>
                            <a:gd name="connsiteY45" fmla="*/ 175895 h 1677670"/>
                            <a:gd name="connisteX46" fmla="*/ 1413510 w 7158355"/>
                            <a:gd name="connsiteY46" fmla="*/ 321945 h 1677670"/>
                            <a:gd name="connisteX47" fmla="*/ 1157605 w 7158355"/>
                            <a:gd name="connsiteY47" fmla="*/ 490220 h 1677670"/>
                            <a:gd name="connisteX48" fmla="*/ 651510 w 7158355"/>
                            <a:gd name="connsiteY48" fmla="*/ 717550 h 1677670"/>
                            <a:gd name="connisteX49" fmla="*/ 255905 w 7158355"/>
                            <a:gd name="connsiteY49" fmla="*/ 974090 h 1677670"/>
                            <a:gd name="connisteX50" fmla="*/ 21590 w 7158355"/>
                            <a:gd name="connsiteY50" fmla="*/ 1054735 h 1677670"/>
                            <a:gd name="connisteX51" fmla="*/ 0 w 7158355"/>
                            <a:gd name="connsiteY51" fmla="*/ 1069340 h 1677670"/>
                            <a:gd name="connisteX52" fmla="*/ 0 w 7158355"/>
                            <a:gd name="connsiteY52" fmla="*/ 1128395 h 167767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Lst>
                          <a:rect l="l" t="t" r="r" b="b"/>
                          <a:pathLst>
                            <a:path w="7158355" h="1677670">
                              <a:moveTo>
                                <a:pt x="0" y="1128395"/>
                              </a:moveTo>
                              <a:lnTo>
                                <a:pt x="153670" y="1076960"/>
                              </a:lnTo>
                              <a:lnTo>
                                <a:pt x="556260" y="857250"/>
                              </a:lnTo>
                              <a:lnTo>
                                <a:pt x="812800" y="731520"/>
                              </a:lnTo>
                              <a:lnTo>
                                <a:pt x="1143000" y="585470"/>
                              </a:lnTo>
                              <a:lnTo>
                                <a:pt x="1384300" y="410210"/>
                              </a:lnTo>
                              <a:lnTo>
                                <a:pt x="1619250" y="263525"/>
                              </a:lnTo>
                              <a:lnTo>
                                <a:pt x="1868170" y="190500"/>
                              </a:lnTo>
                              <a:lnTo>
                                <a:pt x="2102485" y="73025"/>
                              </a:lnTo>
                              <a:lnTo>
                                <a:pt x="2373630" y="50800"/>
                              </a:lnTo>
                              <a:lnTo>
                                <a:pt x="2659380" y="36195"/>
                              </a:lnTo>
                              <a:lnTo>
                                <a:pt x="2922905" y="50800"/>
                              </a:lnTo>
                              <a:lnTo>
                                <a:pt x="3274695" y="131445"/>
                              </a:lnTo>
                              <a:lnTo>
                                <a:pt x="3684905" y="366395"/>
                              </a:lnTo>
                              <a:lnTo>
                                <a:pt x="3926840" y="549275"/>
                              </a:lnTo>
                              <a:lnTo>
                                <a:pt x="4205605" y="622300"/>
                              </a:lnTo>
                              <a:lnTo>
                                <a:pt x="4703445" y="688340"/>
                              </a:lnTo>
                              <a:lnTo>
                                <a:pt x="5113655" y="775970"/>
                              </a:lnTo>
                              <a:lnTo>
                                <a:pt x="5297170" y="864235"/>
                              </a:lnTo>
                              <a:lnTo>
                                <a:pt x="5480050" y="937895"/>
                              </a:lnTo>
                              <a:lnTo>
                                <a:pt x="5707380" y="930275"/>
                              </a:lnTo>
                              <a:lnTo>
                                <a:pt x="5949315" y="1017270"/>
                              </a:lnTo>
                              <a:lnTo>
                                <a:pt x="6235065" y="1061720"/>
                              </a:lnTo>
                              <a:lnTo>
                                <a:pt x="6483985" y="1193800"/>
                              </a:lnTo>
                              <a:lnTo>
                                <a:pt x="6806565" y="1406525"/>
                              </a:lnTo>
                              <a:lnTo>
                                <a:pt x="7048500" y="1574800"/>
                              </a:lnTo>
                              <a:lnTo>
                                <a:pt x="7158355" y="1677670"/>
                              </a:lnTo>
                              <a:lnTo>
                                <a:pt x="7092315" y="1524000"/>
                              </a:lnTo>
                              <a:lnTo>
                                <a:pt x="6762750" y="1311275"/>
                              </a:lnTo>
                              <a:lnTo>
                                <a:pt x="6432550" y="1098550"/>
                              </a:lnTo>
                              <a:lnTo>
                                <a:pt x="6278880" y="1025525"/>
                              </a:lnTo>
                              <a:lnTo>
                                <a:pt x="6080760" y="996315"/>
                              </a:lnTo>
                              <a:lnTo>
                                <a:pt x="5795010" y="915670"/>
                              </a:lnTo>
                              <a:lnTo>
                                <a:pt x="5502275" y="878840"/>
                              </a:lnTo>
                              <a:lnTo>
                                <a:pt x="5318760" y="812800"/>
                              </a:lnTo>
                              <a:lnTo>
                                <a:pt x="5084445" y="710565"/>
                              </a:lnTo>
                              <a:lnTo>
                                <a:pt x="4747260" y="658495"/>
                              </a:lnTo>
                              <a:lnTo>
                                <a:pt x="4330065" y="593090"/>
                              </a:lnTo>
                              <a:lnTo>
                                <a:pt x="4102735" y="556895"/>
                              </a:lnTo>
                              <a:lnTo>
                                <a:pt x="3926840" y="467995"/>
                              </a:lnTo>
                              <a:lnTo>
                                <a:pt x="3568065" y="234315"/>
                              </a:lnTo>
                              <a:lnTo>
                                <a:pt x="3274695" y="80645"/>
                              </a:lnTo>
                              <a:lnTo>
                                <a:pt x="2879090" y="0"/>
                              </a:lnTo>
                              <a:lnTo>
                                <a:pt x="2388235" y="6985"/>
                              </a:lnTo>
                              <a:lnTo>
                                <a:pt x="2021840" y="43815"/>
                              </a:lnTo>
                              <a:lnTo>
                                <a:pt x="1729105" y="175895"/>
                              </a:lnTo>
                              <a:lnTo>
                                <a:pt x="1413510" y="321945"/>
                              </a:lnTo>
                              <a:lnTo>
                                <a:pt x="1157605" y="490220"/>
                              </a:lnTo>
                              <a:lnTo>
                                <a:pt x="651510" y="717550"/>
                              </a:lnTo>
                              <a:lnTo>
                                <a:pt x="255905" y="974090"/>
                              </a:lnTo>
                              <a:lnTo>
                                <a:pt x="21590" y="1054735"/>
                              </a:lnTo>
                              <a:lnTo>
                                <a:pt x="0" y="1069340"/>
                              </a:lnTo>
                              <a:lnTo>
                                <a:pt x="0" y="1128395"/>
                              </a:lnTo>
                              <a:close/>
                            </a:path>
                          </a:pathLst>
                        </a:custGeom>
                        <a:gradFill>
                          <a:gsLst>
                            <a:gs pos="0">
                              <a:srgbClr val="CFF9AE">
                                <a:alpha val="13000"/>
                              </a:srgbClr>
                            </a:gs>
                            <a:gs pos="100000">
                              <a:srgbClr val="49E7CE"/>
                            </a:gs>
                          </a:gsLst>
                          <a:path path="circle">
                            <a:fillToRect l="100000" t="100000"/>
                          </a:path>
                          <a:tileRect r="-100000" b="-100000"/>
                        </a:gradFill>
                        <a:ln w="3175">
                          <a:solidFill>
                            <a:schemeClr val="accent1">
                              <a:lumMod val="75000"/>
                              <a:alpha val="13000"/>
                            </a:schemeClr>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76.45pt;margin-top:327.55pt;height:132.1pt;width:563.65pt;z-index:251746304;mso-width-relative:page;mso-height-relative:page;" fillcolor="#CFF9AE" filled="t" stroked="t" coordsize="7158355,1677670" o:gfxdata="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" path="m0,1128395l153670,1076960,556260,857250,812800,731520,1143000,585470,1384300,410210,1619250,263525,1868170,190500,2102485,73025,2373630,50800,2659380,36195,2922905,50800,3274695,131445,3684905,366395,3926840,549275,4205605,622300,4703445,688340,5113655,775970,5297170,864235,5480050,937895,5707380,930275,5949315,1017270,6235065,1061720,6483985,1193800,6806565,1406525,7048500,1574800,7158355,1677670,7092315,1524000,6762750,1311275,6432550,1098550,6278880,1025525,6080760,996315,5795010,915670,5502275,878840,5318760,812800,5084445,710565,4747260,658495,4330065,593090,4102735,556895,3926840,467995,3568065,234315,3274695,80645,2879090,0,2388235,6985,2021840,43815,1729105,175895,1413510,321945,1157605,490220,651510,717550,255905,974090,21590,1054735,0,1069340,0,1128395xe">
                <v:path o:connectlocs="0,1128395;153670,1076960;556260,857250;812800,731520;1143000,585470;1384300,410210;1619250,263525;1868170,190500;2102485,73025;2373630,50800;2659380,36195;2922905,50800;3274695,131445;3684905,366395;3926840,549275;4205605,622300;4703445,688340;5113655,775970;5297170,864235;5480050,937895;5707380,930275;5949315,1017270;6235065,1061720;6483985,1193800;6806565,1406525;7048500,1574800;7158355,1677670;7092315,1524000;6762750,1311275;6432550,1098550;6278880,1025525;6080760,996315;5795010,915670;5502275,878840;5318760,812800;5084445,710565;4747260,658495;4330065,593090;4102735,556895;3926840,467995;3568065,234315;3274695,80645;2879090,0;2388235,6985;2021840,43815;1729105,175895;1413510,321945;1157605,490220;651510,717550;255905,974090;21590,1054735;0,1069340;0,1128395" o:connectangles="0,0,0,0,0,0,0,0,0,0,0,0,0,0,0,0,0,0,0,0,0,0,0,0,0,0,0,0,0,0,0,0,0,0,0,0,0,0,0,0,0,0,0,0,0,0,0,0,0,0,0,0,0"/>
                <v:fill type="gradientRadial" on="t" color2="#49E7CE" opacity="8519f" focus="100%" focussize="0f,0f" focusposition="65536f,65536f" rotate="t">
                  <o:fill type="gradientRadial" v:ext="backwardCompatible"/>
                </v:fill>
                <v:stroke weight="0.25pt" color="#376092 [2404]" opacity="8519f" joinstyle="round"/>
                <v:imagedata o:title=""/>
                <o:lock v:ext="edit" aspectratio="f"/>
              </v:shape>
            </w:pict>
          </mc:Fallback>
        </mc:AlternateContent>
      </w:r>
      <w:r>
        <w:rPr>
          <w:color w:val="auto"/>
          <w:sz w:val="24"/>
        </w:rPr>
        <mc:AlternateContent>
          <mc:Choice Requires="wps">
            <w:drawing>
              <wp:anchor distT="0" distB="0" distL="114300" distR="114300" simplePos="0" relativeHeight="251745280" behindDoc="0" locked="0" layoutInCell="1" allowOverlap="1">
                <wp:simplePos x="0" y="0"/>
                <wp:positionH relativeFrom="column">
                  <wp:posOffset>7437120</wp:posOffset>
                </wp:positionH>
                <wp:positionV relativeFrom="paragraph">
                  <wp:posOffset>3740150</wp:posOffset>
                </wp:positionV>
                <wp:extent cx="755015" cy="276225"/>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49A304">
                            <w:pPr>
                              <w:spacing w:line="240" w:lineRule="auto"/>
                              <w:jc w:val="both"/>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王引河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5.6pt;margin-top:294.5pt;height:21.75pt;width:59.45pt;z-index:251745280;mso-width-relative:page;mso-height-relative:page;" filled="f" stroked="f" coordsize="21600,21600" o:gfxdata="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GC1c09wAAAANAQAADwAAAAAAAAABACAAAAAiAAAA&#10;ZHJzL2Rvd25yZXYueG1sUEsBAhQAFAAAAAgAh07iQPcFDQY8AgAAaQQAAA4AAAAAAAAAAQAgAAAA&#10;KwEAAGRycy9lMm9Eb2MueG1sUEsFBgAAAAAGAAYAWQEAANkFAAAAAA==&#10;">
                <v:fill on="f" focussize="0,0"/>
                <v:stroke on="f" weight="0.5pt"/>
                <v:imagedata o:title=""/>
                <o:lock v:ext="edit" aspectratio="f"/>
                <v:textbox>
                  <w:txbxContent>
                    <w:p w14:paraId="3049A304">
                      <w:pPr>
                        <w:spacing w:line="240" w:lineRule="auto"/>
                        <w:jc w:val="both"/>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王引河</w:t>
                      </w:r>
                    </w:p>
                  </w:txbxContent>
                </v:textbox>
              </v:shape>
            </w:pict>
          </mc:Fallback>
        </mc:AlternateContent>
      </w:r>
      <w:r>
        <w:rPr>
          <w:color w:val="auto"/>
          <w:sz w:val="24"/>
        </w:rPr>
        <mc:AlternateContent>
          <mc:Choice Requires="wps">
            <w:drawing>
              <wp:anchor distT="0" distB="0" distL="114300" distR="114300" simplePos="0" relativeHeight="251743232" behindDoc="0" locked="0" layoutInCell="1" allowOverlap="1">
                <wp:simplePos x="0" y="0"/>
                <wp:positionH relativeFrom="column">
                  <wp:posOffset>4986020</wp:posOffset>
                </wp:positionH>
                <wp:positionV relativeFrom="paragraph">
                  <wp:posOffset>20955</wp:posOffset>
                </wp:positionV>
                <wp:extent cx="3377565" cy="6015990"/>
                <wp:effectExtent l="4445" t="4445" r="8890" b="18415"/>
                <wp:wrapNone/>
                <wp:docPr id="126" name="任意多边形 126"/>
                <wp:cNvGraphicFramePr/>
                <a:graphic xmlns:a="http://schemas.openxmlformats.org/drawingml/2006/main">
                  <a:graphicData uri="http://schemas.microsoft.com/office/word/2010/wordprocessingShape">
                    <wps:wsp>
                      <wps:cNvSpPr/>
                      <wps:spPr>
                        <a:xfrm>
                          <a:off x="5671820" y="719455"/>
                          <a:ext cx="3377565" cy="6015990"/>
                        </a:xfrm>
                        <a:custGeom>
                          <a:avLst/>
                          <a:gdLst>
                            <a:gd name="connisteX0" fmla="*/ 0 w 3377565"/>
                            <a:gd name="connsiteY0" fmla="*/ 0 h 6015990"/>
                            <a:gd name="connisteX1" fmla="*/ 36195 w 3377565"/>
                            <a:gd name="connsiteY1" fmla="*/ 176530 h 6015990"/>
                            <a:gd name="connisteX2" fmla="*/ 124460 w 3377565"/>
                            <a:gd name="connsiteY2" fmla="*/ 352425 h 6015990"/>
                            <a:gd name="connisteX3" fmla="*/ 175895 w 3377565"/>
                            <a:gd name="connsiteY3" fmla="*/ 381000 h 6015990"/>
                            <a:gd name="connisteX4" fmla="*/ 307340 w 3377565"/>
                            <a:gd name="connsiteY4" fmla="*/ 483870 h 6015990"/>
                            <a:gd name="connisteX5" fmla="*/ 336550 w 3377565"/>
                            <a:gd name="connsiteY5" fmla="*/ 549275 h 6015990"/>
                            <a:gd name="connisteX6" fmla="*/ 314960 w 3377565"/>
                            <a:gd name="connsiteY6" fmla="*/ 703580 h 6015990"/>
                            <a:gd name="connisteX7" fmla="*/ 278130 w 3377565"/>
                            <a:gd name="connsiteY7" fmla="*/ 828675 h 6015990"/>
                            <a:gd name="connisteX8" fmla="*/ 292735 w 3377565"/>
                            <a:gd name="connsiteY8" fmla="*/ 989330 h 6015990"/>
                            <a:gd name="connisteX9" fmla="*/ 329565 w 3377565"/>
                            <a:gd name="connsiteY9" fmla="*/ 1129030 h 6015990"/>
                            <a:gd name="connisteX10" fmla="*/ 410210 w 3377565"/>
                            <a:gd name="connsiteY10" fmla="*/ 1202055 h 6015990"/>
                            <a:gd name="connisteX11" fmla="*/ 622300 w 3377565"/>
                            <a:gd name="connsiteY11" fmla="*/ 1253490 h 6015990"/>
                            <a:gd name="connisteX12" fmla="*/ 702945 w 3377565"/>
                            <a:gd name="connsiteY12" fmla="*/ 1260475 h 6015990"/>
                            <a:gd name="connisteX13" fmla="*/ 768985 w 3377565"/>
                            <a:gd name="connsiteY13" fmla="*/ 1304925 h 6015990"/>
                            <a:gd name="connisteX14" fmla="*/ 798195 w 3377565"/>
                            <a:gd name="connsiteY14" fmla="*/ 1524000 h 6015990"/>
                            <a:gd name="connisteX15" fmla="*/ 1003300 w 3377565"/>
                            <a:gd name="connsiteY15" fmla="*/ 1941830 h 6015990"/>
                            <a:gd name="connisteX16" fmla="*/ 1238250 w 3377565"/>
                            <a:gd name="connsiteY16" fmla="*/ 2447925 h 6015990"/>
                            <a:gd name="connisteX17" fmla="*/ 1479550 w 3377565"/>
                            <a:gd name="connsiteY17" fmla="*/ 2850515 h 6015990"/>
                            <a:gd name="connisteX18" fmla="*/ 1978025 w 3377565"/>
                            <a:gd name="connsiteY18" fmla="*/ 3554095 h 6015990"/>
                            <a:gd name="connisteX19" fmla="*/ 2578735 w 3377565"/>
                            <a:gd name="connsiteY19" fmla="*/ 4227830 h 6015990"/>
                            <a:gd name="connisteX20" fmla="*/ 2607945 w 3377565"/>
                            <a:gd name="connsiteY20" fmla="*/ 4330700 h 6015990"/>
                            <a:gd name="connisteX21" fmla="*/ 2652395 w 3377565"/>
                            <a:gd name="connsiteY21" fmla="*/ 4558030 h 6015990"/>
                            <a:gd name="connisteX22" fmla="*/ 2747645 w 3377565"/>
                            <a:gd name="connsiteY22" fmla="*/ 4821555 h 6015990"/>
                            <a:gd name="connisteX23" fmla="*/ 2915920 w 3377565"/>
                            <a:gd name="connsiteY23" fmla="*/ 5121275 h 6015990"/>
                            <a:gd name="connisteX24" fmla="*/ 2974340 w 3377565"/>
                            <a:gd name="connsiteY24" fmla="*/ 5400675 h 6015990"/>
                            <a:gd name="connisteX25" fmla="*/ 3084195 w 3377565"/>
                            <a:gd name="connsiteY25" fmla="*/ 5692775 h 6015990"/>
                            <a:gd name="connisteX26" fmla="*/ 3150235 w 3377565"/>
                            <a:gd name="connsiteY26" fmla="*/ 5832475 h 6015990"/>
                            <a:gd name="connisteX27" fmla="*/ 3377565 w 3377565"/>
                            <a:gd name="connsiteY27" fmla="*/ 6015990 h 6015990"/>
                            <a:gd name="connisteX28" fmla="*/ 3377565 w 3377565"/>
                            <a:gd name="connsiteY28" fmla="*/ 5927725 h 6015990"/>
                            <a:gd name="connisteX29" fmla="*/ 3267710 w 3377565"/>
                            <a:gd name="connsiteY29" fmla="*/ 5854700 h 6015990"/>
                            <a:gd name="connisteX30" fmla="*/ 3187065 w 3377565"/>
                            <a:gd name="connsiteY30" fmla="*/ 5774055 h 6015990"/>
                            <a:gd name="connisteX31" fmla="*/ 3106420 w 3377565"/>
                            <a:gd name="connsiteY31" fmla="*/ 5583555 h 6015990"/>
                            <a:gd name="connisteX32" fmla="*/ 3054985 w 3377565"/>
                            <a:gd name="connsiteY32" fmla="*/ 5407025 h 6015990"/>
                            <a:gd name="connisteX33" fmla="*/ 3011170 w 3377565"/>
                            <a:gd name="connsiteY33" fmla="*/ 5173345 h 6015990"/>
                            <a:gd name="connisteX34" fmla="*/ 2901315 w 3377565"/>
                            <a:gd name="connsiteY34" fmla="*/ 4939030 h 6015990"/>
                            <a:gd name="connisteX35" fmla="*/ 2791460 w 3377565"/>
                            <a:gd name="connsiteY35" fmla="*/ 4755515 h 6015990"/>
                            <a:gd name="connisteX36" fmla="*/ 2717800 w 3377565"/>
                            <a:gd name="connsiteY36" fmla="*/ 4579620 h 6015990"/>
                            <a:gd name="connisteX37" fmla="*/ 2703195 w 3377565"/>
                            <a:gd name="connsiteY37" fmla="*/ 4367530 h 6015990"/>
                            <a:gd name="connisteX38" fmla="*/ 2667000 w 3377565"/>
                            <a:gd name="connsiteY38" fmla="*/ 4213225 h 6015990"/>
                            <a:gd name="connisteX39" fmla="*/ 2286000 w 3377565"/>
                            <a:gd name="connsiteY39" fmla="*/ 3781425 h 6015990"/>
                            <a:gd name="connisteX40" fmla="*/ 2029460 w 3377565"/>
                            <a:gd name="connsiteY40" fmla="*/ 3444240 h 6015990"/>
                            <a:gd name="connisteX41" fmla="*/ 1765300 w 3377565"/>
                            <a:gd name="connsiteY41" fmla="*/ 3084830 h 6015990"/>
                            <a:gd name="connisteX42" fmla="*/ 1589405 w 3377565"/>
                            <a:gd name="connsiteY42" fmla="*/ 2813050 h 6015990"/>
                            <a:gd name="connisteX43" fmla="*/ 1384300 w 3377565"/>
                            <a:gd name="connsiteY43" fmla="*/ 2498725 h 6015990"/>
                            <a:gd name="connisteX44" fmla="*/ 1172210 w 3377565"/>
                            <a:gd name="connsiteY44" fmla="*/ 2059305 h 6015990"/>
                            <a:gd name="connisteX45" fmla="*/ 974090 w 3377565"/>
                            <a:gd name="connsiteY45" fmla="*/ 1670050 h 6015990"/>
                            <a:gd name="connisteX46" fmla="*/ 798195 w 3377565"/>
                            <a:gd name="connsiteY46" fmla="*/ 1297305 h 6015990"/>
                            <a:gd name="connisteX47" fmla="*/ 702945 w 3377565"/>
                            <a:gd name="connsiteY47" fmla="*/ 1179830 h 6015990"/>
                            <a:gd name="connisteX48" fmla="*/ 439420 w 3377565"/>
                            <a:gd name="connsiteY48" fmla="*/ 1143000 h 6015990"/>
                            <a:gd name="connisteX49" fmla="*/ 351155 w 3377565"/>
                            <a:gd name="connsiteY49" fmla="*/ 1062990 h 6015990"/>
                            <a:gd name="connisteX50" fmla="*/ 336550 w 3377565"/>
                            <a:gd name="connsiteY50" fmla="*/ 908050 h 6015990"/>
                            <a:gd name="connisteX51" fmla="*/ 395605 w 3377565"/>
                            <a:gd name="connsiteY51" fmla="*/ 644525 h 6015990"/>
                            <a:gd name="connisteX52" fmla="*/ 402590 w 3377565"/>
                            <a:gd name="connsiteY52" fmla="*/ 483870 h 6015990"/>
                            <a:gd name="connisteX53" fmla="*/ 307340 w 3377565"/>
                            <a:gd name="connsiteY53" fmla="*/ 381000 h 6015990"/>
                            <a:gd name="connisteX54" fmla="*/ 175895 w 3377565"/>
                            <a:gd name="connsiteY54" fmla="*/ 300990 h 6015990"/>
                            <a:gd name="connisteX55" fmla="*/ 109855 w 3377565"/>
                            <a:gd name="connsiteY55" fmla="*/ 212725 h 6015990"/>
                            <a:gd name="connisteX56" fmla="*/ 65405 w 3377565"/>
                            <a:gd name="connsiteY56" fmla="*/ 36830 h 6015990"/>
                            <a:gd name="connisteX57" fmla="*/ 0 w 3377565"/>
                            <a:gd name="connsiteY57" fmla="*/ 0 h 601599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 ang="0">
                              <a:pos x="connisteX53" y="connsiteY53"/>
                            </a:cxn>
                            <a:cxn ang="0">
                              <a:pos x="connisteX54" y="connsiteY54"/>
                            </a:cxn>
                            <a:cxn ang="0">
                              <a:pos x="connisteX55" y="connsiteY55"/>
                            </a:cxn>
                            <a:cxn ang="0">
                              <a:pos x="connisteX56" y="connsiteY56"/>
                            </a:cxn>
                            <a:cxn ang="0">
                              <a:pos x="connisteX57" y="connsiteY57"/>
                            </a:cxn>
                          </a:cxnLst>
                          <a:rect l="l" t="t" r="r" b="b"/>
                          <a:pathLst>
                            <a:path w="3377565" h="6015990">
                              <a:moveTo>
                                <a:pt x="0" y="0"/>
                              </a:moveTo>
                              <a:lnTo>
                                <a:pt x="36195" y="176530"/>
                              </a:lnTo>
                              <a:lnTo>
                                <a:pt x="124460" y="352425"/>
                              </a:lnTo>
                              <a:lnTo>
                                <a:pt x="175895" y="381000"/>
                              </a:lnTo>
                              <a:lnTo>
                                <a:pt x="307340" y="483870"/>
                              </a:lnTo>
                              <a:lnTo>
                                <a:pt x="336550" y="549275"/>
                              </a:lnTo>
                              <a:lnTo>
                                <a:pt x="314960" y="703580"/>
                              </a:lnTo>
                              <a:lnTo>
                                <a:pt x="278130" y="828675"/>
                              </a:lnTo>
                              <a:lnTo>
                                <a:pt x="292735" y="989330"/>
                              </a:lnTo>
                              <a:lnTo>
                                <a:pt x="329565" y="1129030"/>
                              </a:lnTo>
                              <a:lnTo>
                                <a:pt x="410210" y="1202055"/>
                              </a:lnTo>
                              <a:lnTo>
                                <a:pt x="622300" y="1253490"/>
                              </a:lnTo>
                              <a:lnTo>
                                <a:pt x="702945" y="1260475"/>
                              </a:lnTo>
                              <a:lnTo>
                                <a:pt x="768985" y="1304925"/>
                              </a:lnTo>
                              <a:lnTo>
                                <a:pt x="798195" y="1524000"/>
                              </a:lnTo>
                              <a:lnTo>
                                <a:pt x="1003300" y="1941830"/>
                              </a:lnTo>
                              <a:lnTo>
                                <a:pt x="1238250" y="2447925"/>
                              </a:lnTo>
                              <a:lnTo>
                                <a:pt x="1479550" y="2850515"/>
                              </a:lnTo>
                              <a:lnTo>
                                <a:pt x="1978025" y="3554095"/>
                              </a:lnTo>
                              <a:lnTo>
                                <a:pt x="2578735" y="4227830"/>
                              </a:lnTo>
                              <a:lnTo>
                                <a:pt x="2607945" y="4330700"/>
                              </a:lnTo>
                              <a:lnTo>
                                <a:pt x="2652395" y="4558030"/>
                              </a:lnTo>
                              <a:lnTo>
                                <a:pt x="2747645" y="4821555"/>
                              </a:lnTo>
                              <a:lnTo>
                                <a:pt x="2915920" y="5121275"/>
                              </a:lnTo>
                              <a:lnTo>
                                <a:pt x="2974340" y="5400675"/>
                              </a:lnTo>
                              <a:lnTo>
                                <a:pt x="3084195" y="5692775"/>
                              </a:lnTo>
                              <a:lnTo>
                                <a:pt x="3150235" y="5832475"/>
                              </a:lnTo>
                              <a:lnTo>
                                <a:pt x="3377565" y="6015990"/>
                              </a:lnTo>
                              <a:lnTo>
                                <a:pt x="3377565" y="5927725"/>
                              </a:lnTo>
                              <a:lnTo>
                                <a:pt x="3267710" y="5854700"/>
                              </a:lnTo>
                              <a:lnTo>
                                <a:pt x="3187065" y="5774055"/>
                              </a:lnTo>
                              <a:lnTo>
                                <a:pt x="3106420" y="5583555"/>
                              </a:lnTo>
                              <a:lnTo>
                                <a:pt x="3054985" y="5407025"/>
                              </a:lnTo>
                              <a:lnTo>
                                <a:pt x="3011170" y="5173345"/>
                              </a:lnTo>
                              <a:lnTo>
                                <a:pt x="2901315" y="4939030"/>
                              </a:lnTo>
                              <a:lnTo>
                                <a:pt x="2791460" y="4755515"/>
                              </a:lnTo>
                              <a:lnTo>
                                <a:pt x="2717800" y="4579620"/>
                              </a:lnTo>
                              <a:lnTo>
                                <a:pt x="2703195" y="4367530"/>
                              </a:lnTo>
                              <a:lnTo>
                                <a:pt x="2667000" y="4213225"/>
                              </a:lnTo>
                              <a:lnTo>
                                <a:pt x="2286000" y="3781425"/>
                              </a:lnTo>
                              <a:lnTo>
                                <a:pt x="2029460" y="3444240"/>
                              </a:lnTo>
                              <a:lnTo>
                                <a:pt x="1765300" y="3084830"/>
                              </a:lnTo>
                              <a:lnTo>
                                <a:pt x="1589405" y="2813050"/>
                              </a:lnTo>
                              <a:lnTo>
                                <a:pt x="1384300" y="2498725"/>
                              </a:lnTo>
                              <a:lnTo>
                                <a:pt x="1172210" y="2059305"/>
                              </a:lnTo>
                              <a:lnTo>
                                <a:pt x="974090" y="1670050"/>
                              </a:lnTo>
                              <a:lnTo>
                                <a:pt x="798195" y="1297305"/>
                              </a:lnTo>
                              <a:lnTo>
                                <a:pt x="702945" y="1179830"/>
                              </a:lnTo>
                              <a:lnTo>
                                <a:pt x="439420" y="1143000"/>
                              </a:lnTo>
                              <a:lnTo>
                                <a:pt x="351155" y="1062990"/>
                              </a:lnTo>
                              <a:lnTo>
                                <a:pt x="336550" y="908050"/>
                              </a:lnTo>
                              <a:lnTo>
                                <a:pt x="395605" y="644525"/>
                              </a:lnTo>
                              <a:lnTo>
                                <a:pt x="402590" y="483870"/>
                              </a:lnTo>
                              <a:lnTo>
                                <a:pt x="307340" y="381000"/>
                              </a:lnTo>
                              <a:lnTo>
                                <a:pt x="175895" y="300990"/>
                              </a:lnTo>
                              <a:lnTo>
                                <a:pt x="109855" y="212725"/>
                              </a:lnTo>
                              <a:lnTo>
                                <a:pt x="65405" y="36830"/>
                              </a:lnTo>
                              <a:lnTo>
                                <a:pt x="0" y="0"/>
                              </a:lnTo>
                              <a:close/>
                            </a:path>
                          </a:pathLst>
                        </a:custGeom>
                        <a:gradFill>
                          <a:gsLst>
                            <a:gs pos="69000">
                              <a:srgbClr val="8CF0BE">
                                <a:alpha val="15000"/>
                              </a:srgbClr>
                            </a:gs>
                            <a:gs pos="0">
                              <a:srgbClr val="CFF9AE"/>
                            </a:gs>
                            <a:gs pos="90000">
                              <a:srgbClr val="49E7CE"/>
                            </a:gs>
                          </a:gsLst>
                          <a:path path="circle">
                            <a:fillToRect l="100000" t="100000"/>
                          </a:path>
                          <a:tileRect r="-100000" b="-100000"/>
                        </a:gradFill>
                        <a:ln w="3175">
                          <a:solidFill>
                            <a:schemeClr val="accent5">
                              <a:alpha val="19000"/>
                            </a:schemeClr>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92.6pt;margin-top:1.65pt;height:473.7pt;width:265.95pt;z-index:251743232;mso-width-relative:page;mso-height-relative:page;" fillcolor="#CFF9AE" filled="t" stroked="t" coordsize="3377565,6015990" o:gfxdata="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" path="m0,0l36195,176530,124460,352425,175895,381000,307340,483870,336550,549275,314960,703580,278130,828675,292735,989330,329565,1129030,410210,1202055,622300,1253490,702945,1260475,768985,1304925,798195,1524000,1003300,1941830,1238250,2447925,1479550,2850515,1978025,3554095,2578735,4227830,2607945,4330700,2652395,4558030,2747645,4821555,2915920,5121275,2974340,5400675,3084195,5692775,3150235,5832475,3377565,6015990,3377565,5927725,3267710,5854700,3187065,5774055,3106420,5583555,3054985,5407025,3011170,5173345,2901315,4939030,2791460,4755515,2717800,4579620,2703195,4367530,2667000,4213225,2286000,3781425,2029460,3444240,1765300,3084830,1589405,2813050,1384300,2498725,1172210,2059305,974090,1670050,798195,1297305,702945,1179830,439420,1143000,351155,1062990,336550,908050,395605,644525,402590,483870,307340,381000,175895,300990,109855,212725,65405,36830,0,0xe">
                <v:path o:connectlocs="0,0;36195,176530;124460,352425;175895,381000;307340,483870;336550,549275;314960,703580;278130,828675;292735,989330;329565,1129030;410210,1202055;622300,1253490;702945,1260475;768985,1304925;798195,1524000;1003300,1941830;1238250,2447925;1479550,2850515;1978025,3554095;2578735,4227830;2607945,4330700;2652395,4558030;2747645,4821555;2915920,5121275;2974340,5400675;3084195,5692775;3150235,5832475;3377565,6015990;3377565,5927725;3267710,5854700;3187065,5774055;3106420,5583555;3054985,5407025;3011170,5173345;2901315,4939030;2791460,4755515;2717800,4579620;2703195,4367530;2667000,4213225;2286000,3781425;2029460,3444240;1765300,3084830;1589405,2813050;1384300,2498725;1172210,2059305;974090,1670050;798195,1297305;702945,1179830;439420,1143000;351155,1062990;336550,908050;395605,644525;402590,483870;307340,381000;175895,300990;109855,212725;65405,36830;0,0" o:connectangles="0,0,0,0,0,0,0,0,0,0,0,0,0,0,0,0,0,0,0,0,0,0,0,0,0,0,0,0,0,0,0,0,0,0,0,0,0,0,0,0,0,0,0,0,0,0,0,0,0,0,0,0,0,0,0,0,0,0"/>
                <v:fill type="gradientRadial" on="t" color2="#49E7CE" colors="0f #CFF9AE;45220f #8CF0BE;58982f #49E7CE" focus="100%" focussize="0f,0f" focusposition="65536f,65536f" rotate="t">
                  <o:fill type="gradientRadial" v:ext="backwardCompatible"/>
                </v:fill>
                <v:stroke weight="0.25pt" color="#4BACC6 [3208]" opacity="12451f" joinstyle="round"/>
                <v:imagedata o:title=""/>
                <o:lock v:ext="edit" aspectratio="f"/>
              </v:shape>
            </w:pict>
          </mc:Fallback>
        </mc:AlternateContent>
      </w:r>
      <w:r>
        <w:rPr>
          <w:color w:val="auto"/>
          <w:sz w:val="24"/>
        </w:rPr>
        <mc:AlternateContent>
          <mc:Choice Requires="wps">
            <w:drawing>
              <wp:anchor distT="0" distB="0" distL="114300" distR="114300" simplePos="0" relativeHeight="251742208" behindDoc="0" locked="0" layoutInCell="1" allowOverlap="1">
                <wp:simplePos x="0" y="0"/>
                <wp:positionH relativeFrom="column">
                  <wp:posOffset>6615430</wp:posOffset>
                </wp:positionH>
                <wp:positionV relativeFrom="paragraph">
                  <wp:posOffset>1934210</wp:posOffset>
                </wp:positionV>
                <wp:extent cx="626110" cy="276225"/>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D683A2">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凤凰城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0.9pt;margin-top:152.3pt;height:21.75pt;width:49.3pt;z-index:251742208;mso-width-relative:page;mso-height-relative:page;" filled="f" stroked="f" coordsize="21600,21600" o:gfxdata="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&#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5A6YF3AAAAA0BAAAPAAAAAAAAAAEAIAAAACIAAABk&#10;cnMvZG93bnJldi54bWxQSwECFAAUAAAACACHTuJAS6eBqDsCAABpBAAADgAAAAAAAAABACAAAAAr&#10;AQAAZHJzL2Uyb0RvYy54bWxQSwUGAAAAAAYABgBZAQAA2AUAAAAA&#10;">
                <v:fill on="f" focussize="0,0"/>
                <v:stroke on="f" weight="0.5pt"/>
                <v:imagedata o:title=""/>
                <o:lock v:ext="edit" aspectratio="f"/>
                <v:textbox>
                  <w:txbxContent>
                    <w:p w14:paraId="33D683A2">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凤凰城</w:t>
                      </w:r>
                    </w:p>
                  </w:txbxContent>
                </v:textbox>
              </v:shape>
            </w:pict>
          </mc:Fallback>
        </mc:AlternateContent>
      </w:r>
      <w:r>
        <w:rPr>
          <w:color w:val="auto"/>
          <w:sz w:val="24"/>
        </w:rPr>
        <mc:AlternateContent>
          <mc:Choice Requires="wps">
            <w:drawing>
              <wp:anchor distT="0" distB="0" distL="114300" distR="114300" simplePos="0" relativeHeight="251732992" behindDoc="0" locked="0" layoutInCell="1" allowOverlap="1">
                <wp:simplePos x="0" y="0"/>
                <wp:positionH relativeFrom="column">
                  <wp:posOffset>6560820</wp:posOffset>
                </wp:positionH>
                <wp:positionV relativeFrom="paragraph">
                  <wp:posOffset>1993900</wp:posOffset>
                </wp:positionV>
                <wp:extent cx="144145" cy="144145"/>
                <wp:effectExtent l="4445" t="4445" r="22860" b="22860"/>
                <wp:wrapNone/>
                <wp:docPr id="113" name="椭圆 113"/>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16.6pt;margin-top:157pt;height:11.35pt;width:11.35pt;z-index:251732992;mso-width-relative:page;mso-height-relative:page;" fillcolor="#FFFF00" filled="t" stroked="t" coordsize="21600,21600" o:gfxdata="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cHaT+2AAAAA0BAAAPAAAAAAAAAAEAIAAAACIAAABkcnMvZG93bnJl&#10;di54bWxQSwECFAAUAAAACACHTuJAIOYIZ/0BAAAZBAAADgAAAAAAAAABACAAAAAnAQAAZHJzL2Uy&#10;b0RvYy54bWxQSwUGAAAAAAYABgBZAQAAlg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41184" behindDoc="0" locked="0" layoutInCell="1" allowOverlap="1">
                <wp:simplePos x="0" y="0"/>
                <wp:positionH relativeFrom="column">
                  <wp:posOffset>2563495</wp:posOffset>
                </wp:positionH>
                <wp:positionV relativeFrom="paragraph">
                  <wp:posOffset>3313430</wp:posOffset>
                </wp:positionV>
                <wp:extent cx="626110" cy="276225"/>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D5D535">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周庄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85pt;margin-top:260.9pt;height:21.75pt;width:49.3pt;z-index:251741184;mso-width-relative:page;mso-height-relative:page;" filled="f" stroked="f" coordsize="21600,21600" o:gfxdata="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Q1wuR3AAAAAsBAAAPAAAAAAAAAAEAIAAAACIAAABk&#10;cnMvZG93bnJldi54bWxQSwECFAAUAAAACACHTuJAxqiZnjsCAABpBAAADgAAAAAAAAABACAAAAAr&#10;AQAAZHJzL2Uyb0RvYy54bWxQSwUGAAAAAAYABgBZAQAA2AUAAAAA&#10;">
                <v:fill on="f" focussize="0,0"/>
                <v:stroke on="f" weight="0.5pt"/>
                <v:imagedata o:title=""/>
                <o:lock v:ext="edit" aspectratio="f"/>
                <v:textbox>
                  <w:txbxContent>
                    <w:p w14:paraId="55D5D535">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周庄</w:t>
                      </w:r>
                    </w:p>
                  </w:txbxContent>
                </v:textbox>
              </v:shape>
            </w:pict>
          </mc:Fallback>
        </mc:AlternateContent>
      </w:r>
      <w:r>
        <w:rPr>
          <w:color w:val="auto"/>
          <w:sz w:val="24"/>
        </w:rPr>
        <mc:AlternateContent>
          <mc:Choice Requires="wps">
            <w:drawing>
              <wp:anchor distT="0" distB="0" distL="114300" distR="114300" simplePos="0" relativeHeight="251731968" behindDoc="0" locked="0" layoutInCell="1" allowOverlap="1">
                <wp:simplePos x="0" y="0"/>
                <wp:positionH relativeFrom="column">
                  <wp:posOffset>2516505</wp:posOffset>
                </wp:positionH>
                <wp:positionV relativeFrom="paragraph">
                  <wp:posOffset>3270250</wp:posOffset>
                </wp:positionV>
                <wp:extent cx="144145" cy="144145"/>
                <wp:effectExtent l="4445" t="4445" r="22860" b="22860"/>
                <wp:wrapNone/>
                <wp:docPr id="112" name="椭圆 11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198.15pt;margin-top:257.5pt;height:11.35pt;width:11.35pt;z-index:251731968;mso-width-relative:page;mso-height-relative:page;" fillcolor="#FFFF00" filled="t" stroked="t" coordsize="21600,21600" o:gfxdata="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LU1CNefMgqGW//r+&#10;4+e3ryztkD+jx5rS7vxtOK2QwiT20AWTviSDHbKnx7On8hCZoM1qsagWrzgTdHSKCaV4+NkHjB+k&#10;MywFDZdaUwOTaqhh/xHjlP0nK22j06rdKK3zIvTbdzqwPVCHN/SUualU4CJNWzY2/GX1JlEBGtuO&#10;xoVC40k62j7Xu/gDHwOX+UluXAMnYmvAYSKQEaahGiS0723L4tGTpZbuEk8UjGw505KuXooIEOoI&#10;Sv8jE81lIlXWlgikfkwdSNHWtUfq4M4H1Q/kX5VJphOamEz3NN1pJB+vM9LDjV79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ActQnYAAAACwEAAA8AAAAAAAAAAQAgAAAAIgAAAGRycy9kb3ducmV2&#10;LnhtbFBLAQIUABQAAAAIAIdO4kDxtwM//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40160" behindDoc="0" locked="0" layoutInCell="1" allowOverlap="1">
                <wp:simplePos x="0" y="0"/>
                <wp:positionH relativeFrom="column">
                  <wp:posOffset>2677795</wp:posOffset>
                </wp:positionH>
                <wp:positionV relativeFrom="paragraph">
                  <wp:posOffset>4159885</wp:posOffset>
                </wp:positionV>
                <wp:extent cx="639445" cy="276225"/>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63944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200E8C">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王堰村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0.85pt;margin-top:327.55pt;height:21.75pt;width:50.35pt;z-index:251740160;mso-width-relative:page;mso-height-relative:page;" filled="f" stroked="f" coordsize="21600,21600" o:gfxdata="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kR3Cm3AAAAAsBAAAPAAAAAAAAAAEAIAAAACIAAABk&#10;cnMvZG93bnJldi54bWxQSwECFAAUAAAACACHTuJAiM8e8DsCAABpBAAADgAAAAAAAAABACAAAAAr&#10;AQAAZHJzL2Uyb0RvYy54bWxQSwUGAAAAAAYABgBZAQAA2AUAAAAA&#10;">
                <v:fill on="f" focussize="0,0"/>
                <v:stroke on="f" weight="0.5pt"/>
                <v:imagedata o:title=""/>
                <o:lock v:ext="edit" aspectratio="f"/>
                <v:textbox>
                  <w:txbxContent>
                    <w:p w14:paraId="06200E8C">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王堰村</w:t>
                      </w:r>
                    </w:p>
                  </w:txbxContent>
                </v:textbox>
              </v:shape>
            </w:pict>
          </mc:Fallback>
        </mc:AlternateContent>
      </w:r>
      <w:r>
        <w:rPr>
          <w:color w:val="auto"/>
          <w:sz w:val="24"/>
        </w:rPr>
        <mc:AlternateContent>
          <mc:Choice Requires="wps">
            <w:drawing>
              <wp:anchor distT="0" distB="0" distL="114300" distR="114300" simplePos="0" relativeHeight="251730944" behindDoc="0" locked="0" layoutInCell="1" allowOverlap="1">
                <wp:simplePos x="0" y="0"/>
                <wp:positionH relativeFrom="column">
                  <wp:posOffset>2649855</wp:posOffset>
                </wp:positionH>
                <wp:positionV relativeFrom="paragraph">
                  <wp:posOffset>4097655</wp:posOffset>
                </wp:positionV>
                <wp:extent cx="144145" cy="144145"/>
                <wp:effectExtent l="4445" t="4445" r="22860" b="22860"/>
                <wp:wrapNone/>
                <wp:docPr id="111" name="椭圆 111"/>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08.65pt;margin-top:322.65pt;height:11.35pt;width:11.35pt;z-index:251730944;mso-width-relative:page;mso-height-relative:page;" fillcolor="#FFFF00" filled="t" stroked="t" coordsize="21600,21600" o:gfxdata="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ribEdcAAAALAQAADwAAAAAAAAABACAAAAAiAAAAZHJzL2Rvd25yZXYu&#10;eG1sUEsBAhQAFAAAAAgAh07iQIJFHtf8AQAAGQ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39136" behindDoc="0" locked="0" layoutInCell="1" allowOverlap="1">
                <wp:simplePos x="0" y="0"/>
                <wp:positionH relativeFrom="column">
                  <wp:posOffset>6141720</wp:posOffset>
                </wp:positionH>
                <wp:positionV relativeFrom="paragraph">
                  <wp:posOffset>3206115</wp:posOffset>
                </wp:positionV>
                <wp:extent cx="755015" cy="27622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0838C4">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和谐家园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3.6pt;margin-top:252.45pt;height:21.75pt;width:59.45pt;z-index:251739136;mso-width-relative:page;mso-height-relative:page;" filled="f" stroked="f" coordsize="21600,21600" o:gfxdata="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1yNVLdAAAADAEAAA8AAAAAAAAAAQAgAAAAIgAA&#10;AGRycy9kb3ducmV2LnhtbFBLAQIUABQAAAAIAIdO4kDEYIwBPAIAAGkEAAAOAAAAAAAAAAEAIAAA&#10;ACwBAABkcnMvZTJvRG9jLnhtbFBLBQYAAAAABgAGAFkBAADaBQAAAAA=&#10;">
                <v:fill on="f" focussize="0,0"/>
                <v:stroke on="f" weight="0.5pt"/>
                <v:imagedata o:title=""/>
                <o:lock v:ext="edit" aspectratio="f"/>
                <v:textbox>
                  <w:txbxContent>
                    <w:p w14:paraId="630838C4">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和谐家园</w:t>
                      </w:r>
                    </w:p>
                  </w:txbxContent>
                </v:textbox>
              </v:shape>
            </w:pict>
          </mc:Fallback>
        </mc:AlternateContent>
      </w:r>
      <w:r>
        <w:rPr>
          <w:color w:val="auto"/>
          <w:sz w:val="24"/>
        </w:rPr>
        <mc:AlternateContent>
          <mc:Choice Requires="wps">
            <w:drawing>
              <wp:anchor distT="0" distB="0" distL="114300" distR="114300" simplePos="0" relativeHeight="251729920" behindDoc="0" locked="0" layoutInCell="1" allowOverlap="1">
                <wp:simplePos x="0" y="0"/>
                <wp:positionH relativeFrom="column">
                  <wp:posOffset>6103620</wp:posOffset>
                </wp:positionH>
                <wp:positionV relativeFrom="paragraph">
                  <wp:posOffset>3135630</wp:posOffset>
                </wp:positionV>
                <wp:extent cx="144145" cy="144145"/>
                <wp:effectExtent l="4445" t="4445" r="22860" b="22860"/>
                <wp:wrapNone/>
                <wp:docPr id="110" name="椭圆 11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80.6pt;margin-top:246.9pt;height:11.35pt;width:11.35pt;z-index:251729920;mso-width-relative:page;mso-height-relative:page;" fillcolor="#FFFF00" filled="t" stroked="t" coordsize="21600,21600" o:gfxdata="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ikyXfYAAAACwEAAA8AAAAAAAAAAQAgAAAAIgAAAGRycy9kb3ducmV2&#10;LnhtbFBLAQIUABQAAAAIAIdO4kBTFBWP/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38112" behindDoc="0" locked="0" layoutInCell="1" allowOverlap="1">
                <wp:simplePos x="0" y="0"/>
                <wp:positionH relativeFrom="column">
                  <wp:posOffset>5384165</wp:posOffset>
                </wp:positionH>
                <wp:positionV relativeFrom="paragraph">
                  <wp:posOffset>2454910</wp:posOffset>
                </wp:positionV>
                <wp:extent cx="755015" cy="276225"/>
                <wp:effectExtent l="0" t="0" r="0" b="0"/>
                <wp:wrapNone/>
                <wp:docPr id="121" name="文本框 121"/>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CA604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九华学府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3.95pt;margin-top:193.3pt;height:21.75pt;width:59.45pt;z-index:251738112;mso-width-relative:page;mso-height-relative:page;" filled="f" stroked="f" coordsize="21600,21600" o:gfxdata="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cDY4zdAAAACwEAAA8AAAAAAAAAAQAgAAAAIgAA&#10;AGRycy9kb3ducmV2LnhtbFBLAQIUABQAAAAIAIdO4kBTcKRbPAIAAGkEAAAOAAAAAAAAAAEAIAAA&#10;ACwBAABkcnMvZTJvRG9jLnhtbFBLBQYAAAAABgAGAFkBAADaBQAAAAA=&#10;">
                <v:fill on="f" focussize="0,0"/>
                <v:stroke on="f" weight="0.5pt"/>
                <v:imagedata o:title=""/>
                <o:lock v:ext="edit" aspectratio="f"/>
                <v:textbox>
                  <w:txbxContent>
                    <w:p w14:paraId="77CA604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九华学府</w:t>
                      </w:r>
                    </w:p>
                  </w:txbxContent>
                </v:textbox>
              </v:shape>
            </w:pict>
          </mc:Fallback>
        </mc:AlternateContent>
      </w:r>
      <w:r>
        <w:rPr>
          <w:color w:val="auto"/>
          <w:sz w:val="24"/>
        </w:rPr>
        <mc:AlternateContent>
          <mc:Choice Requires="wps">
            <w:drawing>
              <wp:anchor distT="0" distB="0" distL="114300" distR="114300" simplePos="0" relativeHeight="251707392" behindDoc="0" locked="0" layoutInCell="1" allowOverlap="1">
                <wp:simplePos x="0" y="0"/>
                <wp:positionH relativeFrom="column">
                  <wp:posOffset>5241290</wp:posOffset>
                </wp:positionH>
                <wp:positionV relativeFrom="paragraph">
                  <wp:posOffset>1929130</wp:posOffset>
                </wp:positionV>
                <wp:extent cx="755650" cy="276225"/>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75565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7BE5BE">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杨楼小学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7pt;margin-top:151.9pt;height:21.75pt;width:59.5pt;z-index:251707392;mso-width-relative:page;mso-height-relative:page;" filled="f" stroked="f" coordsize="21600,21600" o:gfxdata="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Oo+kvbAAAACwEAAA8AAAAAAAAAAQAgAAAAIgAAAGRy&#10;cy9kb3ducmV2LnhtbFBLAQIUABQAAAAIAIdO4kA8lXXmOwIAAGcEAAAOAAAAAAAAAAEAIAAAACoB&#10;AABkcnMvZTJvRG9jLnhtbFBLBQYAAAAABgAGAFkBAADXBQAAAAA=&#10;">
                <v:fill on="f" focussize="0,0"/>
                <v:stroke on="f" weight="0.5pt"/>
                <v:imagedata o:title=""/>
                <o:lock v:ext="edit" aspectratio="f"/>
                <v:textbox>
                  <w:txbxContent>
                    <w:p w14:paraId="227BE5BE">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杨楼小学</w:t>
                      </w:r>
                    </w:p>
                  </w:txbxContent>
                </v:textbox>
              </v:shape>
            </w:pict>
          </mc:Fallback>
        </mc:AlternateContent>
      </w:r>
      <w:r>
        <w:rPr>
          <w:color w:val="auto"/>
          <w:sz w:val="24"/>
        </w:rPr>
        <mc:AlternateContent>
          <mc:Choice Requires="wps">
            <w:drawing>
              <wp:anchor distT="0" distB="0" distL="114300" distR="114300" simplePos="0" relativeHeight="251734016" behindDoc="0" locked="0" layoutInCell="1" allowOverlap="1">
                <wp:simplePos x="0" y="0"/>
                <wp:positionH relativeFrom="column">
                  <wp:posOffset>5414010</wp:posOffset>
                </wp:positionH>
                <wp:positionV relativeFrom="paragraph">
                  <wp:posOffset>2070735</wp:posOffset>
                </wp:positionV>
                <wp:extent cx="1089660" cy="276225"/>
                <wp:effectExtent l="0" t="0" r="0" b="0"/>
                <wp:wrapNone/>
                <wp:docPr id="117" name="文本框 117"/>
                <wp:cNvGraphicFramePr/>
                <a:graphic xmlns:a="http://schemas.openxmlformats.org/drawingml/2006/main">
                  <a:graphicData uri="http://schemas.microsoft.com/office/word/2010/wordprocessingShape">
                    <wps:wsp>
                      <wps:cNvSpPr txBox="1"/>
                      <wps:spPr>
                        <a:xfrm>
                          <a:off x="0" y="0"/>
                          <a:ext cx="108966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862F20">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东信学府花园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3pt;margin-top:163.05pt;height:21.75pt;width:85.8pt;z-index:251734016;mso-width-relative:page;mso-height-relative:page;" filled="f" stroked="f" coordsize="21600,21600" o:gfxdata="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vFl5jcAAAADAEAAA8AAAAAAAAAAQAgAAAAIgAA&#10;AGRycy9kb3ducmV2LnhtbFBLAQIUABQAAAAIAIdO4kC3bQ/pPQIAAGoEAAAOAAAAAAAAAAEAIAAA&#10;ACsBAABkcnMvZTJvRG9jLnhtbFBLBQYAAAAABgAGAFkBAADaBQAAAAA=&#10;">
                <v:fill on="f" focussize="0,0"/>
                <v:stroke on="f" weight="0.5pt"/>
                <v:imagedata o:title=""/>
                <o:lock v:ext="edit" aspectratio="f"/>
                <v:textbox>
                  <w:txbxContent>
                    <w:p w14:paraId="12862F20">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东信学府花园</w:t>
                      </w:r>
                    </w:p>
                  </w:txbxContent>
                </v:textbox>
              </v:shape>
            </w:pict>
          </mc:Fallback>
        </mc:AlternateContent>
      </w:r>
      <w:r>
        <w:rPr>
          <w:color w:val="auto"/>
          <w:sz w:val="24"/>
        </w:rPr>
        <mc:AlternateContent>
          <mc:Choice Requires="wps">
            <w:drawing>
              <wp:anchor distT="0" distB="0" distL="114300" distR="114300" simplePos="0" relativeHeight="251735040" behindDoc="0" locked="0" layoutInCell="1" allowOverlap="1">
                <wp:simplePos x="0" y="0"/>
                <wp:positionH relativeFrom="column">
                  <wp:posOffset>6628765</wp:posOffset>
                </wp:positionH>
                <wp:positionV relativeFrom="paragraph">
                  <wp:posOffset>2115820</wp:posOffset>
                </wp:positionV>
                <wp:extent cx="923925" cy="276225"/>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0F15D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濉溪中学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1.95pt;margin-top:166.6pt;height:21.75pt;width:72.75pt;z-index:251735040;mso-width-relative:page;mso-height-relative:page;" filled="f" stroked="f" coordsize="21600,21600" o:gfxdata="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J5Gqv3gAAAA0BAAAPAAAAAAAAAAEAIAAAACIA&#10;AABkcnMvZG93bnJldi54bWxQSwECFAAUAAAACACHTuJAVDcWIzwCAABpBAAADgAAAAAAAAABACAA&#10;AAAtAQAAZHJzL2Uyb0RvYy54bWxQSwUGAAAAAAYABgBZAQAA2wUAAAAA&#10;">
                <v:fill on="f" focussize="0,0"/>
                <v:stroke on="f" weight="0.5pt"/>
                <v:imagedata o:title=""/>
                <o:lock v:ext="edit" aspectratio="f"/>
                <v:textbox>
                  <w:txbxContent>
                    <w:p w14:paraId="790F15D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濉溪中学</w:t>
                      </w:r>
                    </w:p>
                  </w:txbxContent>
                </v:textbox>
              </v:shape>
            </w:pict>
          </mc:Fallback>
        </mc:AlternateContent>
      </w:r>
      <w:r>
        <w:rPr>
          <w:color w:val="auto"/>
          <w:sz w:val="24"/>
        </w:rPr>
        <mc:AlternateContent>
          <mc:Choice Requires="wps">
            <w:drawing>
              <wp:anchor distT="0" distB="0" distL="114300" distR="114300" simplePos="0" relativeHeight="251737088" behindDoc="0" locked="0" layoutInCell="1" allowOverlap="1">
                <wp:simplePos x="0" y="0"/>
                <wp:positionH relativeFrom="column">
                  <wp:posOffset>6485255</wp:posOffset>
                </wp:positionH>
                <wp:positionV relativeFrom="paragraph">
                  <wp:posOffset>2375535</wp:posOffset>
                </wp:positionV>
                <wp:extent cx="775970" cy="276225"/>
                <wp:effectExtent l="0" t="0" r="0" b="0"/>
                <wp:wrapNone/>
                <wp:docPr id="120" name="文本框 120"/>
                <wp:cNvGraphicFramePr/>
                <a:graphic xmlns:a="http://schemas.openxmlformats.org/drawingml/2006/main">
                  <a:graphicData uri="http://schemas.microsoft.com/office/word/2010/wordprocessingShape">
                    <wps:wsp>
                      <wps:cNvSpPr txBox="1"/>
                      <wps:spPr>
                        <a:xfrm>
                          <a:off x="0" y="0"/>
                          <a:ext cx="77597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75F16B">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英才学校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0.65pt;margin-top:187.05pt;height:21.75pt;width:61.1pt;z-index:251737088;mso-width-relative:page;mso-height-relative:page;" filled="f" stroked="f" coordsize="21600,21600" o:gfxdata="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X22QN0AAAANAQAADwAAAAAAAAABACAAAAAiAAAA&#10;ZHJzL2Rvd25yZXYueG1sUEsBAhQAFAAAAAgAh07iQBj82bo7AgAAaQQAAA4AAAAAAAAAAQAgAAAA&#10;LAEAAGRycy9lMm9Eb2MueG1sUEsFBgAAAAAGAAYAWQEAANkFAAAAAA==&#10;">
                <v:fill on="f" focussize="0,0"/>
                <v:stroke on="f" weight="0.5pt"/>
                <v:imagedata o:title=""/>
                <o:lock v:ext="edit" aspectratio="f"/>
                <v:textbox>
                  <w:txbxContent>
                    <w:p w14:paraId="6B75F16B">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英才学校</w:t>
                      </w:r>
                    </w:p>
                  </w:txbxContent>
                </v:textbox>
              </v:shape>
            </w:pict>
          </mc:Fallback>
        </mc:AlternateContent>
      </w:r>
      <w:r>
        <w:rPr>
          <w:color w:val="auto"/>
          <w:sz w:val="24"/>
        </w:rPr>
        <mc:AlternateContent>
          <mc:Choice Requires="wps">
            <w:drawing>
              <wp:anchor distT="0" distB="0" distL="114300" distR="114300" simplePos="0" relativeHeight="251727872" behindDoc="0" locked="0" layoutInCell="1" allowOverlap="1">
                <wp:simplePos x="0" y="0"/>
                <wp:positionH relativeFrom="column">
                  <wp:posOffset>6433185</wp:posOffset>
                </wp:positionH>
                <wp:positionV relativeFrom="paragraph">
                  <wp:posOffset>2471420</wp:posOffset>
                </wp:positionV>
                <wp:extent cx="144145" cy="144145"/>
                <wp:effectExtent l="4445" t="4445" r="22860" b="22860"/>
                <wp:wrapNone/>
                <wp:docPr id="108" name="椭圆 108"/>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06.55pt;margin-top:194.6pt;height:11.35pt;width:11.35pt;z-index:251727872;mso-width-relative:page;mso-height-relative:page;" fillcolor="#FFFF00" filled="t" stroked="t" coordsize="21600,21600" o:gfxdata="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ptX9cAAAANAQAADwAAAAAAAAABACAAAAAiAAAAZHJzL2Rvd25yZXYu&#10;eG1sUEsBAhQAFAAAAAgAh07iQAt5UNP8AQAAGQ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6848" behindDoc="0" locked="0" layoutInCell="1" allowOverlap="1">
                <wp:simplePos x="0" y="0"/>
                <wp:positionH relativeFrom="column">
                  <wp:posOffset>6714490</wp:posOffset>
                </wp:positionH>
                <wp:positionV relativeFrom="paragraph">
                  <wp:posOffset>2604135</wp:posOffset>
                </wp:positionV>
                <wp:extent cx="144145" cy="144145"/>
                <wp:effectExtent l="4445" t="4445" r="22860" b="22860"/>
                <wp:wrapNone/>
                <wp:docPr id="103" name="椭圆 103"/>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28.7pt;margin-top:205.05pt;height:11.35pt;width:11.35pt;z-index:251726848;mso-width-relative:page;mso-height-relative:page;" fillcolor="#FFFF00" filled="t" stroked="t" coordsize="21600,21600" o:gfxdata="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sw5gzXAAAADQEAAA8AAAAAAAAAAQAgAAAAIgAAAGRycy9kb3ducmV2&#10;LnhtbFBLAQIUABQAAAAIAIdO4kAzD4SW/QEAABkEAAAOAAAAAAAAAAEAIAAAACY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36064" behindDoc="0" locked="0" layoutInCell="1" allowOverlap="1">
                <wp:simplePos x="0" y="0"/>
                <wp:positionH relativeFrom="column">
                  <wp:posOffset>6741160</wp:posOffset>
                </wp:positionH>
                <wp:positionV relativeFrom="paragraph">
                  <wp:posOffset>2663825</wp:posOffset>
                </wp:positionV>
                <wp:extent cx="1046480" cy="276225"/>
                <wp:effectExtent l="0" t="0" r="0" b="0"/>
                <wp:wrapNone/>
                <wp:docPr id="119" name="文本框 119"/>
                <wp:cNvGraphicFramePr/>
                <a:graphic xmlns:a="http://schemas.openxmlformats.org/drawingml/2006/main">
                  <a:graphicData uri="http://schemas.microsoft.com/office/word/2010/wordprocessingShape">
                    <wps:wsp>
                      <wps:cNvSpPr txBox="1"/>
                      <wps:spPr>
                        <a:xfrm>
                          <a:off x="0" y="0"/>
                          <a:ext cx="104648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D4E5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濉溪龙华学校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0.8pt;margin-top:209.75pt;height:21.75pt;width:82.4pt;z-index:251736064;mso-width-relative:page;mso-height-relative:page;" filled="f" stroked="f" coordsize="21600,21600" o:gfxdata="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p8l/cAAAADQEAAA8AAAAAAAAAAQAgAAAAIgAA&#10;AGRycy9kb3ducmV2LnhtbFBLAQIUABQAAAAIAIdO4kC1jy2sPQIAAGoEAAAOAAAAAAAAAAEAIAAA&#10;ACsBAABkcnMvZTJvRG9jLnhtbFBLBQYAAAAABgAGAFkBAADaBQAAAAA=&#10;">
                <v:fill on="f" focussize="0,0"/>
                <v:stroke on="f" weight="0.5pt"/>
                <v:imagedata o:title=""/>
                <o:lock v:ext="edit" aspectratio="f"/>
                <v:textbox>
                  <w:txbxContent>
                    <w:p w14:paraId="5ED4E5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濉溪龙华学校</w:t>
                      </w:r>
                    </w:p>
                  </w:txbxContent>
                </v:textbox>
              </v:shape>
            </w:pict>
          </mc:Fallback>
        </mc:AlternateContent>
      </w:r>
      <w:r>
        <w:rPr>
          <w:color w:val="auto"/>
          <w:sz w:val="24"/>
        </w:rPr>
        <mc:AlternateContent>
          <mc:Choice Requires="wps">
            <w:drawing>
              <wp:anchor distT="0" distB="0" distL="114300" distR="114300" simplePos="0" relativeHeight="251728896" behindDoc="0" locked="0" layoutInCell="1" allowOverlap="1">
                <wp:simplePos x="0" y="0"/>
                <wp:positionH relativeFrom="column">
                  <wp:posOffset>6012180</wp:posOffset>
                </wp:positionH>
                <wp:positionV relativeFrom="paragraph">
                  <wp:posOffset>2480310</wp:posOffset>
                </wp:positionV>
                <wp:extent cx="144145" cy="144145"/>
                <wp:effectExtent l="4445" t="4445" r="22860" b="22860"/>
                <wp:wrapNone/>
                <wp:docPr id="109" name="椭圆 109"/>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73.4pt;margin-top:195.3pt;height:11.35pt;width:11.35pt;z-index:251728896;mso-width-relative:page;mso-height-relative:page;" fillcolor="#FFFF00" filled="t" stroked="t" coordsize="21600,21600" o:gfxdata="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MM2dLYAAAACwEAAA8AAAAAAAAAAQAgAAAAIgAAAGRycy9kb3ducmV2&#10;LnhtbFBLAQIUABQAAAAIAIdO4kDaKFuL/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5824" behindDoc="0" locked="0" layoutInCell="1" allowOverlap="1">
                <wp:simplePos x="0" y="0"/>
                <wp:positionH relativeFrom="column">
                  <wp:posOffset>6582410</wp:posOffset>
                </wp:positionH>
                <wp:positionV relativeFrom="paragraph">
                  <wp:posOffset>2172335</wp:posOffset>
                </wp:positionV>
                <wp:extent cx="144145" cy="144145"/>
                <wp:effectExtent l="4445" t="4445" r="22860" b="22860"/>
                <wp:wrapNone/>
                <wp:docPr id="102" name="椭圆 10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18.3pt;margin-top:171.05pt;height:11.35pt;width:11.35pt;z-index:251725824;mso-width-relative:page;mso-height-relative:page;" fillcolor="#FFFF00" filled="t" stroked="t" coordsize="21600,21600" o:gfxdata="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LU1COefMgqGW//r+&#10;4+e3ryztkD+jx5rS7vxtOK2QwiT20AWTviSDHbKnx7On8hCZoM1qsagWrzgTdHSKCaV4+NkHjB+k&#10;MywFDZdaUwOTaqhh/xHjlP0nK22j06rdKK3zIvTbdzqwPVCHN/SUualU4CJNWzY2/GX1JlEBGtuO&#10;xoVC40k62j7Xu/gDHwOX+UluXAMnYmvAYSKQEaahGiS0723L4tGTpZbuEk8UjGw505KuXooIEOoI&#10;Sv8jE81lIlXWlgikfkwdSNHWtUfq4M4H1Q/kX5VJphOamEz3NN1pJB+vM9LDjV79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6oSTbYAAAADQEAAA8AAAAAAAAAAQAgAAAAIgAAAGRycy9kb3ducmV2&#10;LnhtbFBLAQIUABQAAAAIAIdO4kDiXo/O/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6608" behindDoc="0" locked="0" layoutInCell="1" allowOverlap="1">
                <wp:simplePos x="0" y="0"/>
                <wp:positionH relativeFrom="column">
                  <wp:posOffset>6273800</wp:posOffset>
                </wp:positionH>
                <wp:positionV relativeFrom="paragraph">
                  <wp:posOffset>2115185</wp:posOffset>
                </wp:positionV>
                <wp:extent cx="144145" cy="144145"/>
                <wp:effectExtent l="4445" t="4445" r="22860" b="22860"/>
                <wp:wrapNone/>
                <wp:docPr id="92" name="椭圆 9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94pt;margin-top:166.55pt;height:11.35pt;width:11.35pt;z-index:251716608;mso-width-relative:page;mso-height-relative:page;" fillcolor="#FFFF00" filled="t" stroked="t" coordsize="21600,21600" o:gfxdata="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OG8vNgAAAAMAQAADwAAAAAAAAABACAAAAAiAAAAZHJzL2Rvd25yZXYu&#10;eG1sUEsBAhQAFAAAAAgAh07iQNHGgTX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4800" behindDoc="0" locked="0" layoutInCell="1" allowOverlap="1">
                <wp:simplePos x="0" y="0"/>
                <wp:positionH relativeFrom="column">
                  <wp:posOffset>6987540</wp:posOffset>
                </wp:positionH>
                <wp:positionV relativeFrom="paragraph">
                  <wp:posOffset>1612265</wp:posOffset>
                </wp:positionV>
                <wp:extent cx="626110" cy="276225"/>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00AAA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前刘庄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0.2pt;margin-top:126.95pt;height:21.75pt;width:49.3pt;z-index:251724800;mso-width-relative:page;mso-height-relative:page;" filled="f" stroked="f" coordsize="21600,21600" o:gfxdata="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6sA6qN0AAAANAQAADwAAAAAAAAABACAAAAAiAAAA&#10;ZHJzL2Rvd25yZXYueG1sUEsBAhQAFAAAAAgAh07iQBpQ7407AgAAaQQAAA4AAAAAAAAAAQAgAAAA&#10;LAEAAGRycy9lMm9Eb2MueG1sUEsFBgAAAAAGAAYAWQEAANkFAAAAAA==&#10;">
                <v:fill on="f" focussize="0,0"/>
                <v:stroke on="f" weight="0.5pt"/>
                <v:imagedata o:title=""/>
                <o:lock v:ext="edit" aspectratio="f"/>
                <v:textbox>
                  <w:txbxContent>
                    <w:p w14:paraId="0A00AAA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前刘庄</w:t>
                      </w:r>
                    </w:p>
                  </w:txbxContent>
                </v:textbox>
              </v:shape>
            </w:pict>
          </mc:Fallback>
        </mc:AlternateContent>
      </w:r>
      <w:r>
        <w:rPr>
          <w:color w:val="auto"/>
          <w:sz w:val="24"/>
        </w:rPr>
        <mc:AlternateContent>
          <mc:Choice Requires="wps">
            <w:drawing>
              <wp:anchor distT="0" distB="0" distL="114300" distR="114300" simplePos="0" relativeHeight="251715584" behindDoc="0" locked="0" layoutInCell="1" allowOverlap="1">
                <wp:simplePos x="0" y="0"/>
                <wp:positionH relativeFrom="column">
                  <wp:posOffset>6923405</wp:posOffset>
                </wp:positionH>
                <wp:positionV relativeFrom="paragraph">
                  <wp:posOffset>1725295</wp:posOffset>
                </wp:positionV>
                <wp:extent cx="144145" cy="144145"/>
                <wp:effectExtent l="4445" t="4445" r="22860" b="22860"/>
                <wp:wrapNone/>
                <wp:docPr id="91" name="椭圆 91"/>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45.15pt;margin-top:135.85pt;height:11.35pt;width:11.35pt;z-index:251715584;mso-width-relative:page;mso-height-relative:page;" fillcolor="#FFFF00" filled="t" stroked="t" coordsize="21600,21600" o:gfxdata="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BFps1wAAAA0BAAAPAAAAAAAAAAEAIAAAACIAAABkcnMvZG93bnJldi54&#10;bWxQSwECFAAUAAAACACHTuJAG0VQdf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3776" behindDoc="0" locked="0" layoutInCell="1" allowOverlap="1">
                <wp:simplePos x="0" y="0"/>
                <wp:positionH relativeFrom="column">
                  <wp:posOffset>6961505</wp:posOffset>
                </wp:positionH>
                <wp:positionV relativeFrom="paragraph">
                  <wp:posOffset>1390650</wp:posOffset>
                </wp:positionV>
                <wp:extent cx="626110" cy="276225"/>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078F7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后刘庄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8.15pt;margin-top:109.5pt;height:21.75pt;width:49.3pt;z-index:251723776;mso-width-relative:page;mso-height-relative:page;" filled="f" stroked="f" coordsize="21600,21600" o:gfxdata="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dd30C3AAAAA0BAAAPAAAAAAAAAAEAIAAAACIAAABk&#10;cnMvZG93bnJldi54bWxQSwECFAAUAAAACACHTuJAl1/3uzsCAABpBAAADgAAAAAAAAABACAAAAAr&#10;AQAAZHJzL2Uyb0RvYy54bWxQSwUGAAAAAAYABgBZAQAA2AUAAAAA&#10;">
                <v:fill on="f" focussize="0,0"/>
                <v:stroke on="f" weight="0.5pt"/>
                <v:imagedata o:title=""/>
                <o:lock v:ext="edit" aspectratio="f"/>
                <v:textbox>
                  <w:txbxContent>
                    <w:p w14:paraId="13078F7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后刘庄</w:t>
                      </w:r>
                    </w:p>
                  </w:txbxContent>
                </v:textbox>
              </v:shape>
            </w:pict>
          </mc:Fallback>
        </mc:AlternateContent>
      </w:r>
      <w:r>
        <w:rPr>
          <w:color w:val="auto"/>
          <w:sz w:val="24"/>
        </w:rPr>
        <mc:AlternateContent>
          <mc:Choice Requires="wps">
            <w:drawing>
              <wp:anchor distT="0" distB="0" distL="114300" distR="114300" simplePos="0" relativeHeight="251722752" behindDoc="0" locked="0" layoutInCell="1" allowOverlap="1">
                <wp:simplePos x="0" y="0"/>
                <wp:positionH relativeFrom="column">
                  <wp:posOffset>6965315</wp:posOffset>
                </wp:positionH>
                <wp:positionV relativeFrom="paragraph">
                  <wp:posOffset>1087120</wp:posOffset>
                </wp:positionV>
                <wp:extent cx="626110" cy="276225"/>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A77E2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武庄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8.45pt;margin-top:85.6pt;height:21.75pt;width:49.3pt;z-index:251722752;mso-width-relative:page;mso-height-relative:page;" filled="f" stroked="f" coordsize="21600,21600" o:gfxdata="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BZIhs90AAAANAQAADwAAAAAAAAABACAAAAAiAAAA&#10;ZHJzL2Rvd25yZXYueG1sUEsBAhQAFAAAAAgAh07iQPofmbM7AgAAZwQAAA4AAAAAAAAAAQAgAAAA&#10;LAEAAGRycy9lMm9Eb2MueG1sUEsFBgAAAAAGAAYAWQEAANkFAAAAAA==&#10;">
                <v:fill on="f" focussize="0,0"/>
                <v:stroke on="f" weight="0.5pt"/>
                <v:imagedata o:title=""/>
                <o:lock v:ext="edit" aspectratio="f"/>
                <v:textbox>
                  <w:txbxContent>
                    <w:p w14:paraId="17A77E2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武庄</w:t>
                      </w:r>
                    </w:p>
                  </w:txbxContent>
                </v:textbox>
              </v:shape>
            </w:pict>
          </mc:Fallback>
        </mc:AlternateContent>
      </w:r>
      <w:r>
        <w:rPr>
          <w:color w:val="auto"/>
          <w:sz w:val="24"/>
        </w:rPr>
        <mc:AlternateContent>
          <mc:Choice Requires="wps">
            <w:drawing>
              <wp:anchor distT="0" distB="0" distL="114300" distR="114300" simplePos="0" relativeHeight="251714560" behindDoc="0" locked="0" layoutInCell="1" allowOverlap="1">
                <wp:simplePos x="0" y="0"/>
                <wp:positionH relativeFrom="column">
                  <wp:posOffset>6913880</wp:posOffset>
                </wp:positionH>
                <wp:positionV relativeFrom="paragraph">
                  <wp:posOffset>1531620</wp:posOffset>
                </wp:positionV>
                <wp:extent cx="144145" cy="144145"/>
                <wp:effectExtent l="4445" t="4445" r="22860" b="22860"/>
                <wp:wrapNone/>
                <wp:docPr id="90" name="椭圆 9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44.4pt;margin-top:120.6pt;height:11.35pt;width:11.35pt;z-index:251714560;mso-width-relative:page;mso-height-relative:page;" fillcolor="#FFFF00" filled="t" stroked="t" coordsize="21600,21600" o:gfxdata="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zs8401wAAAA0BAAAPAAAAAAAAAAEAIAAAACIAAABkcnMvZG93bnJldi54&#10;bWxQSwECFAAUAAAACACHTuJAXcTgSv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3536" behindDoc="0" locked="0" layoutInCell="1" allowOverlap="1">
                <wp:simplePos x="0" y="0"/>
                <wp:positionH relativeFrom="column">
                  <wp:posOffset>6924675</wp:posOffset>
                </wp:positionH>
                <wp:positionV relativeFrom="paragraph">
                  <wp:posOffset>1236980</wp:posOffset>
                </wp:positionV>
                <wp:extent cx="144145" cy="144145"/>
                <wp:effectExtent l="4445" t="4445" r="22860" b="22860"/>
                <wp:wrapNone/>
                <wp:docPr id="89" name="椭圆 89"/>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45.25pt;margin-top:97.4pt;height:11.35pt;width:11.35pt;z-index:251713536;mso-width-relative:page;mso-height-relative:page;" fillcolor="#FFFF00" filled="t" stroked="t" coordsize="21600,21600" o:gfxdata="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HRJXNcAAAANAQAADwAAAAAAAAABACAAAAAiAAAAZHJzL2Rvd25yZXYu&#10;eG1sUEsBAhQAFAAAAAgAh07iQE4dJcz8AQAAFw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1728" behindDoc="0" locked="0" layoutInCell="1" allowOverlap="1">
                <wp:simplePos x="0" y="0"/>
                <wp:positionH relativeFrom="column">
                  <wp:posOffset>6701790</wp:posOffset>
                </wp:positionH>
                <wp:positionV relativeFrom="paragraph">
                  <wp:posOffset>808355</wp:posOffset>
                </wp:positionV>
                <wp:extent cx="1209040" cy="276225"/>
                <wp:effectExtent l="0" t="0" r="0" b="0"/>
                <wp:wrapNone/>
                <wp:docPr id="98" name="文本框 98"/>
                <wp:cNvGraphicFramePr/>
                <a:graphic xmlns:a="http://schemas.openxmlformats.org/drawingml/2006/main">
                  <a:graphicData uri="http://schemas.microsoft.com/office/word/2010/wordprocessingShape">
                    <wps:wsp>
                      <wps:cNvSpPr txBox="1"/>
                      <wps:spPr>
                        <a:xfrm>
                          <a:off x="0" y="0"/>
                          <a:ext cx="120904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091CC2">
                            <w:pP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中国铁建青秀城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7.7pt;margin-top:63.65pt;height:21.75pt;width:95.2pt;z-index:251721728;mso-width-relative:page;mso-height-relative:page;" filled="f" stroked="f" coordsize="21600,21600" o:gfxdata="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1kbE7bAAAADQEAAA8AAAAAAAAAAQAgAAAAIgAAAGRy&#10;cy9kb3ducmV2LnhtbFBLAQIUABQAAAAIAIdO4kA9BJwyOwIAAGgEAAAOAAAAAAAAAAEAIAAAACoB&#10;AABkcnMvZTJvRG9jLnhtbFBLBQYAAAAABgAGAFkBAADXBQAAAAA=&#10;">
                <v:fill on="f" focussize="0,0"/>
                <v:stroke on="f" weight="0.5pt"/>
                <v:imagedata o:title=""/>
                <o:lock v:ext="edit" aspectratio="f"/>
                <v:textbox>
                  <w:txbxContent>
                    <w:p w14:paraId="55091CC2">
                      <w:pP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中国铁建青秀城</w:t>
                      </w:r>
                    </w:p>
                  </w:txbxContent>
                </v:textbox>
              </v:shape>
            </w:pict>
          </mc:Fallback>
        </mc:AlternateContent>
      </w:r>
      <w:r>
        <w:rPr>
          <w:color w:val="auto"/>
          <w:sz w:val="24"/>
        </w:rPr>
        <mc:AlternateContent>
          <mc:Choice Requires="wps">
            <w:drawing>
              <wp:anchor distT="0" distB="0" distL="114300" distR="114300" simplePos="0" relativeHeight="251712512" behindDoc="0" locked="0" layoutInCell="1" allowOverlap="1">
                <wp:simplePos x="0" y="0"/>
                <wp:positionH relativeFrom="column">
                  <wp:posOffset>6690995</wp:posOffset>
                </wp:positionH>
                <wp:positionV relativeFrom="paragraph">
                  <wp:posOffset>1009650</wp:posOffset>
                </wp:positionV>
                <wp:extent cx="144145" cy="144145"/>
                <wp:effectExtent l="4445" t="4445" r="22860" b="22860"/>
                <wp:wrapNone/>
                <wp:docPr id="88" name="椭圆 88"/>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26.85pt;margin-top:79.5pt;height:11.35pt;width:11.35pt;z-index:251712512;mso-width-relative:page;mso-height-relative:page;" fillcolor="#FFFF00" filled="t" stroked="t" coordsize="21600,21600" o:gfxdata="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RrXlfYAAAADQEAAA8AAAAAAAAAAQAgAAAAIgAAAGRycy9kb3ducmV2&#10;LnhtbFBLAQIUABQAAAAIAIdO4kAInJXz/AEAABc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0704" behindDoc="0" locked="0" layoutInCell="1" allowOverlap="1">
                <wp:simplePos x="0" y="0"/>
                <wp:positionH relativeFrom="column">
                  <wp:posOffset>6613525</wp:posOffset>
                </wp:positionH>
                <wp:positionV relativeFrom="paragraph">
                  <wp:posOffset>1801495</wp:posOffset>
                </wp:positionV>
                <wp:extent cx="923925" cy="276225"/>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E5EF2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新城文景苑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0.75pt;margin-top:141.85pt;height:21.75pt;width:72.75pt;z-index:251720704;mso-width-relative:page;mso-height-relative:page;" filled="f" stroked="f" coordsize="21600,21600" o:gfxdata="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cw8tbdAAAADQEAAA8AAAAAAAAAAQAgAAAAIgAA&#10;AGRycy9kb3ducmV2LnhtbFBLAQIUABQAAAAIAIdO4kBJADHnPAIAAGcEAAAOAAAAAAAAAAEAIAAA&#10;ACwBAABkcnMvZTJvRG9jLnhtbFBLBQYAAAAABgAGAFkBAADaBQAAAAA=&#10;">
                <v:fill on="f" focussize="0,0"/>
                <v:stroke on="f" weight="0.5pt"/>
                <v:imagedata o:title=""/>
                <o:lock v:ext="edit" aspectratio="f"/>
                <v:textbox>
                  <w:txbxContent>
                    <w:p w14:paraId="4BE5EF2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新城文景苑</w:t>
                      </w:r>
                    </w:p>
                  </w:txbxContent>
                </v:textbox>
              </v:shape>
            </w:pict>
          </mc:Fallback>
        </mc:AlternateContent>
      </w:r>
      <w:r>
        <w:rPr>
          <w:color w:val="auto"/>
          <w:sz w:val="24"/>
        </w:rPr>
        <mc:AlternateContent>
          <mc:Choice Requires="wps">
            <w:drawing>
              <wp:anchor distT="0" distB="0" distL="114300" distR="114300" simplePos="0" relativeHeight="251711488" behindDoc="0" locked="0" layoutInCell="1" allowOverlap="1">
                <wp:simplePos x="0" y="0"/>
                <wp:positionH relativeFrom="column">
                  <wp:posOffset>6544945</wp:posOffset>
                </wp:positionH>
                <wp:positionV relativeFrom="paragraph">
                  <wp:posOffset>1830070</wp:posOffset>
                </wp:positionV>
                <wp:extent cx="144145" cy="144145"/>
                <wp:effectExtent l="4445" t="4445" r="22860" b="22860"/>
                <wp:wrapNone/>
                <wp:docPr id="87" name="椭圆 8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15.35pt;margin-top:144.1pt;height:11.35pt;width:11.35pt;z-index:251711488;mso-width-relative:page;mso-height-relative:page;" fillcolor="#FFFF00" filled="t" stroked="t" coordsize="21600,21600" o:gfxdata="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yyYsXYAAAADQEAAA8AAAAAAAAAAQAgAAAAIgAAAGRycy9kb3ducmV2&#10;LnhtbFBLAQIUABQAAAAIAIdO4kCrFnNr/AEAABc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9680" behindDoc="0" locked="0" layoutInCell="1" allowOverlap="1">
                <wp:simplePos x="0" y="0"/>
                <wp:positionH relativeFrom="column">
                  <wp:posOffset>6219190</wp:posOffset>
                </wp:positionH>
                <wp:positionV relativeFrom="paragraph">
                  <wp:posOffset>1550035</wp:posOffset>
                </wp:positionV>
                <wp:extent cx="923925" cy="276225"/>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4C26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丽景新城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9.7pt;margin-top:122.05pt;height:21.75pt;width:72.75pt;z-index:251719680;mso-width-relative:page;mso-height-relative:page;" filled="f" stroked="f" coordsize="21600,21600" o:gfxdata="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gFTIfdAAAADAEAAA8AAAAAAAAAAQAgAAAAIgAA&#10;AGRycy9kb3ducmV2LnhtbFBLAQIUABQAAAAIAIdO4kATf/IPPAIAAGcEAAAOAAAAAAAAAAEAIAAA&#10;ACwBAABkcnMvZTJvRG9jLnhtbFBLBQYAAAAABgAGAFkBAADaBQAAAAA=&#10;">
                <v:fill on="f" focussize="0,0"/>
                <v:stroke on="f" weight="0.5pt"/>
                <v:imagedata o:title=""/>
                <o:lock v:ext="edit" aspectratio="f"/>
                <v:textbox>
                  <w:txbxContent>
                    <w:p w14:paraId="304C26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丽景新城</w:t>
                      </w:r>
                    </w:p>
                  </w:txbxContent>
                </v:textbox>
              </v:shape>
            </w:pict>
          </mc:Fallback>
        </mc:AlternateContent>
      </w:r>
      <w:r>
        <w:rPr>
          <w:color w:val="auto"/>
          <w:sz w:val="24"/>
        </w:rPr>
        <mc:AlternateContent>
          <mc:Choice Requires="wps">
            <w:drawing>
              <wp:anchor distT="0" distB="0" distL="114300" distR="114300" simplePos="0" relativeHeight="251710464" behindDoc="0" locked="0" layoutInCell="1" allowOverlap="1">
                <wp:simplePos x="0" y="0"/>
                <wp:positionH relativeFrom="column">
                  <wp:posOffset>6297930</wp:posOffset>
                </wp:positionH>
                <wp:positionV relativeFrom="paragraph">
                  <wp:posOffset>1739265</wp:posOffset>
                </wp:positionV>
                <wp:extent cx="144145" cy="144145"/>
                <wp:effectExtent l="4445" t="4445" r="22860" b="22860"/>
                <wp:wrapNone/>
                <wp:docPr id="86" name="椭圆 86"/>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95.9pt;margin-top:136.95pt;height:11.35pt;width:11.35pt;z-index:251710464;mso-width-relative:page;mso-height-relative:page;" fillcolor="#FFFF00" filled="t" stroked="t" coordsize="21600,21600" o:gfxdata="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KWhAXYAAAADAEAAA8AAAAAAAAAAQAgAAAAIgAAAGRycy9kb3ducmV2&#10;LnhtbFBLAQIUABQAAAAIAIdO4kDtl8NU/AEAABc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8656" behindDoc="0" locked="0" layoutInCell="1" allowOverlap="1">
                <wp:simplePos x="0" y="0"/>
                <wp:positionH relativeFrom="column">
                  <wp:posOffset>5243195</wp:posOffset>
                </wp:positionH>
                <wp:positionV relativeFrom="paragraph">
                  <wp:posOffset>1485900</wp:posOffset>
                </wp:positionV>
                <wp:extent cx="923925" cy="276225"/>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287DC9">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新城丽景苑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85pt;margin-top:117pt;height:21.75pt;width:72.75pt;z-index:251718656;mso-width-relative:page;mso-height-relative:page;" filled="f" stroked="f" coordsize="21600,21600" o:gfxdata="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&#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Lpx/52wAAAAsBAAAPAAAAAAAAAAEAIAAAACIAAABk&#10;cnMvZG93bnJldi54bWxQSwECFAAUAAAACACHTuJAvPjG7TwCAABnBAAADgAAAAAAAAABACAAAAAq&#10;AQAAZHJzL2Uyb0RvYy54bWxQSwUGAAAAAAYABgBZAQAA2AUAAAAA&#10;">
                <v:fill on="f" focussize="0,0"/>
                <v:stroke on="f" weight="0.5pt"/>
                <v:imagedata o:title=""/>
                <o:lock v:ext="edit" aspectratio="f"/>
                <v:textbox>
                  <w:txbxContent>
                    <w:p w14:paraId="6F287DC9">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新城丽景苑</w:t>
                      </w:r>
                    </w:p>
                  </w:txbxContent>
                </v:textbox>
              </v:shape>
            </w:pict>
          </mc:Fallback>
        </mc:AlternateContent>
      </w:r>
      <w:r>
        <w:rPr>
          <w:color w:val="auto"/>
          <w:sz w:val="24"/>
        </w:rPr>
        <mc:AlternateContent>
          <mc:Choice Requires="wps">
            <w:drawing>
              <wp:anchor distT="0" distB="0" distL="114300" distR="114300" simplePos="0" relativeHeight="251709440" behindDoc="0" locked="0" layoutInCell="1" allowOverlap="1">
                <wp:simplePos x="0" y="0"/>
                <wp:positionH relativeFrom="column">
                  <wp:posOffset>6015990</wp:posOffset>
                </wp:positionH>
                <wp:positionV relativeFrom="paragraph">
                  <wp:posOffset>1606550</wp:posOffset>
                </wp:positionV>
                <wp:extent cx="144145" cy="144145"/>
                <wp:effectExtent l="4445" t="4445" r="22860" b="22860"/>
                <wp:wrapNone/>
                <wp:docPr id="85" name="椭圆 85"/>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73.7pt;margin-top:126.5pt;height:11.35pt;width:11.35pt;z-index:251709440;mso-width-relative:page;mso-height-relative:page;" fillcolor="#FFFF00" filled="t" stroked="t" coordsize="21600,21600" o:gfxdata="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OhSZ9gAAAALAQAADwAAAAAAAAABACAAAAAiAAAAZHJzL2Rvd25yZXYu&#10;eG1sUEsBAhQAFAAAAAgAh07iQCcUEhT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8416" behindDoc="0" locked="0" layoutInCell="1" allowOverlap="1">
                <wp:simplePos x="0" y="0"/>
                <wp:positionH relativeFrom="column">
                  <wp:posOffset>5870575</wp:posOffset>
                </wp:positionH>
                <wp:positionV relativeFrom="paragraph">
                  <wp:posOffset>1271905</wp:posOffset>
                </wp:positionV>
                <wp:extent cx="741680" cy="276225"/>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74168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1975A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亲水嘉苑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2.25pt;margin-top:100.15pt;height:21.75pt;width:58.4pt;z-index:251708416;mso-width-relative:page;mso-height-relative:page;" filled="f" stroked="f" coordsize="21600,21600" o:gfxdata="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8UxbdwAAAAMAQAADwAAAAAAAAABACAAAAAiAAAA&#10;ZHJzL2Rvd25yZXYueG1sUEsBAhQAFAAAAAgAh07iQCW+bvI8AgAAZwQAAA4AAAAAAAAAAQAgAAAA&#10;KwEAAGRycy9lMm9Eb2MueG1sUEsFBgAAAAAGAAYAWQEAANkFAAAAAA==&#10;">
                <v:fill on="f" focussize="0,0"/>
                <v:stroke on="f" weight="0.5pt"/>
                <v:imagedata o:title=""/>
                <o:lock v:ext="edit" aspectratio="f"/>
                <v:textbox>
                  <w:txbxContent>
                    <w:p w14:paraId="151975A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亲水嘉苑</w:t>
                      </w:r>
                    </w:p>
                  </w:txbxContent>
                </v:textbox>
              </v:shape>
            </w:pict>
          </mc:Fallback>
        </mc:AlternateContent>
      </w:r>
      <w:r>
        <w:rPr>
          <w:color w:val="auto"/>
          <w:sz w:val="24"/>
        </w:rPr>
        <mc:AlternateContent>
          <mc:Choice Requires="wps">
            <w:drawing>
              <wp:anchor distT="0" distB="0" distL="114300" distR="114300" simplePos="0" relativeHeight="251717632" behindDoc="0" locked="0" layoutInCell="1" allowOverlap="1">
                <wp:simplePos x="0" y="0"/>
                <wp:positionH relativeFrom="column">
                  <wp:posOffset>5237480</wp:posOffset>
                </wp:positionH>
                <wp:positionV relativeFrom="paragraph">
                  <wp:posOffset>876935</wp:posOffset>
                </wp:positionV>
                <wp:extent cx="626110" cy="276225"/>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1C95B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前花园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4pt;margin-top:69.05pt;height:21.75pt;width:49.3pt;z-index:251717632;mso-width-relative:page;mso-height-relative:page;" filled="f" stroked="f" coordsize="21600,21600" o:gfxdata="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ryEGbbAAAACwEAAA8AAAAAAAAAAQAgAAAAIgAAAGRy&#10;cy9kb3ducmV2LnhtbFBLAQIUABQAAAAIAIdO4kDbBLGSOwIAAGcEAAAOAAAAAAAAAAEAIAAAACoB&#10;AABkcnMvZTJvRG9jLnhtbFBLBQYAAAAABgAGAFkBAADXBQAAAAA=&#10;">
                <v:fill on="f" focussize="0,0"/>
                <v:stroke on="f" weight="0.5pt"/>
                <v:imagedata o:title=""/>
                <o:lock v:ext="edit" aspectratio="f"/>
                <v:textbox>
                  <w:txbxContent>
                    <w:p w14:paraId="241C95B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前花园</w:t>
                      </w:r>
                    </w:p>
                  </w:txbxContent>
                </v:textbox>
              </v:shape>
            </w:pict>
          </mc:Fallback>
        </mc:AlternateContent>
      </w:r>
      <w:r>
        <w:rPr>
          <w:color w:val="auto"/>
          <w:sz w:val="24"/>
        </w:rPr>
        <mc:AlternateContent>
          <mc:Choice Requires="wps">
            <w:drawing>
              <wp:anchor distT="0" distB="0" distL="114300" distR="114300" simplePos="0" relativeHeight="251704320" behindDoc="0" locked="0" layoutInCell="1" allowOverlap="1">
                <wp:simplePos x="0" y="0"/>
                <wp:positionH relativeFrom="column">
                  <wp:posOffset>5720080</wp:posOffset>
                </wp:positionH>
                <wp:positionV relativeFrom="paragraph">
                  <wp:posOffset>1026160</wp:posOffset>
                </wp:positionV>
                <wp:extent cx="144145" cy="144145"/>
                <wp:effectExtent l="4445" t="4445" r="22860" b="22860"/>
                <wp:wrapNone/>
                <wp:docPr id="72" name="椭圆 7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50.4pt;margin-top:80.8pt;height:11.35pt;width:11.35pt;z-index:251704320;mso-width-relative:page;mso-height-relative:page;" fillcolor="#FFFF00" filled="t" stroked="t" coordsize="21600,21600" o:gfxdata="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FHqki1wAAAAsBAAAPAAAAAAAAAAEAIAAAACIAAABkcnMvZG93bnJldi54&#10;bWxQSwECFAAUAAAACACHTuJALYZG5f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3296" behindDoc="0" locked="0" layoutInCell="1" allowOverlap="1">
                <wp:simplePos x="0" y="0"/>
                <wp:positionH relativeFrom="column">
                  <wp:posOffset>5887720</wp:posOffset>
                </wp:positionH>
                <wp:positionV relativeFrom="paragraph">
                  <wp:posOffset>1233805</wp:posOffset>
                </wp:positionV>
                <wp:extent cx="144145" cy="144145"/>
                <wp:effectExtent l="4445" t="4445" r="22860" b="22860"/>
                <wp:wrapNone/>
                <wp:docPr id="40" name="椭圆 4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63.6pt;margin-top:97.15pt;height:11.35pt;width:11.35pt;z-index:251703296;mso-width-relative:page;mso-height-relative:page;" fillcolor="#FFFF00" filled="t" stroked="t" coordsize="21600,21600" o:gfxdata="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vkhXdgAAAALAQAADwAAAAAAAAABACAAAAAiAAAAZHJzL2Rvd25yZXYu&#10;eG1sUEsBAhQAFAAAAAgAh07iQIx+1uH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6368" behindDoc="0" locked="0" layoutInCell="1" allowOverlap="1">
                <wp:simplePos x="0" y="0"/>
                <wp:positionH relativeFrom="column">
                  <wp:posOffset>4483735</wp:posOffset>
                </wp:positionH>
                <wp:positionV relativeFrom="paragraph">
                  <wp:posOffset>1646555</wp:posOffset>
                </wp:positionV>
                <wp:extent cx="1032510" cy="276225"/>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0325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647B4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星河花园小区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3.05pt;margin-top:129.65pt;height:21.75pt;width:81.3pt;z-index:251706368;mso-width-relative:page;mso-height-relative:page;" filled="f" stroked="f" coordsize="21600,21600" o:gfxdata="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TWkYTcAAAACwEAAA8AAAAAAAAAAQAgAAAAIgAA&#10;AGRycy9kb3ducmV2LnhtbFBLAQIUABQAAAAIAIdO4kCMvDGyPQIAAGgEAAAOAAAAAAAAAAEAIAAA&#10;ACsBAABkcnMvZTJvRG9jLnhtbFBLBQYAAAAABgAGAFkBAADaBQAAAAA=&#10;">
                <v:fill on="f" focussize="0,0"/>
                <v:stroke on="f" weight="0.5pt"/>
                <v:imagedata o:title=""/>
                <o:lock v:ext="edit" aspectratio="f"/>
                <v:textbox>
                  <w:txbxContent>
                    <w:p w14:paraId="63647B4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星河花园小区</w:t>
                      </w:r>
                    </w:p>
                  </w:txbxContent>
                </v:textbox>
              </v:shape>
            </w:pict>
          </mc:Fallback>
        </mc:AlternateContent>
      </w:r>
      <w:r>
        <w:rPr>
          <w:color w:val="auto"/>
          <w:sz w:val="24"/>
        </w:rPr>
        <mc:AlternateContent>
          <mc:Choice Requires="wps">
            <w:drawing>
              <wp:anchor distT="0" distB="0" distL="114300" distR="114300" simplePos="0" relativeHeight="251701248" behindDoc="0" locked="0" layoutInCell="1" allowOverlap="1">
                <wp:simplePos x="0" y="0"/>
                <wp:positionH relativeFrom="column">
                  <wp:posOffset>5311140</wp:posOffset>
                </wp:positionH>
                <wp:positionV relativeFrom="paragraph">
                  <wp:posOffset>1847850</wp:posOffset>
                </wp:positionV>
                <wp:extent cx="144145" cy="144145"/>
                <wp:effectExtent l="4445" t="4445" r="22860" b="22860"/>
                <wp:wrapNone/>
                <wp:docPr id="37" name="椭圆 3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18.2pt;margin-top:145.5pt;height:11.35pt;width:11.35pt;z-index:251701248;mso-width-relative:page;mso-height-relative:page;" fillcolor="#FFFF00" filled="t" stroked="t" coordsize="21600,21600" o:gfxdata="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QZD19gAAAALAQAADwAAAAAAAAABACAAAAAiAAAAZHJzL2Rvd25yZXYu&#10;eG1sUEsBAhQAFAAAAAgAh07iQCBYpjf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2272" behindDoc="0" locked="0" layoutInCell="1" allowOverlap="1">
                <wp:simplePos x="0" y="0"/>
                <wp:positionH relativeFrom="column">
                  <wp:posOffset>5198110</wp:posOffset>
                </wp:positionH>
                <wp:positionV relativeFrom="paragraph">
                  <wp:posOffset>2040255</wp:posOffset>
                </wp:positionV>
                <wp:extent cx="144145" cy="144145"/>
                <wp:effectExtent l="4445" t="4445" r="22860" b="22860"/>
                <wp:wrapNone/>
                <wp:docPr id="39" name="椭圆 39"/>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09.3pt;margin-top:160.65pt;height:11.35pt;width:11.35pt;z-index:251702272;mso-width-relative:page;mso-height-relative:page;" fillcolor="#FFFF00" filled="t" stroked="t" coordsize="21600,21600" o:gfxdata="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gSFYrWAAAACwEAAA8AAAAAAAAAAQAgAAAAIgAAAGRycy9kb3ducmV2Lnht&#10;bFBLAQIUABQAAAAIAIdO4kDFU/CQ+wEAABcEAAAOAAAAAAAAAAEAIAAAACUBAABkcnMvZTJvRG9j&#10;LnhtbFBLBQYAAAAABgAGAFkBAACS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5344" behindDoc="0" locked="0" layoutInCell="1" allowOverlap="1">
                <wp:simplePos x="0" y="0"/>
                <wp:positionH relativeFrom="column">
                  <wp:posOffset>5112385</wp:posOffset>
                </wp:positionH>
                <wp:positionV relativeFrom="paragraph">
                  <wp:posOffset>1242060</wp:posOffset>
                </wp:positionV>
                <wp:extent cx="626110" cy="276225"/>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3406A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垄庄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2.55pt;margin-top:97.8pt;height:21.75pt;width:49.3pt;z-index:251705344;mso-width-relative:page;mso-height-relative:page;" filled="f" stroked="f" coordsize="21600,21600" o:gfxdata="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&#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MAqFY3AAAAAsBAAAPAAAAAAAAAAEAIAAAACIAAABk&#10;cnMvZG93bnJldi54bWxQSwECFAAUAAAACACHTuJACdgznjsCAABnBAAADgAAAAAAAAABACAAAAAr&#10;AQAAZHJzL2Uyb0RvYy54bWxQSwUGAAAAAAYABgBZAQAA2AUAAAAA&#10;">
                <v:fill on="f" focussize="0,0"/>
                <v:stroke on="f" weight="0.5pt"/>
                <v:imagedata o:title=""/>
                <o:lock v:ext="edit" aspectratio="f"/>
                <v:textbox>
                  <w:txbxContent>
                    <w:p w14:paraId="353406A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垄庄</w:t>
                      </w:r>
                    </w:p>
                  </w:txbxContent>
                </v:textbox>
              </v:shape>
            </w:pict>
          </mc:Fallback>
        </mc:AlternateContent>
      </w:r>
      <w:r>
        <w:rPr>
          <w:color w:val="auto"/>
          <w:sz w:val="24"/>
        </w:rPr>
        <mc:AlternateContent>
          <mc:Choice Requires="wps">
            <w:drawing>
              <wp:anchor distT="0" distB="0" distL="114300" distR="114300" simplePos="0" relativeHeight="251700224" behindDoc="0" locked="0" layoutInCell="1" allowOverlap="1">
                <wp:simplePos x="0" y="0"/>
                <wp:positionH relativeFrom="column">
                  <wp:posOffset>5063490</wp:posOffset>
                </wp:positionH>
                <wp:positionV relativeFrom="paragraph">
                  <wp:posOffset>1211580</wp:posOffset>
                </wp:positionV>
                <wp:extent cx="144145" cy="144145"/>
                <wp:effectExtent l="4445" t="4445" r="22860" b="22860"/>
                <wp:wrapNone/>
                <wp:docPr id="36" name="椭圆 36"/>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98.7pt;margin-top:95.4pt;height:11.35pt;width:11.35pt;z-index:251700224;mso-width-relative:page;mso-height-relative:page;" fillcolor="#FFFF00" filled="t" stroked="t" coordsize="21600,21600" o:gfxdata="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LL90o1wAAAAsBAAAPAAAAAAAAAAEAIAAAACIAAABkcnMvZG93bnJldi54&#10;bWxQSwECFAAUAAAACACHTuJAZtkWCP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9200" behindDoc="0" locked="0" layoutInCell="1" allowOverlap="1">
                <wp:simplePos x="0" y="0"/>
                <wp:positionH relativeFrom="column">
                  <wp:posOffset>4279265</wp:posOffset>
                </wp:positionH>
                <wp:positionV relativeFrom="paragraph">
                  <wp:posOffset>1068705</wp:posOffset>
                </wp:positionV>
                <wp:extent cx="626110" cy="276225"/>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D148C6">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张演庄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6.95pt;margin-top:84.15pt;height:21.75pt;width:49.3pt;z-index:251699200;mso-width-relative:page;mso-height-relative:page;" filled="f" stroked="f" coordsize="21600,21600" o:gfxdata="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&#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8Y6v9wAAAALAQAADwAAAAAAAAABACAAAAAiAAAA&#10;ZHJzL2Rvd25yZXYueG1sUEsBAhQAFAAAAAgAh07iQIE14cE8AgAAZwQAAA4AAAAAAAAAAQAgAAAA&#10;KwEAAGRycy9lMm9Eb2MueG1sUEsFBgAAAAAGAAYAWQEAANkFAAAAAA==&#10;">
                <v:fill on="f" focussize="0,0"/>
                <v:stroke on="f" weight="0.5pt"/>
                <v:imagedata o:title=""/>
                <o:lock v:ext="edit" aspectratio="f"/>
                <v:textbox>
                  <w:txbxContent>
                    <w:p w14:paraId="79D148C6">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张演庄</w:t>
                      </w:r>
                    </w:p>
                  </w:txbxContent>
                </v:textbox>
              </v:shape>
            </w:pict>
          </mc:Fallback>
        </mc:AlternateContent>
      </w:r>
      <w:r>
        <w:rPr>
          <w:color w:val="auto"/>
          <w:sz w:val="24"/>
        </w:rPr>
        <mc:AlternateContent>
          <mc:Choice Requires="wps">
            <w:drawing>
              <wp:anchor distT="0" distB="0" distL="114300" distR="114300" simplePos="0" relativeHeight="251698176" behindDoc="0" locked="0" layoutInCell="1" allowOverlap="1">
                <wp:simplePos x="0" y="0"/>
                <wp:positionH relativeFrom="column">
                  <wp:posOffset>4290695</wp:posOffset>
                </wp:positionH>
                <wp:positionV relativeFrom="paragraph">
                  <wp:posOffset>996315</wp:posOffset>
                </wp:positionV>
                <wp:extent cx="144145" cy="144145"/>
                <wp:effectExtent l="4445" t="4445" r="22860" b="22860"/>
                <wp:wrapNone/>
                <wp:docPr id="17" name="椭圆 1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37.85pt;margin-top:78.45pt;height:11.35pt;width:11.35pt;z-index:251698176;mso-width-relative:page;mso-height-relative:page;" fillcolor="#FFFF00" filled="t" stroked="t" coordsize="21600,21600" o:gfxdata="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JXZEtcAAAALAQAADwAAAAAAAAABACAAAAAiAAAAZHJzL2Rvd25yZXYu&#10;eG1sUEsBAhQAFAAAAAgAh07iQCn219P8AQAAFw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7152" behindDoc="0" locked="0" layoutInCell="1" allowOverlap="1">
                <wp:simplePos x="0" y="0"/>
                <wp:positionH relativeFrom="column">
                  <wp:posOffset>2949575</wp:posOffset>
                </wp:positionH>
                <wp:positionV relativeFrom="paragraph">
                  <wp:posOffset>1372235</wp:posOffset>
                </wp:positionV>
                <wp:extent cx="626110" cy="27622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914AA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刘桥镇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25pt;margin-top:108.05pt;height:21.75pt;width:49.3pt;z-index:251697152;mso-width-relative:page;mso-height-relative:page;" filled="f" stroked="f" coordsize="21600,21600" o:gfxdata="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uXHfX9sAAAALAQAADwAAAAAAAAABACAAAAAiAAAAZHJz&#10;L2Rvd25yZXYueG1sUEsBAhQAFAAAAAgAh07iQPXNJBM6AgAAZwQAAA4AAAAAAAAAAQAgAAAAKgEA&#10;AGRycy9lMm9Eb2MueG1sUEsFBgAAAAAGAAYAWQEAANYFAAAAAA==&#10;">
                <v:fill on="f" focussize="0,0"/>
                <v:stroke on="f" weight="0.5pt"/>
                <v:imagedata o:title=""/>
                <o:lock v:ext="edit" aspectratio="f"/>
                <v:textbox>
                  <w:txbxContent>
                    <w:p w14:paraId="46914AA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刘桥镇</w:t>
                      </w:r>
                    </w:p>
                  </w:txbxContent>
                </v:textbox>
              </v:shape>
            </w:pict>
          </mc:Fallback>
        </mc:AlternateContent>
      </w:r>
      <w:r>
        <w:rPr>
          <w:color w:val="auto"/>
          <w:sz w:val="24"/>
        </w:rPr>
        <mc:AlternateContent>
          <mc:Choice Requires="wps">
            <w:drawing>
              <wp:anchor distT="0" distB="0" distL="114300" distR="114300" simplePos="0" relativeHeight="251693056" behindDoc="0" locked="0" layoutInCell="1" allowOverlap="1">
                <wp:simplePos x="0" y="0"/>
                <wp:positionH relativeFrom="column">
                  <wp:posOffset>2893060</wp:posOffset>
                </wp:positionH>
                <wp:positionV relativeFrom="paragraph">
                  <wp:posOffset>1292860</wp:posOffset>
                </wp:positionV>
                <wp:extent cx="144145" cy="144145"/>
                <wp:effectExtent l="4445" t="4445" r="22860" b="22860"/>
                <wp:wrapNone/>
                <wp:docPr id="27" name="椭圆 2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27.8pt;margin-top:101.8pt;height:11.35pt;width:11.35pt;z-index:251693056;mso-width-relative:page;mso-height-relative:page;" fillcolor="#FFFF00" filled="t" stroked="t" coordsize="21600,21600" o:gfxdata="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iecI21wAAAAsBAAAPAAAAAAAAAAEAIAAAACIAAABkcnMvZG93bnJldi54&#10;bWxQSwECFAAUAAAACACHTuJABAwmqP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6128" behindDoc="0" locked="0" layoutInCell="1" allowOverlap="1">
                <wp:simplePos x="0" y="0"/>
                <wp:positionH relativeFrom="column">
                  <wp:posOffset>2640965</wp:posOffset>
                </wp:positionH>
                <wp:positionV relativeFrom="paragraph">
                  <wp:posOffset>2594610</wp:posOffset>
                </wp:positionV>
                <wp:extent cx="626110" cy="276225"/>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AA926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小城村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7.95pt;margin-top:204.3pt;height:21.75pt;width:49.3pt;z-index:251696128;mso-width-relative:page;mso-height-relative:page;" filled="f" stroked="f" coordsize="21600,21600" o:gfxdata="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OjF6LaAAAACwEAAA8AAAAAAAAAAQAgAAAAIgAAAGRycy9k&#10;b3ducmV2LnhtbFBLAQIUABQAAAAIAIdO4kBaShDxOQIAAGcEAAAOAAAAAAAAAAEAIAAAACkBAABk&#10;cnMvZTJvRG9jLnhtbFBLBQYAAAAABgAGAFkBAADUBQAAAAA=&#10;">
                <v:fill on="f" focussize="0,0"/>
                <v:stroke on="f" weight="0.5pt"/>
                <v:imagedata o:title=""/>
                <o:lock v:ext="edit" aspectratio="f"/>
                <v:textbox>
                  <w:txbxContent>
                    <w:p w14:paraId="69AA926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小城村</w:t>
                      </w:r>
                    </w:p>
                  </w:txbxContent>
                </v:textbox>
              </v:shape>
            </w:pict>
          </mc:Fallback>
        </mc:AlternateContent>
      </w:r>
      <w:r>
        <w:rPr>
          <w:color w:val="auto"/>
          <w:sz w:val="24"/>
        </w:rPr>
        <mc:AlternateContent>
          <mc:Choice Requires="wps">
            <w:drawing>
              <wp:anchor distT="0" distB="0" distL="114300" distR="114300" simplePos="0" relativeHeight="251692032" behindDoc="0" locked="0" layoutInCell="1" allowOverlap="1">
                <wp:simplePos x="0" y="0"/>
                <wp:positionH relativeFrom="column">
                  <wp:posOffset>2645410</wp:posOffset>
                </wp:positionH>
                <wp:positionV relativeFrom="paragraph">
                  <wp:posOffset>2508885</wp:posOffset>
                </wp:positionV>
                <wp:extent cx="144145" cy="144145"/>
                <wp:effectExtent l="4445" t="4445" r="22860" b="22860"/>
                <wp:wrapNone/>
                <wp:docPr id="26" name="椭圆 26"/>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08.3pt;margin-top:197.55pt;height:11.35pt;width:11.35pt;z-index:251692032;mso-width-relative:page;mso-height-relative:page;" fillcolor="#FFFF00" filled="t" stroked="t" coordsize="21600,21600" o:gfxdata="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EXYF41wAAAAsBAAAPAAAAAAAAAAEAIAAAACIAAABkcnMvZG93bnJldi54&#10;bWxQSwECFAAUAAAACACHTuJAQo2Wl/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5104" behindDoc="0" locked="0" layoutInCell="1" allowOverlap="1">
                <wp:simplePos x="0" y="0"/>
                <wp:positionH relativeFrom="column">
                  <wp:posOffset>3237230</wp:posOffset>
                </wp:positionH>
                <wp:positionV relativeFrom="paragraph">
                  <wp:posOffset>2401570</wp:posOffset>
                </wp:positionV>
                <wp:extent cx="626110" cy="276225"/>
                <wp:effectExtent l="0" t="0" r="0" b="0"/>
                <wp:wrapNone/>
                <wp:docPr id="9" name="文本框 9"/>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29B57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杜庄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4.9pt;margin-top:189.1pt;height:21.75pt;width:49.3pt;z-index:251695104;mso-width-relative:page;mso-height-relative:page;" filled="f" stroked="f" coordsize="21600,21600" o:gfxdata="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VvXG3QAAAAsBAAAPAAAAAAAAAAEAIAAAACIAAABk&#10;cnMvZG93bnJldi54bWxQSwECFAAUAAAACACHTuJA13dnwToCAABlBAAADgAAAAAAAAABACAAAAAs&#10;AQAAZHJzL2Uyb0RvYy54bWxQSwUGAAAAAAYABgBZAQAA2AUAAAAA&#10;">
                <v:fill on="f" focussize="0,0"/>
                <v:stroke on="f" weight="0.5pt"/>
                <v:imagedata o:title=""/>
                <o:lock v:ext="edit" aspectratio="f"/>
                <v:textbox>
                  <w:txbxContent>
                    <w:p w14:paraId="5B29B57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杜庄</w:t>
                      </w:r>
                    </w:p>
                  </w:txbxContent>
                </v:textbox>
              </v:shape>
            </w:pict>
          </mc:Fallback>
        </mc:AlternateContent>
      </w:r>
      <w:r>
        <w:rPr>
          <w:color w:val="auto"/>
          <w:sz w:val="24"/>
        </w:rPr>
        <mc:AlternateContent>
          <mc:Choice Requires="wps">
            <w:drawing>
              <wp:anchor distT="0" distB="0" distL="114300" distR="114300" simplePos="0" relativeHeight="251691008" behindDoc="0" locked="0" layoutInCell="1" allowOverlap="1">
                <wp:simplePos x="0" y="0"/>
                <wp:positionH relativeFrom="column">
                  <wp:posOffset>3180080</wp:posOffset>
                </wp:positionH>
                <wp:positionV relativeFrom="paragraph">
                  <wp:posOffset>2336165</wp:posOffset>
                </wp:positionV>
                <wp:extent cx="144145" cy="144145"/>
                <wp:effectExtent l="4445" t="4445" r="22860" b="22860"/>
                <wp:wrapNone/>
                <wp:docPr id="25" name="椭圆 25"/>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50.4pt;margin-top:183.95pt;height:11.35pt;width:11.35pt;z-index:251691008;mso-width-relative:page;mso-height-relative:page;" fillcolor="#FFFF00" filled="t" stroked="t" coordsize="21600,21600" o:gfxdata="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bcPnrzizYKjjv77/&#10;+PntK6MNcmf0WFPSnb8NpxVSmKQeumDSl0SwQ3b0eHZUHiITtFktFtWCgAUdnWJCKR5+9gHjB+kM&#10;S0HDpdbUvqQZath/xDhl/8lK2+i0ajdK67wI/fadDmwP1N8NPWVuKRW4SNOWjQ1/Wb1JVICGtqNh&#10;odB4Eo62z/Uu/sDHwGV+khvXwInYGnCYCGSEaaQGCe1727J49OSopZvEEwUjW860pIuXIgKEOoLS&#10;/8hEc5lIlbUlAqkfUwdStHXtkfq380H1A/lXZZLphOYl0z3NdhrIx+uM9HCfV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epMqNgAAAALAQAADwAAAAAAAAABACAAAAAiAAAAZHJzL2Rvd25yZXYu&#10;eG1sUEsBAhQAFAAAAAgAh07iQIgOR9f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4080" behindDoc="0" locked="0" layoutInCell="1" allowOverlap="1">
                <wp:simplePos x="0" y="0"/>
                <wp:positionH relativeFrom="column">
                  <wp:posOffset>3561080</wp:posOffset>
                </wp:positionH>
                <wp:positionV relativeFrom="paragraph">
                  <wp:posOffset>3079115</wp:posOffset>
                </wp:positionV>
                <wp:extent cx="626110" cy="276225"/>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4AD06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赵楼村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4pt;margin-top:242.45pt;height:21.75pt;width:49.3pt;z-index:251694080;mso-width-relative:page;mso-height-relative:page;" filled="f" stroked="f" coordsize="21600,21600" o:gfxdata="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&#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13BqG3AAAAAsBAAAPAAAAAAAAAAEAIAAAACIAAABk&#10;cnMvZG93bnJldi54bWxQSwECFAAUAAAACACHTuJA20oiKTsCAABnBAAADgAAAAAAAAABACAAAAAr&#10;AQAAZHJzL2Uyb0RvYy54bWxQSwUGAAAAAAYABgBZAQAA2AUAAAAA&#10;">
                <v:fill on="f" focussize="0,0"/>
                <v:stroke on="f" weight="0.5pt"/>
                <v:imagedata o:title=""/>
                <o:lock v:ext="edit" aspectratio="f"/>
                <v:textbox>
                  <w:txbxContent>
                    <w:p w14:paraId="1A4AD06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赵楼村</w:t>
                      </w:r>
                    </w:p>
                  </w:txbxContent>
                </v:textbox>
              </v:shape>
            </w:pict>
          </mc:Fallback>
        </mc:AlternateContent>
      </w:r>
      <w:r>
        <w:rPr>
          <w:color w:val="auto"/>
          <w:sz w:val="24"/>
        </w:rPr>
        <mc:AlternateContent>
          <mc:Choice Requires="wps">
            <w:drawing>
              <wp:anchor distT="0" distB="0" distL="114300" distR="114300" simplePos="0" relativeHeight="251689984" behindDoc="0" locked="0" layoutInCell="1" allowOverlap="1">
                <wp:simplePos x="0" y="0"/>
                <wp:positionH relativeFrom="column">
                  <wp:posOffset>3538220</wp:posOffset>
                </wp:positionH>
                <wp:positionV relativeFrom="paragraph">
                  <wp:posOffset>3040380</wp:posOffset>
                </wp:positionV>
                <wp:extent cx="144145" cy="144145"/>
                <wp:effectExtent l="4445" t="4445" r="22860" b="22860"/>
                <wp:wrapNone/>
                <wp:docPr id="24" name="椭圆 24"/>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78.6pt;margin-top:239.4pt;height:11.35pt;width:11.35pt;z-index:251689984;mso-width-relative:page;mso-height-relative:page;" fillcolor="#FFFF00" filled="t" stroked="t" coordsize="21600,21600" o:gfxdata="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bcPnC84sGOr4r+8/&#10;fn77ymiD3Bk91pR052/DaYUUJqmHLpj0JRHskB09nh2Vh8gEbVaLRbV4xZmgo1NMKMXDzz5g/CCd&#10;YSlouNSa2pc0Qw37jxin7D9ZaRudVu1GaZ0Xod++04Htgfq7oafMLaUCF2nasrHhL6s3iQrQ0HY0&#10;LBQaT8LR9rnexR/4GLjMT3LjGjgRWwMOE4GMMI3UIKF9b1sWj54ctXSTeKJgZMuZlnTxUkSAUEdQ&#10;+h+ZaC4TqbK2RCD1Y+pAirauPVL/dj6ofiD/qkwyndC8ZLqn2U4D+XidkR7u8+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reXEJNgAAAALAQAADwAAAAAAAAABACAAAAAiAAAAZHJzL2Rvd25yZXYu&#10;eG1sUEsBAhQAFAAAAAgAh07iQM6P9+j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8960" behindDoc="0" locked="0" layoutInCell="1" allowOverlap="1">
                <wp:simplePos x="0" y="0"/>
                <wp:positionH relativeFrom="column">
                  <wp:posOffset>3281045</wp:posOffset>
                </wp:positionH>
                <wp:positionV relativeFrom="paragraph">
                  <wp:posOffset>4973955</wp:posOffset>
                </wp:positionV>
                <wp:extent cx="639445" cy="27622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63944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782347">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黄大庄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8.35pt;margin-top:391.65pt;height:21.75pt;width:50.35pt;z-index:251688960;mso-width-relative:page;mso-height-relative:page;" filled="f" stroked="f" coordsize="21600,21600" o:gfxdata="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iqN2J3AAAAAsBAAAPAAAAAAAAAAEAIAAAACIAAABk&#10;cnMvZG93bnJldi54bWxQSwECFAAUAAAACACHTuJA5g5guTsCAABnBAAADgAAAAAAAAABACAAAAAr&#10;AQAAZHJzL2Uyb0RvYy54bWxQSwUGAAAAAAYABgBZAQAA2AUAAAAA&#10;">
                <v:fill on="f" focussize="0,0"/>
                <v:stroke on="f" weight="0.5pt"/>
                <v:imagedata o:title=""/>
                <o:lock v:ext="edit" aspectratio="f"/>
                <v:textbox>
                  <w:txbxContent>
                    <w:p w14:paraId="46782347">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黄大庄</w:t>
                      </w:r>
                    </w:p>
                  </w:txbxContent>
                </v:textbox>
              </v:shape>
            </w:pict>
          </mc:Fallback>
        </mc:AlternateContent>
      </w:r>
      <w:r>
        <w:rPr>
          <w:color w:val="auto"/>
        </w:rPr>
        <w:drawing>
          <wp:inline distT="0" distB="0" distL="114300" distR="114300">
            <wp:extent cx="7426960" cy="6083935"/>
            <wp:effectExtent l="0" t="0" r="2540" b="12065"/>
            <wp:docPr id="11" name="图片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
                    <pic:cNvPicPr>
                      <a:picLocks noChangeAspect="1"/>
                    </pic:cNvPicPr>
                  </pic:nvPicPr>
                  <pic:blipFill>
                    <a:blip r:embed="rId17"/>
                    <a:stretch>
                      <a:fillRect/>
                    </a:stretch>
                  </pic:blipFill>
                  <pic:spPr>
                    <a:xfrm>
                      <a:off x="0" y="0"/>
                      <a:ext cx="7426960" cy="6083935"/>
                    </a:xfrm>
                    <a:prstGeom prst="rect">
                      <a:avLst/>
                    </a:prstGeom>
                  </pic:spPr>
                </pic:pic>
              </a:graphicData>
            </a:graphic>
          </wp:inline>
        </w:drawing>
      </w:r>
      <w:r>
        <w:rPr>
          <w:color w:val="auto"/>
          <w:sz w:val="24"/>
        </w:rPr>
        <mc:AlternateContent>
          <mc:Choice Requires="wps">
            <w:drawing>
              <wp:anchor distT="0" distB="0" distL="114300" distR="114300" simplePos="0" relativeHeight="251687936" behindDoc="0" locked="0" layoutInCell="1" allowOverlap="1">
                <wp:simplePos x="0" y="0"/>
                <wp:positionH relativeFrom="column">
                  <wp:posOffset>3275965</wp:posOffset>
                </wp:positionH>
                <wp:positionV relativeFrom="paragraph">
                  <wp:posOffset>4968875</wp:posOffset>
                </wp:positionV>
                <wp:extent cx="144145" cy="144145"/>
                <wp:effectExtent l="4445" t="4445" r="22860" b="22860"/>
                <wp:wrapNone/>
                <wp:docPr id="22" name="椭圆 2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57.95pt;margin-top:391.25pt;height:11.35pt;width:11.35pt;z-index:251687936;mso-width-relative:page;mso-height-relative:page;" fillcolor="#FFFF00" filled="t" stroked="t" coordsize="21600,21600" o:gfxdata="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F+5Ph1wAAAAsBAAAPAAAAAAAAAAEAIAAAACIAAABkcnMvZG93bnJldi54&#10;bWxQSwECFAAUAAAACACHTuJAWohUaf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4864" behindDoc="0" locked="0" layoutInCell="1" allowOverlap="1">
                <wp:simplePos x="0" y="0"/>
                <wp:positionH relativeFrom="column">
                  <wp:posOffset>4318635</wp:posOffset>
                </wp:positionH>
                <wp:positionV relativeFrom="paragraph">
                  <wp:posOffset>626745</wp:posOffset>
                </wp:positionV>
                <wp:extent cx="851535" cy="243205"/>
                <wp:effectExtent l="0" t="0" r="0" b="0"/>
                <wp:wrapNone/>
                <wp:docPr id="19" name="文本框 19"/>
                <wp:cNvGraphicFramePr/>
                <a:graphic xmlns:a="http://schemas.openxmlformats.org/drawingml/2006/main">
                  <a:graphicData uri="http://schemas.microsoft.com/office/word/2010/wordprocessingShape">
                    <wps:wsp>
                      <wps:cNvSpPr txBox="1"/>
                      <wps:spPr>
                        <a:xfrm>
                          <a:off x="4671060" y="1358900"/>
                          <a:ext cx="851535" cy="2432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8A835B">
                            <w:pPr>
                              <w:spacing w:line="240" w:lineRule="auto"/>
                              <w:jc w:val="center"/>
                              <w:rPr>
                                <w:rFonts w:hint="default" w:eastAsia="宋体"/>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5000m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0.05pt;margin-top:49.35pt;height:19.15pt;width:67.05pt;z-index:251684864;mso-width-relative:page;mso-height-relative:page;" filled="f" stroked="f" coordsize="21600,21600" o:gfxdata="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IjyLVbaAAAACgEAAA8AAAAAAAAA&#10;AQAgAAAAIgAAAGRycy9kb3ducmV2LnhtbFBLAQIUABQAAAAIAIdO4kBlmdLzSAIAAHMEAAAOAAAA&#10;AAAAAAEAIAAAACkBAABkcnMvZTJvRG9jLnhtbFBLBQYAAAAABgAGAFkBAADjBQAAAAA=&#10;">
                <v:fill on="f" focussize="0,0"/>
                <v:stroke on="f" weight="0.5pt"/>
                <v:imagedata o:title=""/>
                <o:lock v:ext="edit" aspectratio="f"/>
                <v:textbox>
                  <w:txbxContent>
                    <w:p w14:paraId="578A835B">
                      <w:pPr>
                        <w:spacing w:line="240" w:lineRule="auto"/>
                        <w:jc w:val="center"/>
                        <w:rPr>
                          <w:rFonts w:hint="default" w:eastAsia="宋体"/>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5000m</w:t>
                      </w:r>
                    </w:p>
                  </w:txbxContent>
                </v:textbox>
              </v:shape>
            </w:pict>
          </mc:Fallback>
        </mc:AlternateContent>
      </w:r>
      <w:r>
        <w:rPr>
          <w:color w:val="auto"/>
          <w:sz w:val="24"/>
        </w:rPr>
        <mc:AlternateContent>
          <mc:Choice Requires="wps">
            <w:drawing>
              <wp:anchor distT="0" distB="0" distL="114300" distR="114300" simplePos="0" relativeHeight="251676672" behindDoc="0" locked="0" layoutInCell="1" allowOverlap="1">
                <wp:simplePos x="0" y="0"/>
                <wp:positionH relativeFrom="column">
                  <wp:posOffset>1329055</wp:posOffset>
                </wp:positionH>
                <wp:positionV relativeFrom="paragraph">
                  <wp:posOffset>1579245</wp:posOffset>
                </wp:positionV>
                <wp:extent cx="633730" cy="24701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633730" cy="2470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C85307">
                            <w:pPr>
                              <w:rPr>
                                <w:rFonts w:hint="default" w:ascii="Times New Roman" w:hAnsi="Times New Roman" w:eastAsia="宋体" w:cs="Times New Roman"/>
                                <w:b/>
                                <w:bCs/>
                                <w:sz w:val="22"/>
                                <w:szCs w:val="21"/>
                                <w:lang w:val="en-US" w:eastAsia="zh-CN"/>
                              </w:rPr>
                            </w:pPr>
                            <w:r>
                              <w:rPr>
                                <w:rFonts w:hint="default" w:ascii="Times New Roman" w:hAnsi="Times New Roman" w:eastAsia="宋体" w:cs="Times New Roman"/>
                                <w:b/>
                                <w:bCs/>
                                <w:sz w:val="22"/>
                                <w:szCs w:val="21"/>
                                <w:lang w:val="en-US" w:eastAsia="zh-CN"/>
                              </w:rPr>
                              <w:t>200</w:t>
                            </w:r>
                            <w:r>
                              <w:rPr>
                                <w:rFonts w:hint="eastAsia" w:ascii="Times New Roman" w:hAnsi="Times New Roman" w:eastAsia="宋体" w:cs="Times New Roman"/>
                                <w:b/>
                                <w:bCs/>
                                <w:sz w:val="22"/>
                                <w:szCs w:val="21"/>
                                <w:lang w:val="en-US" w:eastAsia="zh-CN"/>
                              </w:rPr>
                              <w:t>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4.65pt;margin-top:124.35pt;height:19.45pt;width:49.9pt;z-index:251676672;mso-width-relative:page;mso-height-relative:page;" filled="f" stroked="f" coordsize="21600,21600" o:gfxdata="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08Aw33AAAAAsBAAAPAAAAAAAAAAEAIAAAACIAAABk&#10;cnMvZG93bnJldi54bWxQSwECFAAUAAAACACHTuJAq+zPGjsCAABnBAAADgAAAAAAAAABACAAAAAr&#10;AQAAZHJzL2Uyb0RvYy54bWxQSwUGAAAAAAYABgBZAQAA2AUAAAAA&#10;">
                <v:fill on="f" focussize="0,0"/>
                <v:stroke on="f" weight="0.5pt"/>
                <v:imagedata o:title=""/>
                <o:lock v:ext="edit" aspectratio="f"/>
                <v:textbox>
                  <w:txbxContent>
                    <w:p w14:paraId="34C85307">
                      <w:pPr>
                        <w:rPr>
                          <w:rFonts w:hint="default" w:ascii="Times New Roman" w:hAnsi="Times New Roman" w:eastAsia="宋体" w:cs="Times New Roman"/>
                          <w:b/>
                          <w:bCs/>
                          <w:sz w:val="22"/>
                          <w:szCs w:val="21"/>
                          <w:lang w:val="en-US" w:eastAsia="zh-CN"/>
                        </w:rPr>
                      </w:pPr>
                      <w:r>
                        <w:rPr>
                          <w:rFonts w:hint="default" w:ascii="Times New Roman" w:hAnsi="Times New Roman" w:eastAsia="宋体" w:cs="Times New Roman"/>
                          <w:b/>
                          <w:bCs/>
                          <w:sz w:val="22"/>
                          <w:szCs w:val="21"/>
                          <w:lang w:val="en-US" w:eastAsia="zh-CN"/>
                        </w:rPr>
                        <w:t>200</w:t>
                      </w:r>
                      <w:r>
                        <w:rPr>
                          <w:rFonts w:hint="eastAsia" w:ascii="Times New Roman" w:hAnsi="Times New Roman" w:eastAsia="宋体" w:cs="Times New Roman"/>
                          <w:b/>
                          <w:bCs/>
                          <w:sz w:val="22"/>
                          <w:szCs w:val="21"/>
                          <w:lang w:val="en-US" w:eastAsia="zh-CN"/>
                        </w:rPr>
                        <w:t>米</w:t>
                      </w:r>
                    </w:p>
                  </w:txbxContent>
                </v:textbox>
              </v:shape>
            </w:pict>
          </mc:Fallback>
        </mc:AlternateContent>
      </w:r>
      <w:r>
        <w:rPr>
          <w:color w:val="auto"/>
          <w:sz w:val="24"/>
        </w:rPr>
        <mc:AlternateContent>
          <mc:Choice Requires="wps">
            <w:drawing>
              <wp:anchor distT="0" distB="0" distL="114300" distR="114300" simplePos="0" relativeHeight="251678720" behindDoc="0" locked="0" layoutInCell="1" allowOverlap="1">
                <wp:simplePos x="0" y="0"/>
                <wp:positionH relativeFrom="column">
                  <wp:posOffset>1859280</wp:posOffset>
                </wp:positionH>
                <wp:positionV relativeFrom="paragraph">
                  <wp:posOffset>1716405</wp:posOffset>
                </wp:positionV>
                <wp:extent cx="635" cy="144145"/>
                <wp:effectExtent l="12700" t="0" r="24765" b="8255"/>
                <wp:wrapNone/>
                <wp:docPr id="76" name="直接连接符 76"/>
                <wp:cNvGraphicFramePr/>
                <a:graphic xmlns:a="http://schemas.openxmlformats.org/drawingml/2006/main">
                  <a:graphicData uri="http://schemas.microsoft.com/office/word/2010/wordprocessingShape">
                    <wps:wsp>
                      <wps:cNvCnPr/>
                      <wps:spPr>
                        <a:xfrm>
                          <a:off x="0" y="0"/>
                          <a:ext cx="635" cy="144145"/>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46.4pt;margin-top:135.15pt;height:11.35pt;width:0.05pt;z-index:251678720;mso-width-relative:page;mso-height-relative:page;" filled="f" stroked="t" coordsize="21600,21600" o:gfxdata="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WRlkfYAAAACwEAAA8AAAAA&#10;AAAAAQAgAAAAIgAAAGRycy9kb3ducmV2LnhtbFBLAQIUABQAAAAIAIdO4kDtZMtN2wEAAJ4DAAAO&#10;AAAAAAAAAAEAIAAAACcBAABkcnMvZTJvRG9jLnhtbFBLBQYAAAAABgAGAFkBAAB0BQAAAAA=&#10;">
                <v:fill on="f" focussize="0,0"/>
                <v:stroke weight="2pt" color="#000000 [3213]" joinstyle="round"/>
                <v:imagedata o:title=""/>
                <o:lock v:ext="edit" aspectratio="f"/>
              </v:line>
            </w:pict>
          </mc:Fallback>
        </mc:AlternateContent>
      </w:r>
      <w:r>
        <w:rPr>
          <w:color w:val="auto"/>
          <w:sz w:val="24"/>
        </w:rPr>
        <mc:AlternateContent>
          <mc:Choice Requires="wps">
            <w:drawing>
              <wp:anchor distT="0" distB="0" distL="114300" distR="114300" simplePos="0" relativeHeight="251677696" behindDoc="0" locked="0" layoutInCell="1" allowOverlap="1">
                <wp:simplePos x="0" y="0"/>
                <wp:positionH relativeFrom="column">
                  <wp:posOffset>1347470</wp:posOffset>
                </wp:positionH>
                <wp:positionV relativeFrom="paragraph">
                  <wp:posOffset>1716405</wp:posOffset>
                </wp:positionV>
                <wp:extent cx="635" cy="144145"/>
                <wp:effectExtent l="12700" t="0" r="24765" b="8255"/>
                <wp:wrapNone/>
                <wp:docPr id="15" name="直接连接符 15"/>
                <wp:cNvGraphicFramePr/>
                <a:graphic xmlns:a="http://schemas.openxmlformats.org/drawingml/2006/main">
                  <a:graphicData uri="http://schemas.microsoft.com/office/word/2010/wordprocessingShape">
                    <wps:wsp>
                      <wps:cNvCnPr/>
                      <wps:spPr>
                        <a:xfrm>
                          <a:off x="0" y="0"/>
                          <a:ext cx="635" cy="144145"/>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06.1pt;margin-top:135.15pt;height:11.35pt;width:0.05pt;z-index:251677696;mso-width-relative:page;mso-height-relative:page;" filled="f" stroked="t" coordsize="21600,21600" o:gfxdata="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Gsa5/DYAAAACwEAAA8AAAAA&#10;AAAAAQAgAAAAIgAAAGRycy9kb3ducmV2LnhtbFBLAQIUABQAAAAIAIdO4kBf1CiM2wEAAJ4DAAAO&#10;AAAAAAAAAAEAIAAAACcBAABkcnMvZTJvRG9jLnhtbFBLBQYAAAAABgAGAFkBAAB0BQAAAAA=&#10;">
                <v:fill on="f" focussize="0,0"/>
                <v:stroke weight="2pt" color="#000000 [3213]" joinstyle="round"/>
                <v:imagedata o:title=""/>
                <o:lock v:ext="edit" aspectratio="f"/>
              </v:line>
            </w:pict>
          </mc:Fallback>
        </mc:AlternateContent>
      </w:r>
      <w:r>
        <w:rPr>
          <w:color w:val="auto"/>
          <w:sz w:val="24"/>
        </w:rPr>
        <mc:AlternateContent>
          <mc:Choice Requires="wps">
            <w:drawing>
              <wp:anchor distT="0" distB="0" distL="114300" distR="114300" simplePos="0" relativeHeight="251675648" behindDoc="0" locked="0" layoutInCell="1" allowOverlap="1">
                <wp:simplePos x="0" y="0"/>
                <wp:positionH relativeFrom="column">
                  <wp:posOffset>1336675</wp:posOffset>
                </wp:positionH>
                <wp:positionV relativeFrom="paragraph">
                  <wp:posOffset>1875790</wp:posOffset>
                </wp:positionV>
                <wp:extent cx="539750" cy="635"/>
                <wp:effectExtent l="0" t="13970" r="12700" b="23495"/>
                <wp:wrapNone/>
                <wp:docPr id="75" name="直接连接符 75"/>
                <wp:cNvGraphicFramePr/>
                <a:graphic xmlns:a="http://schemas.openxmlformats.org/drawingml/2006/main">
                  <a:graphicData uri="http://schemas.microsoft.com/office/word/2010/wordprocessingShape">
                    <wps:wsp>
                      <wps:cNvCnPr/>
                      <wps:spPr>
                        <a:xfrm rot="10800000">
                          <a:off x="0" y="0"/>
                          <a:ext cx="539750" cy="635"/>
                        </a:xfrm>
                        <a:prstGeom prst="line">
                          <a:avLst/>
                        </a:prstGeom>
                        <a:ln w="28575">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05.25pt;margin-top:147.7pt;height:0.05pt;width:42.5pt;rotation:11796480f;z-index:251675648;mso-width-relative:page;mso-height-relative:page;" filled="f" stroked="t" coordsize="21600,21600" o:gfxdata="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CPvnW1gAA&#10;AAsBAAAPAAAAAAAAAAEAIAAAACIAAABkcnMvZG93bnJldi54bWxQSwECFAAUAAAACACHTuJAJW2j&#10;xucBAACtAwAADgAAAAAAAAABACAAAAAlAQAAZHJzL2Uyb0RvYy54bWxQSwUGAAAAAAYABgBZAQAA&#10;fgUAAAAA&#10;">
                <v:fill on="f" focussize="0,0"/>
                <v:stroke weight="2.25pt" color="#000000 [3213]" joinstyle="round"/>
                <v:imagedata o:title=""/>
                <o:lock v:ext="edit" aspectratio="f"/>
              </v:line>
            </w:pict>
          </mc:Fallback>
        </mc:AlternateContent>
      </w:r>
      <w:r>
        <w:rPr>
          <w:color w:val="auto"/>
        </w:rPr>
        <w:drawing>
          <wp:anchor distT="0" distB="0" distL="114300" distR="114300" simplePos="0" relativeHeight="251663360" behindDoc="0" locked="0" layoutInCell="1" allowOverlap="1">
            <wp:simplePos x="0" y="0"/>
            <wp:positionH relativeFrom="column">
              <wp:posOffset>1153795</wp:posOffset>
            </wp:positionH>
            <wp:positionV relativeFrom="paragraph">
              <wp:posOffset>174625</wp:posOffset>
            </wp:positionV>
            <wp:extent cx="904875" cy="1220470"/>
            <wp:effectExtent l="0" t="0" r="0" b="0"/>
            <wp:wrapNone/>
            <wp:docPr id="127" name="图片 127"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风向标"/>
                    <pic:cNvPicPr>
                      <a:picLocks noChangeAspect="1"/>
                    </pic:cNvPicPr>
                  </pic:nvPicPr>
                  <pic:blipFill>
                    <a:blip r:embed="rId18"/>
                    <a:srcRect l="8090" t="1916" r="5231" b="6034"/>
                    <a:stretch>
                      <a:fillRect/>
                    </a:stretch>
                  </pic:blipFill>
                  <pic:spPr>
                    <a:xfrm>
                      <a:off x="0" y="0"/>
                      <a:ext cx="904875" cy="1220470"/>
                    </a:xfrm>
                    <a:prstGeom prst="rect">
                      <a:avLst/>
                    </a:prstGeom>
                  </pic:spPr>
                </pic:pic>
              </a:graphicData>
            </a:graphic>
          </wp:anchor>
        </w:drawing>
      </w:r>
      <w:r>
        <w:rPr>
          <w:color w:val="auto"/>
          <w:sz w:val="20"/>
        </w:rPr>
        <mc:AlternateContent>
          <mc:Choice Requires="wps">
            <w:drawing>
              <wp:anchor distT="0" distB="0" distL="114300" distR="114300" simplePos="0" relativeHeight="251674624" behindDoc="0" locked="0" layoutInCell="1" allowOverlap="1">
                <wp:simplePos x="0" y="0"/>
                <wp:positionH relativeFrom="column">
                  <wp:posOffset>1019810</wp:posOffset>
                </wp:positionH>
                <wp:positionV relativeFrom="paragraph">
                  <wp:posOffset>81280</wp:posOffset>
                </wp:positionV>
                <wp:extent cx="1191895" cy="3192780"/>
                <wp:effectExtent l="5080" t="4445" r="22225" b="22225"/>
                <wp:wrapNone/>
                <wp:docPr id="12" name="矩形 12"/>
                <wp:cNvGraphicFramePr/>
                <a:graphic xmlns:a="http://schemas.openxmlformats.org/drawingml/2006/main">
                  <a:graphicData uri="http://schemas.microsoft.com/office/word/2010/wordprocessingShape">
                    <wps:wsp>
                      <wps:cNvSpPr/>
                      <wps:spPr>
                        <a:xfrm>
                          <a:off x="0" y="0"/>
                          <a:ext cx="1191895" cy="3192780"/>
                        </a:xfrm>
                        <a:prstGeom prst="rect">
                          <a:avLst/>
                        </a:prstGeom>
                        <a:solidFill>
                          <a:srgbClr val="FFFFFF">
                            <a:alpha val="20000"/>
                          </a:srgbClr>
                        </a:solidFill>
                        <a:ln w="9525" cap="flat" cmpd="sng">
                          <a:solidFill>
                            <a:srgbClr val="000000"/>
                          </a:solidFill>
                          <a:prstDash val="solid"/>
                          <a:miter/>
                          <a:headEnd type="none" w="med" len="med"/>
                          <a:tailEnd type="none" w="sm" len="med"/>
                        </a:ln>
                      </wps:spPr>
                      <wps:bodyPr upright="1"/>
                    </wps:wsp>
                  </a:graphicData>
                </a:graphic>
              </wp:anchor>
            </w:drawing>
          </mc:Choice>
          <mc:Fallback>
            <w:pict>
              <v:rect id="_x0000_s1026" o:spid="_x0000_s1026" o:spt="1" style="position:absolute;left:0pt;margin-left:80.3pt;margin-top:6.4pt;height:251.4pt;width:93.85pt;z-index:251674624;mso-width-relative:page;mso-height-relative:page;" fillcolor="#FFFFFF" filled="t" stroked="t" coordsize="21600,21600" o:gfxdata="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Ut+KTZAAAACgEAAA8AAAAAAAAA&#10;AQAgAAAAIgAAAGRycy9kb3ducmV2LnhtbFBLAQIUABQAAAAIAIdO4kCuRm5fEAIAAEEEAAAOAAAA&#10;AAAAAAEAIAAAACgBAABkcnMvZTJvRG9jLnhtbFBLBQYAAAAABgAGAFkBAACqBQAAAAA=&#10;">
                <v:fill on="t" opacity="13107f" focussize="0,0"/>
                <v:stroke color="#000000" joinstyle="miter" endarrowwidth="narrow"/>
                <v:imagedata o:title=""/>
                <o:lock v:ext="edit" aspectratio="f"/>
              </v:rect>
            </w:pict>
          </mc:Fallback>
        </mc:AlternateContent>
      </w:r>
      <w:r>
        <w:rPr>
          <w:color w:val="auto"/>
          <w:sz w:val="24"/>
        </w:rPr>
        <mc:AlternateContent>
          <mc:Choice Requires="wps">
            <w:drawing>
              <wp:anchor distT="0" distB="0" distL="114300" distR="114300" simplePos="0" relativeHeight="251683840" behindDoc="0" locked="0" layoutInCell="1" allowOverlap="1">
                <wp:simplePos x="0" y="0"/>
                <wp:positionH relativeFrom="column">
                  <wp:posOffset>2345690</wp:posOffset>
                </wp:positionH>
                <wp:positionV relativeFrom="paragraph">
                  <wp:posOffset>881380</wp:posOffset>
                </wp:positionV>
                <wp:extent cx="4831080" cy="4598035"/>
                <wp:effectExtent l="9525" t="9525" r="17145" b="21590"/>
                <wp:wrapNone/>
                <wp:docPr id="18" name="矩形 18"/>
                <wp:cNvGraphicFramePr/>
                <a:graphic xmlns:a="http://schemas.openxmlformats.org/drawingml/2006/main">
                  <a:graphicData uri="http://schemas.microsoft.com/office/word/2010/wordprocessingShape">
                    <wps:wsp>
                      <wps:cNvSpPr/>
                      <wps:spPr>
                        <a:xfrm>
                          <a:off x="3806825" y="2442845"/>
                          <a:ext cx="4831080" cy="4598035"/>
                        </a:xfrm>
                        <a:prstGeom prst="rect">
                          <a:avLst/>
                        </a:prstGeom>
                        <a:noFill/>
                        <a:ln w="19050">
                          <a:solidFill>
                            <a:schemeClr val="accent6"/>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4.7pt;margin-top:69.4pt;height:362.05pt;width:380.4pt;z-index:251683840;v-text-anchor:middle;mso-width-relative:page;mso-height-relative:page;" filled="f" stroked="t" coordsize="21600,21600" o:gfxdata="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GETgSzbAAAADAEAAA8AAAAAAAAAAQAgAAAAIgAAAGRycy9kb3du&#10;cmV2LnhtbFBLAQIUABQAAAAIAIdO4kBNjXPvbgIAAMMEAAAOAAAAAAAAAAEAIAAAACoBAABkcnMv&#10;ZTJvRG9jLnhtbFBLBQYAAAAABgAGAFkBAAAKBgAAAAA=&#10;">
                <v:fill on="f" focussize="0,0"/>
                <v:stroke weight="1.5pt" color="#F79646 [3209]" joinstyle="round"/>
                <v:imagedata o:title=""/>
                <o:lock v:ext="edit" aspectratio="f"/>
              </v:rect>
            </w:pict>
          </mc:Fallback>
        </mc:AlternateContent>
      </w:r>
      <w:r>
        <w:rPr>
          <w:color w:val="auto"/>
          <w:sz w:val="24"/>
        </w:rPr>
        <mc:AlternateContent>
          <mc:Choice Requires="wps">
            <w:drawing>
              <wp:anchor distT="0" distB="0" distL="114300" distR="114300" simplePos="0" relativeHeight="251681792" behindDoc="0" locked="0" layoutInCell="1" allowOverlap="1">
                <wp:simplePos x="0" y="0"/>
                <wp:positionH relativeFrom="column">
                  <wp:posOffset>1120140</wp:posOffset>
                </wp:positionH>
                <wp:positionV relativeFrom="paragraph">
                  <wp:posOffset>2602865</wp:posOffset>
                </wp:positionV>
                <wp:extent cx="144145" cy="144145"/>
                <wp:effectExtent l="4445" t="4445" r="22860" b="22860"/>
                <wp:wrapNone/>
                <wp:docPr id="80" name="椭圆 8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88.2pt;margin-top:204.95pt;height:11.35pt;width:11.35pt;z-index:251681792;mso-width-relative:page;mso-height-relative:page;" fillcolor="#FFFF00" filled="t" stroked="t" coordsize="21600,21600" o:gfxdata="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oykmXWAAAACwEAAA8AAAAAAAAAAQAgAAAAIgAAAGRycy9kb3ducmV2Lnht&#10;bFBLAQIUABQAAAAIAIdO4kB5kGDV+wEAABcEAAAOAAAAAAAAAAEAIAAAACUBAABkcnMvZTJvRG9j&#10;LnhtbFBLBQYAAAAABgAGAFkBAACS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0768" behindDoc="0" locked="0" layoutInCell="1" allowOverlap="1">
                <wp:simplePos x="0" y="0"/>
                <wp:positionH relativeFrom="column">
                  <wp:posOffset>1117600</wp:posOffset>
                </wp:positionH>
                <wp:positionV relativeFrom="paragraph">
                  <wp:posOffset>2322195</wp:posOffset>
                </wp:positionV>
                <wp:extent cx="158750" cy="120650"/>
                <wp:effectExtent l="6350" t="6350" r="6350" b="6350"/>
                <wp:wrapNone/>
                <wp:docPr id="79" name="矩形 79"/>
                <wp:cNvGraphicFramePr/>
                <a:graphic xmlns:a="http://schemas.openxmlformats.org/drawingml/2006/main">
                  <a:graphicData uri="http://schemas.microsoft.com/office/word/2010/wordprocessingShape">
                    <wps:wsp>
                      <wps:cNvSpPr/>
                      <wps:spPr>
                        <a:xfrm>
                          <a:off x="0" y="0"/>
                          <a:ext cx="158750" cy="12065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8pt;margin-top:182.85pt;height:9.5pt;width:12.5pt;z-index:251680768;v-text-anchor:middle;mso-width-relative:page;mso-height-relative:page;" filled="f" stroked="t" coordsize="21600,21600" o:gfxdata="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T9P15&#10;1gAAAAsBAAAPAAAAAAAAAAEAIAAAACIAAABkcnMvZG93bnJldi54bWxQSwECFAAUAAAACACHTuJA&#10;euBtcVwCAAC1BAAADgAAAAAAAAABACAAAAAlAQAAZHJzL2Uyb0RvYy54bWxQSwUGAAAAAAYABgBZ&#10;AQAA8wUAAAAA&#10;">
                <v:fill on="f" focussize="0,0"/>
                <v:stroke weight="1pt" color="#FF0000 [2404]" joinstyle="round"/>
                <v:imagedata o:title=""/>
                <o:lock v:ext="edit" aspectratio="f"/>
              </v:rect>
            </w:pict>
          </mc:Fallback>
        </mc:AlternateContent>
      </w:r>
      <w:r>
        <w:rPr>
          <w:color w:val="auto"/>
          <w:sz w:val="24"/>
        </w:rPr>
        <mc:AlternateContent>
          <mc:Choice Requires="wps">
            <w:drawing>
              <wp:anchor distT="0" distB="0" distL="114300" distR="114300" simplePos="0" relativeHeight="251682816" behindDoc="0" locked="0" layoutInCell="1" allowOverlap="1">
                <wp:simplePos x="0" y="0"/>
                <wp:positionH relativeFrom="column">
                  <wp:posOffset>1117600</wp:posOffset>
                </wp:positionH>
                <wp:positionV relativeFrom="paragraph">
                  <wp:posOffset>2919095</wp:posOffset>
                </wp:positionV>
                <wp:extent cx="158750" cy="120650"/>
                <wp:effectExtent l="6350" t="6350" r="6350" b="6350"/>
                <wp:wrapNone/>
                <wp:docPr id="81" name="矩形 81"/>
                <wp:cNvGraphicFramePr/>
                <a:graphic xmlns:a="http://schemas.openxmlformats.org/drawingml/2006/main">
                  <a:graphicData uri="http://schemas.microsoft.com/office/word/2010/wordprocessingShape">
                    <wps:wsp>
                      <wps:cNvSpPr/>
                      <wps:spPr>
                        <a:xfrm>
                          <a:off x="0" y="0"/>
                          <a:ext cx="158750" cy="120650"/>
                        </a:xfrm>
                        <a:prstGeom prst="rect">
                          <a:avLst/>
                        </a:prstGeom>
                        <a:noFill/>
                        <a:ln w="12700">
                          <a:solidFill>
                            <a:schemeClr val="accent6"/>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8pt;margin-top:229.85pt;height:9.5pt;width:12.5pt;z-index:251682816;v-text-anchor:middle;mso-width-relative:page;mso-height-relative:page;" filled="f" stroked="t" coordsize="21600,21600" o:gfxdata="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erabD2wAAAAsBAAAPAAAAAAAAAAEAIAAAACIAAABkcnMvZG93bnJldi54bWxQSwECFAAUAAAA&#10;CACHTuJAM9G3GV0CAAC1BAAADgAAAAAAAAABACAAAAAqAQAAZHJzL2Uyb0RvYy54bWxQSwUGAAAA&#10;AAYABgBZAQAA+QUAAAAA&#10;">
                <v:fill on="f" focussize="0,0"/>
                <v:stroke weight="1pt" color="#F79646 [3209]" joinstyle="round"/>
                <v:imagedata o:title=""/>
                <o:lock v:ext="edit" aspectratio="f"/>
              </v:rect>
            </w:pict>
          </mc:Fallback>
        </mc:AlternateContent>
      </w:r>
      <w:r>
        <w:rPr>
          <w:color w:val="auto"/>
          <w:sz w:val="24"/>
        </w:rPr>
        <mc:AlternateContent>
          <mc:Choice Requires="wps">
            <w:drawing>
              <wp:anchor distT="0" distB="0" distL="114300" distR="114300" simplePos="0" relativeHeight="251679744" behindDoc="0" locked="0" layoutInCell="1" allowOverlap="1">
                <wp:simplePos x="0" y="0"/>
                <wp:positionH relativeFrom="column">
                  <wp:posOffset>1087120</wp:posOffset>
                </wp:positionH>
                <wp:positionV relativeFrom="paragraph">
                  <wp:posOffset>1979930</wp:posOffset>
                </wp:positionV>
                <wp:extent cx="1155700" cy="1320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155700" cy="1320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7FD5E4">
                            <w:pPr>
                              <w:jc w:val="center"/>
                              <w:rPr>
                                <w:rFonts w:hint="eastAsia" w:eastAsia="宋体"/>
                                <w:b/>
                                <w:bCs/>
                                <w:color w:val="FFFFFF" w:themeColor="background1"/>
                                <w:sz w:val="22"/>
                                <w:szCs w:val="28"/>
                                <w:lang w:val="en-US" w:eastAsia="zh-CN"/>
                                <w14:textFill>
                                  <w14:solidFill>
                                    <w14:schemeClr w14:val="bg1"/>
                                  </w14:solidFill>
                                </w14:textFill>
                              </w:rPr>
                            </w:pPr>
                            <w:r>
                              <w:rPr>
                                <w:rFonts w:hint="eastAsia" w:eastAsia="宋体"/>
                                <w:b/>
                                <w:bCs/>
                                <w:color w:val="FFFFFF" w:themeColor="background1"/>
                                <w:sz w:val="22"/>
                                <w:szCs w:val="28"/>
                                <w:lang w:val="en-US" w:eastAsia="zh-CN"/>
                                <w14:textFill>
                                  <w14:solidFill>
                                    <w14:schemeClr w14:val="bg1"/>
                                  </w14:solidFill>
                                </w14:textFill>
                              </w:rPr>
                              <w:t>图例：</w:t>
                            </w:r>
                          </w:p>
                          <w:p w14:paraId="2907E5A5">
                            <w:pPr>
                              <w:spacing w:line="360" w:lineRule="auto"/>
                              <w:jc w:val="right"/>
                              <w:rPr>
                                <w:rFonts w:hint="eastAsia" w:eastAsia="宋体"/>
                                <w:color w:val="FF0000"/>
                                <w:sz w:val="22"/>
                                <w:szCs w:val="21"/>
                                <w:lang w:val="en-US" w:eastAsia="zh-CN"/>
                              </w:rPr>
                            </w:pPr>
                            <w:r>
                              <w:rPr>
                                <w:rFonts w:hint="eastAsia" w:eastAsia="宋体"/>
                                <w:b/>
                                <w:bCs/>
                                <w:color w:val="FF0000"/>
                                <w:sz w:val="22"/>
                                <w:szCs w:val="21"/>
                                <w:lang w:val="en-US" w:eastAsia="zh-CN"/>
                              </w:rPr>
                              <w:t>项目厂址</w:t>
                            </w:r>
                          </w:p>
                          <w:p w14:paraId="287984C5">
                            <w:pPr>
                              <w:spacing w:line="360" w:lineRule="auto"/>
                              <w:jc w:val="right"/>
                              <w:rPr>
                                <w:rFonts w:hint="default" w:eastAsia="宋体"/>
                                <w:color w:val="FFFF00"/>
                                <w:sz w:val="22"/>
                                <w:szCs w:val="21"/>
                                <w:lang w:val="en-US" w:eastAsia="zh-CN"/>
                              </w:rPr>
                            </w:pPr>
                            <w:r>
                              <w:rPr>
                                <w:rFonts w:hint="eastAsia" w:eastAsia="宋体"/>
                                <w:color w:val="FFFF00"/>
                                <w:sz w:val="22"/>
                                <w:szCs w:val="21"/>
                                <w:lang w:val="en-US" w:eastAsia="zh-CN"/>
                              </w:rPr>
                              <w:t>环境保护目标</w:t>
                            </w:r>
                          </w:p>
                          <w:p w14:paraId="4648D126">
                            <w:pPr>
                              <w:spacing w:line="360" w:lineRule="auto"/>
                              <w:jc w:val="right"/>
                              <w:rPr>
                                <w:rFonts w:hint="eastAsia" w:eastAsia="宋体"/>
                                <w:color w:val="F79646" w:themeColor="accent6"/>
                                <w:sz w:val="22"/>
                                <w:szCs w:val="21"/>
                                <w:lang w:val="en-US" w:eastAsia="zh-CN"/>
                                <w14:textFill>
                                  <w14:solidFill>
                                    <w14:schemeClr w14:val="accent6"/>
                                  </w14:solidFill>
                                </w14:textFill>
                              </w:rPr>
                            </w:pPr>
                            <w:r>
                              <w:rPr>
                                <w:rFonts w:hint="eastAsia" w:eastAsia="宋体"/>
                                <w:b/>
                                <w:bCs/>
                                <w:color w:val="F79646" w:themeColor="accent6"/>
                                <w:sz w:val="22"/>
                                <w:szCs w:val="21"/>
                                <w:lang w:val="en-US" w:eastAsia="zh-CN"/>
                                <w14:textFill>
                                  <w14:solidFill>
                                    <w14:schemeClr w14:val="accent6"/>
                                  </w14:solidFill>
                                </w14:textFill>
                              </w:rPr>
                              <w:t>大气评价范围</w:t>
                            </w:r>
                          </w:p>
                          <w:p w14:paraId="079FC213">
                            <w:pPr>
                              <w:spacing w:line="360" w:lineRule="auto"/>
                              <w:jc w:val="right"/>
                              <w:rPr>
                                <w:rFonts w:hint="default" w:eastAsia="宋体"/>
                                <w:color w:val="B7DEE8" w:themeColor="accent5" w:themeTint="66"/>
                                <w:sz w:val="22"/>
                                <w:szCs w:val="21"/>
                                <w:lang w:val="en-US" w:eastAsia="zh-CN"/>
                                <w14:textFill>
                                  <w14:solidFill>
                                    <w14:schemeClr w14:val="accent5">
                                      <w14:lumMod w14:val="40000"/>
                                      <w14:lumOff w14:val="60000"/>
                                    </w14:schemeClr>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6pt;margin-top:155.9pt;height:104pt;width:91pt;z-index:251679744;mso-width-relative:page;mso-height-relative:page;" filled="f" stroked="f" coordsize="21600,21600" o:gfxdata="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&#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PSRxo2wAAAAsBAAAPAAAAAAAAAAEAIAAAACIAAABk&#10;cnMvZG93bnJldi54bWxQSwECFAAUAAAACACHTuJALr6XHTwCAABpBAAADgAAAAAAAAABACAAAAAq&#10;AQAAZHJzL2Uyb0RvYy54bWxQSwUGAAAAAAYABgBZAQAA2AUAAAAA&#10;">
                <v:fill on="f" focussize="0,0"/>
                <v:stroke on="f" weight="0.5pt"/>
                <v:imagedata o:title=""/>
                <o:lock v:ext="edit" aspectratio="f"/>
                <v:textbox>
                  <w:txbxContent>
                    <w:p w14:paraId="797FD5E4">
                      <w:pPr>
                        <w:jc w:val="center"/>
                        <w:rPr>
                          <w:rFonts w:hint="eastAsia" w:eastAsia="宋体"/>
                          <w:b/>
                          <w:bCs/>
                          <w:color w:val="FFFFFF" w:themeColor="background1"/>
                          <w:sz w:val="22"/>
                          <w:szCs w:val="28"/>
                          <w:lang w:val="en-US" w:eastAsia="zh-CN"/>
                          <w14:textFill>
                            <w14:solidFill>
                              <w14:schemeClr w14:val="bg1"/>
                            </w14:solidFill>
                          </w14:textFill>
                        </w:rPr>
                      </w:pPr>
                      <w:r>
                        <w:rPr>
                          <w:rFonts w:hint="eastAsia" w:eastAsia="宋体"/>
                          <w:b/>
                          <w:bCs/>
                          <w:color w:val="FFFFFF" w:themeColor="background1"/>
                          <w:sz w:val="22"/>
                          <w:szCs w:val="28"/>
                          <w:lang w:val="en-US" w:eastAsia="zh-CN"/>
                          <w14:textFill>
                            <w14:solidFill>
                              <w14:schemeClr w14:val="bg1"/>
                            </w14:solidFill>
                          </w14:textFill>
                        </w:rPr>
                        <w:t>图例：</w:t>
                      </w:r>
                    </w:p>
                    <w:p w14:paraId="2907E5A5">
                      <w:pPr>
                        <w:spacing w:line="360" w:lineRule="auto"/>
                        <w:jc w:val="right"/>
                        <w:rPr>
                          <w:rFonts w:hint="eastAsia" w:eastAsia="宋体"/>
                          <w:color w:val="FF0000"/>
                          <w:sz w:val="22"/>
                          <w:szCs w:val="21"/>
                          <w:lang w:val="en-US" w:eastAsia="zh-CN"/>
                        </w:rPr>
                      </w:pPr>
                      <w:r>
                        <w:rPr>
                          <w:rFonts w:hint="eastAsia" w:eastAsia="宋体"/>
                          <w:b/>
                          <w:bCs/>
                          <w:color w:val="FF0000"/>
                          <w:sz w:val="22"/>
                          <w:szCs w:val="21"/>
                          <w:lang w:val="en-US" w:eastAsia="zh-CN"/>
                        </w:rPr>
                        <w:t>项目厂址</w:t>
                      </w:r>
                    </w:p>
                    <w:p w14:paraId="287984C5">
                      <w:pPr>
                        <w:spacing w:line="360" w:lineRule="auto"/>
                        <w:jc w:val="right"/>
                        <w:rPr>
                          <w:rFonts w:hint="default" w:eastAsia="宋体"/>
                          <w:color w:val="FFFF00"/>
                          <w:sz w:val="22"/>
                          <w:szCs w:val="21"/>
                          <w:lang w:val="en-US" w:eastAsia="zh-CN"/>
                        </w:rPr>
                      </w:pPr>
                      <w:r>
                        <w:rPr>
                          <w:rFonts w:hint="eastAsia" w:eastAsia="宋体"/>
                          <w:color w:val="FFFF00"/>
                          <w:sz w:val="22"/>
                          <w:szCs w:val="21"/>
                          <w:lang w:val="en-US" w:eastAsia="zh-CN"/>
                        </w:rPr>
                        <w:t>环境保护目标</w:t>
                      </w:r>
                    </w:p>
                    <w:p w14:paraId="4648D126">
                      <w:pPr>
                        <w:spacing w:line="360" w:lineRule="auto"/>
                        <w:jc w:val="right"/>
                        <w:rPr>
                          <w:rFonts w:hint="eastAsia" w:eastAsia="宋体"/>
                          <w:color w:val="F79646" w:themeColor="accent6"/>
                          <w:sz w:val="22"/>
                          <w:szCs w:val="21"/>
                          <w:lang w:val="en-US" w:eastAsia="zh-CN"/>
                          <w14:textFill>
                            <w14:solidFill>
                              <w14:schemeClr w14:val="accent6"/>
                            </w14:solidFill>
                          </w14:textFill>
                        </w:rPr>
                      </w:pPr>
                      <w:r>
                        <w:rPr>
                          <w:rFonts w:hint="eastAsia" w:eastAsia="宋体"/>
                          <w:b/>
                          <w:bCs/>
                          <w:color w:val="F79646" w:themeColor="accent6"/>
                          <w:sz w:val="22"/>
                          <w:szCs w:val="21"/>
                          <w:lang w:val="en-US" w:eastAsia="zh-CN"/>
                          <w14:textFill>
                            <w14:solidFill>
                              <w14:schemeClr w14:val="accent6"/>
                            </w14:solidFill>
                          </w14:textFill>
                        </w:rPr>
                        <w:t>大气评价范围</w:t>
                      </w:r>
                    </w:p>
                    <w:p w14:paraId="079FC213">
                      <w:pPr>
                        <w:spacing w:line="360" w:lineRule="auto"/>
                        <w:jc w:val="right"/>
                        <w:rPr>
                          <w:rFonts w:hint="default" w:eastAsia="宋体"/>
                          <w:color w:val="B7DEE8" w:themeColor="accent5" w:themeTint="66"/>
                          <w:sz w:val="22"/>
                          <w:szCs w:val="21"/>
                          <w:lang w:val="en-US" w:eastAsia="zh-CN"/>
                          <w14:textFill>
                            <w14:solidFill>
                              <w14:schemeClr w14:val="accent5">
                                <w14:lumMod w14:val="40000"/>
                                <w14:lumOff w14:val="60000"/>
                              </w14:schemeClr>
                            </w14:solidFill>
                          </w14:textFill>
                        </w:rPr>
                      </w:pPr>
                    </w:p>
                  </w:txbxContent>
                </v:textbox>
              </v:shape>
            </w:pict>
          </mc:Fallback>
        </mc:AlternateContent>
      </w:r>
      <w:r>
        <w:rPr>
          <w:color w:val="auto"/>
        </w:rPr>
        <mc:AlternateContent>
          <mc:Choice Requires="wps">
            <w:drawing>
              <wp:anchor distT="0" distB="0" distL="114300" distR="114300" simplePos="0" relativeHeight="251664384" behindDoc="0" locked="0" layoutInCell="1" allowOverlap="1">
                <wp:simplePos x="0" y="0"/>
                <wp:positionH relativeFrom="column">
                  <wp:posOffset>874395</wp:posOffset>
                </wp:positionH>
                <wp:positionV relativeFrom="paragraph">
                  <wp:posOffset>6249035</wp:posOffset>
                </wp:positionV>
                <wp:extent cx="7858125" cy="375285"/>
                <wp:effectExtent l="0" t="0" r="0" b="0"/>
                <wp:wrapNone/>
                <wp:docPr id="148" name="文本框 148"/>
                <wp:cNvGraphicFramePr/>
                <a:graphic xmlns:a="http://schemas.openxmlformats.org/drawingml/2006/main">
                  <a:graphicData uri="http://schemas.microsoft.com/office/word/2010/wordprocessingShape">
                    <wps:wsp>
                      <wps:cNvSpPr txBox="1"/>
                      <wps:spPr>
                        <a:xfrm>
                          <a:off x="1415415" y="6824980"/>
                          <a:ext cx="7858125" cy="3752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31C9D3">
                            <w:pPr>
                              <w:jc w:val="center"/>
                              <w:rPr>
                                <w:b/>
                                <w:bCs/>
                                <w:color w:val="auto"/>
                                <w:sz w:val="24"/>
                                <w:szCs w:val="32"/>
                              </w:rPr>
                            </w:pPr>
                            <w:r>
                              <w:rPr>
                                <w:b/>
                                <w:bCs/>
                                <w:color w:val="auto"/>
                                <w:sz w:val="24"/>
                                <w:szCs w:val="32"/>
                              </w:rPr>
                              <w:t>图1-4 环境保护目标示意图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85pt;margin-top:492.05pt;height:29.55pt;width:618.75pt;z-index:251664384;mso-width-relative:page;mso-height-relative:page;" filled="f" stroked="f" coordsize="21600,21600" o:gfxdata="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IVNNON0AAAANAQAADwAAAAAA&#10;AAABACAAAAAiAAAAZHJzL2Rvd25yZXYueG1sUEsBAhQAFAAAAAgAh07iQGDfY+xHAgAAdgQAAA4A&#10;AAAAAAAAAQAgAAAALAEAAGRycy9lMm9Eb2MueG1sUEsFBgAAAAAGAAYAWQEAAOUFAAAAAA==&#10;">
                <v:fill on="f" focussize="0,0"/>
                <v:stroke on="f" weight="0.5pt"/>
                <v:imagedata o:title=""/>
                <o:lock v:ext="edit" aspectratio="f"/>
                <v:textbox>
                  <w:txbxContent>
                    <w:p w14:paraId="0931C9D3">
                      <w:pPr>
                        <w:jc w:val="center"/>
                        <w:rPr>
                          <w:b/>
                          <w:bCs/>
                          <w:color w:val="auto"/>
                          <w:sz w:val="24"/>
                          <w:szCs w:val="32"/>
                        </w:rPr>
                      </w:pPr>
                      <w:r>
                        <w:rPr>
                          <w:b/>
                          <w:bCs/>
                          <w:color w:val="auto"/>
                          <w:sz w:val="24"/>
                          <w:szCs w:val="32"/>
                        </w:rPr>
                        <w:t>图1-4 环境保护目标示意图</w:t>
                      </w:r>
                    </w:p>
                  </w:txbxContent>
                </v:textbox>
              </v:shape>
            </w:pict>
          </mc:Fallback>
        </mc:AlternateContent>
      </w:r>
    </w:p>
    <w:p w14:paraId="55E208D8">
      <w:pPr>
        <w:spacing w:line="360" w:lineRule="auto"/>
        <w:jc w:val="center"/>
        <w:outlineLvl w:val="0"/>
        <w:rPr>
          <w:b/>
          <w:bCs/>
          <w:color w:val="auto"/>
          <w:sz w:val="32"/>
          <w:szCs w:val="40"/>
        </w:rPr>
      </w:pPr>
      <w:bookmarkStart w:id="252" w:name="_Toc32099"/>
      <w:r>
        <w:rPr>
          <w:b/>
          <w:bCs/>
          <w:color w:val="auto"/>
          <w:sz w:val="32"/>
          <w:szCs w:val="40"/>
        </w:rPr>
        <w:t>2 建设项目</w:t>
      </w:r>
      <w:r>
        <w:rPr>
          <w:rFonts w:hint="eastAsia"/>
          <w:b/>
          <w:bCs/>
          <w:color w:val="auto"/>
          <w:sz w:val="32"/>
          <w:szCs w:val="40"/>
          <w:lang w:val="en-US" w:eastAsia="zh-CN"/>
        </w:rPr>
        <w:t>过程</w:t>
      </w:r>
      <w:r>
        <w:rPr>
          <w:b/>
          <w:bCs/>
          <w:color w:val="auto"/>
          <w:sz w:val="32"/>
          <w:szCs w:val="40"/>
        </w:rPr>
        <w:t>回顾</w:t>
      </w:r>
      <w:bookmarkEnd w:id="252"/>
    </w:p>
    <w:p w14:paraId="5B7A352D">
      <w:pPr>
        <w:spacing w:line="360" w:lineRule="auto"/>
        <w:rPr>
          <w:color w:val="auto"/>
          <w:sz w:val="24"/>
          <w:szCs w:val="32"/>
        </w:rPr>
      </w:pPr>
    </w:p>
    <w:p w14:paraId="7A56D450">
      <w:pPr>
        <w:adjustRightInd w:val="0"/>
        <w:snapToGrid w:val="0"/>
        <w:spacing w:line="360" w:lineRule="auto"/>
        <w:outlineLvl w:val="1"/>
        <w:rPr>
          <w:rFonts w:hint="default" w:eastAsia="宋体"/>
          <w:b/>
          <w:bCs/>
          <w:color w:val="auto"/>
          <w:sz w:val="28"/>
          <w:szCs w:val="36"/>
          <w:lang w:val="en-US" w:eastAsia="zh-CN"/>
        </w:rPr>
      </w:pPr>
      <w:bookmarkStart w:id="253" w:name="_Toc12048"/>
      <w:r>
        <w:rPr>
          <w:b/>
          <w:bCs/>
          <w:color w:val="auto"/>
          <w:sz w:val="28"/>
          <w:szCs w:val="36"/>
        </w:rPr>
        <w:t xml:space="preserve">2.1 </w:t>
      </w:r>
      <w:r>
        <w:rPr>
          <w:rFonts w:hint="eastAsia"/>
          <w:b/>
          <w:bCs/>
          <w:color w:val="auto"/>
          <w:sz w:val="28"/>
          <w:szCs w:val="36"/>
          <w:lang w:val="en-US" w:eastAsia="zh-CN"/>
        </w:rPr>
        <w:t>环保手续履行情况</w:t>
      </w:r>
      <w:bookmarkEnd w:id="253"/>
    </w:p>
    <w:p w14:paraId="507314BA">
      <w:pPr>
        <w:adjustRightInd w:val="0"/>
        <w:snapToGrid w:val="0"/>
        <w:spacing w:line="360" w:lineRule="auto"/>
        <w:rPr>
          <w:rFonts w:hint="default" w:eastAsia="宋体"/>
          <w:color w:val="auto"/>
          <w:kern w:val="24"/>
          <w:sz w:val="24"/>
          <w:lang w:val="en-US" w:eastAsia="zh-CN"/>
        </w:rPr>
      </w:pPr>
      <w:r>
        <w:rPr>
          <w:rFonts w:hint="eastAsia"/>
          <w:b/>
          <w:bCs/>
          <w:color w:val="auto"/>
          <w:kern w:val="24"/>
          <w:sz w:val="24"/>
          <w:lang w:val="en-US" w:eastAsia="zh-CN"/>
        </w:rPr>
        <w:t>2.1.1 环境影响评价及其他相关环保手续履行情况</w:t>
      </w:r>
    </w:p>
    <w:p w14:paraId="1937ACC0">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安徽华中天力铝业有限公司年产11万吨再生铝建设项目于2016年6月30日取得原淮北市环境保护局环评批复，批复文号</w:t>
      </w:r>
      <w:r>
        <w:rPr>
          <w:rFonts w:hint="eastAsia"/>
          <w:color w:val="auto"/>
          <w:kern w:val="24"/>
          <w:sz w:val="24"/>
          <w:lang w:eastAsia="zh-CN"/>
        </w:rPr>
        <w:t>：</w:t>
      </w:r>
      <w:r>
        <w:rPr>
          <w:rFonts w:hint="eastAsia"/>
          <w:color w:val="auto"/>
          <w:kern w:val="24"/>
          <w:sz w:val="24"/>
          <w:lang w:val="en-US" w:eastAsia="zh-CN"/>
        </w:rPr>
        <w:t>淮环行【2016】27号，一期产能5.05万吨/年，二期产能5.95万吨/年。</w:t>
      </w:r>
    </w:p>
    <w:p w14:paraId="6A33BC16">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2022年12月由于原</w:t>
      </w:r>
      <w:r>
        <w:rPr>
          <w:rFonts w:hint="eastAsia"/>
          <w:color w:val="auto"/>
          <w:kern w:val="24"/>
          <w:sz w:val="24"/>
        </w:rPr>
        <w:t>安徽华中天力铝业有限公司</w:t>
      </w:r>
      <w:r>
        <w:rPr>
          <w:rFonts w:hint="eastAsia"/>
          <w:color w:val="auto"/>
          <w:kern w:val="24"/>
          <w:sz w:val="24"/>
          <w:lang w:val="en-US" w:eastAsia="zh-CN"/>
        </w:rPr>
        <w:t>破产，濉溪经开区投资发展有限公司经濉溪县人民法院司法拍卖取得濉溪经济开发区玉兰西路8号原华中天力公司的所有土地、厂房、设备及配套物资等资产。</w:t>
      </w:r>
    </w:p>
    <w:p w14:paraId="07FAA8A6">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2023年1月1日起濉溪经开区投资发展有限公司委托给安徽力幕新材料科技有限公司进行生产经营及日常管理，安徽力幕新材料科技有限公司将《年产11万吨再生铝建设项目》的厂房、设备及配套物资转租给安徽省裕康铝业有限公司，由安徽省裕康铝业有限公司进行生产经营及日常管理。</w:t>
      </w:r>
    </w:p>
    <w:p w14:paraId="141B97C8">
      <w:pPr>
        <w:adjustRightInd w:val="0"/>
        <w:snapToGrid w:val="0"/>
        <w:spacing w:line="360" w:lineRule="auto"/>
        <w:ind w:firstLine="480" w:firstLineChars="200"/>
        <w:rPr>
          <w:rFonts w:hint="eastAsia" w:eastAsia="宋体" w:cs="Times New Roman"/>
          <w:color w:val="auto"/>
          <w:sz w:val="24"/>
          <w:szCs w:val="24"/>
          <w:lang w:val="en-US" w:eastAsia="zh-CN"/>
        </w:rPr>
      </w:pPr>
      <w:r>
        <w:rPr>
          <w:rFonts w:hint="eastAsia"/>
          <w:color w:val="auto"/>
          <w:kern w:val="24"/>
          <w:sz w:val="24"/>
          <w:lang w:val="en-US" w:eastAsia="zh-CN"/>
        </w:rPr>
        <w:t>2025年由于经营问题，安徽省裕康铝业有限公司生产经营的《年产11万吨再生铝建设项目》7月12日开始停产。停产后由安徽瑞瑟科金属材料有限公司接手原安徽华中天力铝业有限公司年产11万吨再生铝建设项目的厂房、设备进行生产。</w:t>
      </w:r>
      <w:r>
        <w:rPr>
          <w:rFonts w:hint="default" w:ascii="Times New Roman" w:hAnsi="Times New Roman" w:eastAsia="宋体" w:cs="Times New Roman"/>
          <w:color w:val="auto"/>
          <w:sz w:val="24"/>
          <w:szCs w:val="24"/>
        </w:rPr>
        <w:t>根据相关法律法规及行政许可承继规定，年产11万吨再生铝建设项目的环境影响评价审批文件及其验收文件，已依法完成权利义务的转移程序，由安徽瑞瑟科金属材料有限公司依法承继并享有相应使用权</w:t>
      </w:r>
      <w:r>
        <w:rPr>
          <w:rFonts w:hint="eastAsia" w:cs="Times New Roman"/>
          <w:color w:val="auto"/>
          <w:sz w:val="24"/>
          <w:szCs w:val="24"/>
          <w:lang w:eastAsia="zh-CN"/>
        </w:rPr>
        <w:t>。</w:t>
      </w:r>
    </w:p>
    <w:p w14:paraId="546F2463">
      <w:pPr>
        <w:adjustRightInd w:val="0"/>
        <w:snapToGrid w:val="0"/>
        <w:spacing w:line="360" w:lineRule="auto"/>
        <w:ind w:firstLine="480" w:firstLineChars="200"/>
        <w:rPr>
          <w:rFonts w:hint="default" w:eastAsia="宋体"/>
          <w:color w:val="auto"/>
          <w:kern w:val="24"/>
          <w:sz w:val="24"/>
          <w:lang w:val="en-US" w:eastAsia="zh-CN"/>
        </w:rPr>
      </w:pPr>
      <w:r>
        <w:rPr>
          <w:rFonts w:hint="eastAsia" w:cs="Times New Roman"/>
          <w:color w:val="auto"/>
          <w:sz w:val="24"/>
          <w:szCs w:val="24"/>
          <w:lang w:val="en-US" w:eastAsia="zh-CN"/>
        </w:rPr>
        <w:t>2025年11月，安徽瑞瑟科金属材料有限公司在生产过程中发现现有主要排放口（一期，二期未建设）二氧化硫排放量为3.74t/a，氮氧化物排放量为8.16t/a，排污许可证中二氧化硫许可排放量为0.18t/a，氮氧化物排放量为6.8t/a，在生产产能未超过原环评设定产能且污染防治设施均正常运行的前提下，企业现有一期主要排放口二氧化硫、氮氧化物实际排放量已远超原环评预测排放量。因此安徽瑞瑟科金属材料有限公司于2025年11月委托东晟环保科技集团（安徽）股份有限公司编制《安徽瑞瑟科金属材料有限公司（原安徽华中天力铝业有限公司年产11万吨再生铝建设项目）主要排放口二氧化硫、氨氧化物许可排放量核算报告》。项目现有主要排放口二氧化硫排放量由0.18t/a增加至12.635t/a（新增12.455t/a），氮氧化物排放量由6.8t/a增加至19.454t/a（新增12.654t/a）</w:t>
      </w:r>
      <w:r>
        <w:rPr>
          <w:rFonts w:hint="eastAsia" w:ascii="Times New Roman" w:hAnsi="Times New Roman" w:eastAsia="宋体" w:cs="Times New Roman"/>
          <w:color w:val="auto"/>
          <w:sz w:val="24"/>
          <w:szCs w:val="24"/>
          <w:lang w:eastAsia="zh-CN"/>
        </w:rPr>
        <w:t>。</w:t>
      </w:r>
    </w:p>
    <w:p w14:paraId="45F54DB5">
      <w:pPr>
        <w:spacing w:line="360" w:lineRule="auto"/>
        <w:rPr>
          <w:rFonts w:hint="default" w:eastAsia="宋体"/>
          <w:b/>
          <w:bCs/>
          <w:color w:val="auto"/>
          <w:sz w:val="24"/>
          <w:szCs w:val="32"/>
          <w:lang w:val="en-US" w:eastAsia="zh-CN"/>
        </w:rPr>
      </w:pPr>
      <w:r>
        <w:rPr>
          <w:rFonts w:hint="eastAsia"/>
          <w:b/>
          <w:bCs/>
          <w:color w:val="auto"/>
          <w:sz w:val="24"/>
          <w:szCs w:val="32"/>
          <w:lang w:val="en-US" w:eastAsia="zh-CN"/>
        </w:rPr>
        <w:t>2.1.2 排污许可证申请</w:t>
      </w:r>
    </w:p>
    <w:p w14:paraId="1DC3108E">
      <w:pPr>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原安徽华中天力铝业有限公司于2020年4月25日完成对年产11万吨再生铝建设项目的排污许可证申请，排污许可证编号为91340621050197606E002V。由于2022年12月原安徽华中天力铝业有限公司破产，该排污许可证于2023年8月29日注销。</w:t>
      </w:r>
    </w:p>
    <w:p w14:paraId="6134F211">
      <w:pPr>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安徽省裕康铝业有限公司租赁年产11万吨再生铝建设项目厂房、设备及配套物资后，于2024年6月20日完成对年产11万吨再生铝建设项目的排污许可证申请，排污许可证编号为91340621MA2TC70P61001P。由于经营问题该项目于2025年7月12日开始停产，该排污许可证于2026年1月14日注销。</w:t>
      </w:r>
    </w:p>
    <w:p w14:paraId="66695A05">
      <w:pPr>
        <w:spacing w:line="360" w:lineRule="auto"/>
        <w:ind w:firstLine="480" w:firstLineChars="200"/>
        <w:rPr>
          <w:rFonts w:hint="eastAsia"/>
          <w:color w:val="auto"/>
          <w:kern w:val="24"/>
          <w:sz w:val="24"/>
          <w:lang w:val="en-US" w:eastAsia="zh-CN"/>
        </w:rPr>
      </w:pPr>
      <w:r>
        <w:rPr>
          <w:rFonts w:hint="eastAsia" w:cs="Times New Roman"/>
          <w:color w:val="auto"/>
          <w:sz w:val="24"/>
          <w:szCs w:val="24"/>
          <w:lang w:val="en-US" w:eastAsia="zh-CN"/>
        </w:rPr>
        <w:t>安徽瑞瑟科金属材料有限公司目前正在申请</w:t>
      </w:r>
      <w:r>
        <w:rPr>
          <w:rFonts w:hint="eastAsia"/>
          <w:color w:val="auto"/>
          <w:kern w:val="24"/>
          <w:sz w:val="24"/>
          <w:lang w:val="en-US" w:eastAsia="zh-CN"/>
        </w:rPr>
        <w:t>年产11万吨再生铝建设项目（一期工程）的排污许可证。</w:t>
      </w:r>
    </w:p>
    <w:p w14:paraId="4BA99BD2">
      <w:pPr>
        <w:spacing w:line="360" w:lineRule="auto"/>
        <w:rPr>
          <w:rFonts w:hint="default"/>
          <w:b/>
          <w:bCs/>
          <w:color w:val="auto"/>
          <w:sz w:val="24"/>
          <w:szCs w:val="32"/>
          <w:lang w:val="en-US" w:eastAsia="zh-CN"/>
        </w:rPr>
      </w:pPr>
      <w:r>
        <w:rPr>
          <w:rFonts w:hint="eastAsia"/>
          <w:b/>
          <w:bCs/>
          <w:color w:val="auto"/>
          <w:sz w:val="24"/>
          <w:szCs w:val="32"/>
          <w:lang w:val="en-US" w:eastAsia="zh-CN"/>
        </w:rPr>
        <w:t>2.1.3 环保竣工验收</w:t>
      </w:r>
    </w:p>
    <w:p w14:paraId="7411CD0A">
      <w:pPr>
        <w:spacing w:line="360" w:lineRule="auto"/>
        <w:ind w:firstLine="480" w:firstLineChars="200"/>
        <w:rPr>
          <w:rFonts w:hint="eastAsia"/>
          <w:color w:val="auto"/>
          <w:kern w:val="24"/>
          <w:sz w:val="24"/>
          <w:lang w:val="en-US" w:eastAsia="zh-CN"/>
        </w:rPr>
      </w:pPr>
      <w:r>
        <w:rPr>
          <w:rFonts w:hint="eastAsia"/>
          <w:color w:val="auto"/>
          <w:sz w:val="24"/>
          <w:szCs w:val="32"/>
          <w:lang w:val="en-US" w:eastAsia="zh-CN"/>
        </w:rPr>
        <w:t>该项目一期工程</w:t>
      </w:r>
      <w:r>
        <w:rPr>
          <w:rFonts w:hint="eastAsia"/>
          <w:color w:val="auto"/>
          <w:kern w:val="24"/>
          <w:sz w:val="24"/>
          <w:lang w:val="en-US" w:eastAsia="zh-CN"/>
        </w:rPr>
        <w:t>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701089BC">
      <w:pPr>
        <w:spacing w:line="360" w:lineRule="auto"/>
        <w:ind w:firstLine="480" w:firstLineChars="200"/>
        <w:rPr>
          <w:color w:val="auto"/>
          <w:sz w:val="24"/>
          <w:szCs w:val="32"/>
        </w:rPr>
      </w:pPr>
      <w:r>
        <w:rPr>
          <w:color w:val="auto"/>
          <w:sz w:val="24"/>
          <w:szCs w:val="32"/>
        </w:rPr>
        <w:t>项目</w:t>
      </w:r>
      <w:r>
        <w:rPr>
          <w:rFonts w:hint="eastAsia"/>
          <w:color w:val="auto"/>
          <w:sz w:val="24"/>
          <w:szCs w:val="32"/>
          <w:lang w:val="en-US" w:eastAsia="zh-CN"/>
        </w:rPr>
        <w:t>环保手续履行</w:t>
      </w:r>
      <w:r>
        <w:rPr>
          <w:color w:val="auto"/>
          <w:sz w:val="24"/>
          <w:szCs w:val="32"/>
        </w:rPr>
        <w:t>情况具体如下：</w:t>
      </w:r>
    </w:p>
    <w:p w14:paraId="4580E390">
      <w:pPr>
        <w:spacing w:line="360" w:lineRule="auto"/>
        <w:jc w:val="center"/>
        <w:rPr>
          <w:rFonts w:hint="eastAsia" w:eastAsia="宋体"/>
          <w:b/>
          <w:bCs/>
          <w:color w:val="auto"/>
          <w:sz w:val="24"/>
          <w:szCs w:val="32"/>
          <w:lang w:val="en-US" w:eastAsia="zh-CN"/>
        </w:rPr>
      </w:pPr>
      <w:r>
        <w:rPr>
          <w:b/>
          <w:bCs/>
          <w:color w:val="auto"/>
          <w:sz w:val="24"/>
          <w:szCs w:val="32"/>
        </w:rPr>
        <w:t>表2-1 项目</w:t>
      </w:r>
      <w:r>
        <w:rPr>
          <w:rFonts w:hint="eastAsia"/>
          <w:b/>
          <w:bCs/>
          <w:color w:val="auto"/>
          <w:sz w:val="24"/>
          <w:szCs w:val="32"/>
        </w:rPr>
        <w:t>环保手续履行情况</w:t>
      </w:r>
      <w:r>
        <w:rPr>
          <w:rFonts w:hint="eastAsia"/>
          <w:b/>
          <w:bCs/>
          <w:color w:val="auto"/>
          <w:sz w:val="24"/>
          <w:szCs w:val="32"/>
          <w:lang w:val="en-US" w:eastAsia="zh-CN"/>
        </w:rPr>
        <w:t>一览表</w:t>
      </w:r>
    </w:p>
    <w:tbl>
      <w:tblPr>
        <w:tblStyle w:val="31"/>
        <w:tblW w:w="498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68"/>
        <w:gridCol w:w="1595"/>
        <w:gridCol w:w="1436"/>
        <w:gridCol w:w="1339"/>
        <w:gridCol w:w="2226"/>
        <w:gridCol w:w="2860"/>
      </w:tblGrid>
      <w:tr w14:paraId="279188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6" w:type="pct"/>
            <w:vMerge w:val="restart"/>
            <w:tcBorders>
              <w:tl2br w:val="nil"/>
              <w:tr2bl w:val="nil"/>
            </w:tcBorders>
            <w:noWrap w:val="0"/>
            <w:vAlign w:val="center"/>
          </w:tcPr>
          <w:p w14:paraId="610AC1DA">
            <w:pPr>
              <w:snapToGrid w:val="0"/>
              <w:spacing w:before="60" w:after="60" w:line="240" w:lineRule="auto"/>
              <w:jc w:val="center"/>
              <w:rPr>
                <w:rFonts w:ascii="Times New Roman"/>
                <w:b/>
                <w:bCs/>
                <w:color w:val="auto"/>
                <w:sz w:val="21"/>
              </w:rPr>
            </w:pPr>
            <w:r>
              <w:rPr>
                <w:rFonts w:ascii="Times New Roman"/>
                <w:b/>
                <w:bCs/>
                <w:color w:val="auto"/>
                <w:sz w:val="21"/>
              </w:rPr>
              <w:t>序号</w:t>
            </w:r>
          </w:p>
        </w:tc>
        <w:tc>
          <w:tcPr>
            <w:tcW w:w="803" w:type="pct"/>
            <w:vMerge w:val="restart"/>
            <w:tcBorders>
              <w:tl2br w:val="nil"/>
              <w:tr2bl w:val="nil"/>
            </w:tcBorders>
            <w:noWrap w:val="0"/>
            <w:vAlign w:val="center"/>
          </w:tcPr>
          <w:p w14:paraId="5BC2D615">
            <w:pPr>
              <w:snapToGrid w:val="0"/>
              <w:spacing w:before="60" w:after="60" w:line="240" w:lineRule="auto"/>
              <w:jc w:val="center"/>
              <w:rPr>
                <w:rFonts w:ascii="Times New Roman"/>
                <w:b/>
                <w:bCs/>
                <w:color w:val="auto"/>
                <w:sz w:val="21"/>
              </w:rPr>
            </w:pPr>
            <w:r>
              <w:rPr>
                <w:rFonts w:ascii="Times New Roman"/>
                <w:b/>
                <w:bCs/>
                <w:color w:val="auto"/>
                <w:sz w:val="21"/>
              </w:rPr>
              <w:t>建设项目名称</w:t>
            </w:r>
          </w:p>
        </w:tc>
        <w:tc>
          <w:tcPr>
            <w:tcW w:w="1397" w:type="pct"/>
            <w:gridSpan w:val="2"/>
            <w:tcBorders>
              <w:tl2br w:val="nil"/>
              <w:tr2bl w:val="nil"/>
            </w:tcBorders>
            <w:noWrap w:val="0"/>
            <w:vAlign w:val="center"/>
          </w:tcPr>
          <w:p w14:paraId="1477FC0F">
            <w:pPr>
              <w:snapToGrid w:val="0"/>
              <w:spacing w:before="60" w:after="60" w:line="240" w:lineRule="auto"/>
              <w:jc w:val="center"/>
              <w:rPr>
                <w:rFonts w:ascii="Times New Roman"/>
                <w:b/>
                <w:bCs/>
                <w:color w:val="auto"/>
                <w:sz w:val="21"/>
              </w:rPr>
            </w:pPr>
            <w:r>
              <w:rPr>
                <w:rFonts w:ascii="Times New Roman"/>
                <w:b/>
                <w:bCs/>
                <w:color w:val="auto"/>
                <w:sz w:val="21"/>
              </w:rPr>
              <w:t>环评情况</w:t>
            </w:r>
          </w:p>
        </w:tc>
        <w:tc>
          <w:tcPr>
            <w:tcW w:w="1121" w:type="pct"/>
            <w:vMerge w:val="restart"/>
            <w:tcBorders>
              <w:tl2br w:val="nil"/>
              <w:tr2bl w:val="nil"/>
            </w:tcBorders>
            <w:noWrap w:val="0"/>
            <w:vAlign w:val="center"/>
          </w:tcPr>
          <w:p w14:paraId="18474E7A">
            <w:pPr>
              <w:snapToGrid w:val="0"/>
              <w:spacing w:before="60" w:after="60" w:line="240" w:lineRule="auto"/>
              <w:jc w:val="center"/>
              <w:rPr>
                <w:rFonts w:ascii="Times New Roman"/>
                <w:b/>
                <w:bCs/>
                <w:color w:val="auto"/>
                <w:sz w:val="21"/>
              </w:rPr>
            </w:pPr>
            <w:r>
              <w:rPr>
                <w:rFonts w:ascii="Times New Roman"/>
                <w:b/>
                <w:bCs/>
                <w:color w:val="auto"/>
                <w:sz w:val="21"/>
              </w:rPr>
              <w:t>验收情况</w:t>
            </w:r>
          </w:p>
        </w:tc>
        <w:tc>
          <w:tcPr>
            <w:tcW w:w="1440" w:type="pct"/>
            <w:vMerge w:val="restart"/>
            <w:tcBorders>
              <w:tl2br w:val="nil"/>
              <w:tr2bl w:val="nil"/>
            </w:tcBorders>
            <w:noWrap w:val="0"/>
            <w:vAlign w:val="center"/>
          </w:tcPr>
          <w:p w14:paraId="3412EE71">
            <w:pPr>
              <w:snapToGrid w:val="0"/>
              <w:spacing w:before="60" w:after="60" w:line="240" w:lineRule="auto"/>
              <w:jc w:val="center"/>
              <w:rPr>
                <w:rFonts w:ascii="Times New Roman"/>
                <w:b/>
                <w:bCs/>
                <w:color w:val="auto"/>
                <w:sz w:val="21"/>
              </w:rPr>
            </w:pPr>
            <w:r>
              <w:rPr>
                <w:rFonts w:ascii="Times New Roman"/>
                <w:b/>
                <w:bCs/>
                <w:color w:val="auto"/>
                <w:sz w:val="21"/>
              </w:rPr>
              <w:t>备注</w:t>
            </w:r>
          </w:p>
        </w:tc>
      </w:tr>
      <w:tr w14:paraId="3B8AA5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6" w:type="pct"/>
            <w:vMerge w:val="continue"/>
            <w:tcBorders>
              <w:tl2br w:val="nil"/>
              <w:tr2bl w:val="nil"/>
            </w:tcBorders>
            <w:noWrap w:val="0"/>
            <w:vAlign w:val="center"/>
          </w:tcPr>
          <w:p w14:paraId="02F95AC1">
            <w:pPr>
              <w:snapToGrid w:val="0"/>
              <w:spacing w:before="60" w:after="60" w:line="240" w:lineRule="auto"/>
              <w:jc w:val="center"/>
              <w:rPr>
                <w:rFonts w:ascii="Times New Roman"/>
                <w:b/>
                <w:bCs/>
                <w:color w:val="auto"/>
                <w:sz w:val="21"/>
              </w:rPr>
            </w:pPr>
          </w:p>
        </w:tc>
        <w:tc>
          <w:tcPr>
            <w:tcW w:w="803" w:type="pct"/>
            <w:vMerge w:val="continue"/>
            <w:tcBorders>
              <w:tl2br w:val="nil"/>
              <w:tr2bl w:val="nil"/>
            </w:tcBorders>
            <w:noWrap w:val="0"/>
            <w:vAlign w:val="center"/>
          </w:tcPr>
          <w:p w14:paraId="699A5535">
            <w:pPr>
              <w:snapToGrid w:val="0"/>
              <w:spacing w:before="60" w:after="60" w:line="240" w:lineRule="auto"/>
              <w:jc w:val="center"/>
              <w:rPr>
                <w:rFonts w:ascii="Times New Roman"/>
                <w:b/>
                <w:bCs/>
                <w:color w:val="auto"/>
                <w:sz w:val="21"/>
              </w:rPr>
            </w:pPr>
          </w:p>
        </w:tc>
        <w:tc>
          <w:tcPr>
            <w:tcW w:w="723" w:type="pct"/>
            <w:tcBorders>
              <w:tl2br w:val="nil"/>
              <w:tr2bl w:val="nil"/>
            </w:tcBorders>
            <w:noWrap w:val="0"/>
            <w:vAlign w:val="center"/>
          </w:tcPr>
          <w:p w14:paraId="53A61C77">
            <w:pPr>
              <w:snapToGrid w:val="0"/>
              <w:spacing w:before="60" w:after="60" w:line="240" w:lineRule="auto"/>
              <w:jc w:val="center"/>
              <w:rPr>
                <w:rFonts w:ascii="Times New Roman"/>
                <w:b/>
                <w:bCs/>
                <w:color w:val="auto"/>
                <w:sz w:val="21"/>
              </w:rPr>
            </w:pPr>
            <w:r>
              <w:rPr>
                <w:rFonts w:ascii="Times New Roman"/>
                <w:b/>
                <w:bCs/>
                <w:color w:val="auto"/>
                <w:sz w:val="21"/>
              </w:rPr>
              <w:t>审批单位</w:t>
            </w:r>
          </w:p>
        </w:tc>
        <w:tc>
          <w:tcPr>
            <w:tcW w:w="673" w:type="pct"/>
            <w:tcBorders>
              <w:tl2br w:val="nil"/>
              <w:tr2bl w:val="nil"/>
            </w:tcBorders>
            <w:noWrap w:val="0"/>
            <w:vAlign w:val="center"/>
          </w:tcPr>
          <w:p w14:paraId="2E21DA62">
            <w:pPr>
              <w:snapToGrid w:val="0"/>
              <w:spacing w:before="60" w:after="60" w:line="240" w:lineRule="auto"/>
              <w:jc w:val="center"/>
              <w:rPr>
                <w:rFonts w:ascii="Times New Roman"/>
                <w:b/>
                <w:bCs/>
                <w:color w:val="auto"/>
                <w:sz w:val="21"/>
              </w:rPr>
            </w:pPr>
            <w:r>
              <w:rPr>
                <w:rFonts w:ascii="Times New Roman"/>
                <w:b/>
                <w:bCs/>
                <w:color w:val="auto"/>
                <w:sz w:val="21"/>
              </w:rPr>
              <w:t>批准文号</w:t>
            </w:r>
          </w:p>
        </w:tc>
        <w:tc>
          <w:tcPr>
            <w:tcW w:w="1121" w:type="pct"/>
            <w:vMerge w:val="continue"/>
            <w:tcBorders>
              <w:tl2br w:val="nil"/>
              <w:tr2bl w:val="nil"/>
            </w:tcBorders>
            <w:noWrap w:val="0"/>
            <w:vAlign w:val="center"/>
          </w:tcPr>
          <w:p w14:paraId="46CC5CA1">
            <w:pPr>
              <w:snapToGrid w:val="0"/>
              <w:spacing w:before="60" w:after="60" w:line="240" w:lineRule="auto"/>
              <w:jc w:val="center"/>
              <w:rPr>
                <w:rFonts w:ascii="Times New Roman"/>
                <w:b/>
                <w:bCs/>
                <w:color w:val="auto"/>
                <w:sz w:val="21"/>
              </w:rPr>
            </w:pPr>
          </w:p>
        </w:tc>
        <w:tc>
          <w:tcPr>
            <w:tcW w:w="1440" w:type="pct"/>
            <w:vMerge w:val="continue"/>
            <w:tcBorders>
              <w:tl2br w:val="nil"/>
              <w:tr2bl w:val="nil"/>
            </w:tcBorders>
            <w:noWrap w:val="0"/>
            <w:vAlign w:val="center"/>
          </w:tcPr>
          <w:p w14:paraId="13251B27">
            <w:pPr>
              <w:snapToGrid w:val="0"/>
              <w:spacing w:before="60" w:after="60" w:line="240" w:lineRule="auto"/>
              <w:jc w:val="center"/>
              <w:rPr>
                <w:rFonts w:ascii="Times New Roman"/>
                <w:b/>
                <w:bCs/>
                <w:color w:val="auto"/>
                <w:sz w:val="21"/>
              </w:rPr>
            </w:pPr>
          </w:p>
        </w:tc>
      </w:tr>
      <w:tr w14:paraId="2EDCCB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36" w:type="pct"/>
            <w:tcBorders>
              <w:tl2br w:val="nil"/>
              <w:tr2bl w:val="nil"/>
            </w:tcBorders>
            <w:noWrap w:val="0"/>
            <w:vAlign w:val="center"/>
          </w:tcPr>
          <w:p w14:paraId="217DA53C">
            <w:pPr>
              <w:snapToGrid w:val="0"/>
              <w:spacing w:before="60" w:after="60" w:line="240" w:lineRule="auto"/>
              <w:jc w:val="center"/>
              <w:rPr>
                <w:rFonts w:ascii="Times New Roman"/>
                <w:color w:val="auto"/>
                <w:sz w:val="21"/>
              </w:rPr>
            </w:pPr>
            <w:r>
              <w:rPr>
                <w:rFonts w:ascii="Times New Roman"/>
                <w:color w:val="auto"/>
                <w:sz w:val="21"/>
              </w:rPr>
              <w:t>1</w:t>
            </w:r>
          </w:p>
        </w:tc>
        <w:tc>
          <w:tcPr>
            <w:tcW w:w="803" w:type="pct"/>
            <w:tcBorders>
              <w:tl2br w:val="nil"/>
              <w:tr2bl w:val="nil"/>
            </w:tcBorders>
            <w:noWrap w:val="0"/>
            <w:vAlign w:val="center"/>
          </w:tcPr>
          <w:p w14:paraId="5F88636A">
            <w:pPr>
              <w:snapToGrid w:val="0"/>
              <w:spacing w:before="60" w:after="60" w:line="240" w:lineRule="auto"/>
              <w:jc w:val="center"/>
              <w:rPr>
                <w:rFonts w:ascii="Times New Roman"/>
                <w:color w:val="auto"/>
                <w:sz w:val="21"/>
              </w:rPr>
            </w:pPr>
            <w:r>
              <w:rPr>
                <w:rFonts w:hint="eastAsia" w:ascii="Times New Roman"/>
                <w:color w:val="auto"/>
                <w:sz w:val="21"/>
                <w:lang w:val="en-US" w:eastAsia="zh-CN"/>
              </w:rPr>
              <w:t>年产11万吨再生铝建设项目</w:t>
            </w:r>
          </w:p>
        </w:tc>
        <w:tc>
          <w:tcPr>
            <w:tcW w:w="723" w:type="pct"/>
            <w:tcBorders>
              <w:tl2br w:val="nil"/>
              <w:tr2bl w:val="nil"/>
            </w:tcBorders>
            <w:noWrap w:val="0"/>
            <w:vAlign w:val="center"/>
          </w:tcPr>
          <w:p w14:paraId="7E13216D">
            <w:pPr>
              <w:snapToGrid w:val="0"/>
              <w:spacing w:before="60" w:after="60" w:line="240" w:lineRule="auto"/>
              <w:jc w:val="center"/>
              <w:rPr>
                <w:rFonts w:hint="default" w:ascii="Times New Roman" w:eastAsia="宋体"/>
                <w:color w:val="auto"/>
                <w:sz w:val="21"/>
                <w:lang w:val="en-US" w:eastAsia="zh-CN"/>
              </w:rPr>
            </w:pPr>
            <w:r>
              <w:rPr>
                <w:rFonts w:ascii="Times New Roman"/>
                <w:color w:val="auto"/>
                <w:sz w:val="21"/>
              </w:rPr>
              <w:t>原</w:t>
            </w:r>
            <w:r>
              <w:rPr>
                <w:rFonts w:hint="eastAsia"/>
                <w:color w:val="auto"/>
                <w:sz w:val="21"/>
                <w:lang w:val="en-US" w:eastAsia="zh-CN"/>
              </w:rPr>
              <w:t>淮北市环境保护局</w:t>
            </w:r>
          </w:p>
        </w:tc>
        <w:tc>
          <w:tcPr>
            <w:tcW w:w="673" w:type="pct"/>
            <w:tcBorders>
              <w:tl2br w:val="nil"/>
              <w:tr2bl w:val="nil"/>
            </w:tcBorders>
            <w:noWrap w:val="0"/>
            <w:vAlign w:val="center"/>
          </w:tcPr>
          <w:p w14:paraId="63059779">
            <w:pPr>
              <w:snapToGrid w:val="0"/>
              <w:spacing w:before="60" w:after="60" w:line="240" w:lineRule="auto"/>
              <w:jc w:val="center"/>
              <w:rPr>
                <w:rFonts w:hint="default" w:ascii="Times New Roman" w:eastAsia="宋体"/>
                <w:color w:val="auto"/>
                <w:sz w:val="21"/>
                <w:lang w:val="en-US" w:eastAsia="zh-CN"/>
              </w:rPr>
            </w:pPr>
            <w:r>
              <w:rPr>
                <w:rFonts w:hint="eastAsia"/>
                <w:color w:val="auto"/>
                <w:sz w:val="21"/>
                <w:lang w:val="en-US" w:eastAsia="zh-CN"/>
              </w:rPr>
              <w:t>淮环行[2016]27号</w:t>
            </w:r>
          </w:p>
        </w:tc>
        <w:tc>
          <w:tcPr>
            <w:tcW w:w="1121" w:type="pct"/>
            <w:tcBorders>
              <w:tl2br w:val="nil"/>
              <w:tr2bl w:val="nil"/>
            </w:tcBorders>
            <w:noWrap w:val="0"/>
            <w:vAlign w:val="center"/>
          </w:tcPr>
          <w:p w14:paraId="33CC7A86">
            <w:pPr>
              <w:snapToGrid w:val="0"/>
              <w:spacing w:before="60" w:after="60" w:line="240" w:lineRule="auto"/>
              <w:jc w:val="center"/>
              <w:rPr>
                <w:rFonts w:ascii="Times New Roman"/>
                <w:color w:val="auto"/>
                <w:sz w:val="21"/>
              </w:rPr>
            </w:pPr>
            <w:r>
              <w:rPr>
                <w:rFonts w:hint="eastAsia" w:ascii="Times New Roman"/>
                <w:color w:val="auto"/>
                <w:sz w:val="21"/>
              </w:rPr>
              <w:t>于</w:t>
            </w:r>
            <w:r>
              <w:rPr>
                <w:rFonts w:ascii="Times New Roman"/>
                <w:color w:val="auto"/>
                <w:sz w:val="21"/>
              </w:rPr>
              <w:t>202</w:t>
            </w:r>
            <w:r>
              <w:rPr>
                <w:rFonts w:hint="eastAsia"/>
                <w:color w:val="auto"/>
                <w:sz w:val="21"/>
                <w:lang w:val="en-US" w:eastAsia="zh-CN"/>
              </w:rPr>
              <w:t>1</w:t>
            </w:r>
            <w:r>
              <w:rPr>
                <w:rFonts w:ascii="Times New Roman"/>
                <w:color w:val="auto"/>
                <w:sz w:val="21"/>
              </w:rPr>
              <w:t>年</w:t>
            </w:r>
            <w:r>
              <w:rPr>
                <w:rFonts w:hint="eastAsia"/>
                <w:color w:val="auto"/>
                <w:sz w:val="21"/>
                <w:lang w:val="en-US" w:eastAsia="zh-CN"/>
              </w:rPr>
              <w:t>9</w:t>
            </w:r>
            <w:r>
              <w:rPr>
                <w:rFonts w:ascii="Times New Roman"/>
                <w:color w:val="auto"/>
                <w:sz w:val="21"/>
              </w:rPr>
              <w:t>月通过阶段性</w:t>
            </w:r>
            <w:r>
              <w:rPr>
                <w:rFonts w:hint="eastAsia" w:ascii="Times New Roman"/>
                <w:color w:val="auto"/>
                <w:sz w:val="21"/>
              </w:rPr>
              <w:t>环保自主验收</w:t>
            </w:r>
          </w:p>
        </w:tc>
        <w:tc>
          <w:tcPr>
            <w:tcW w:w="1440" w:type="pct"/>
            <w:tcBorders>
              <w:tl2br w:val="nil"/>
              <w:tr2bl w:val="nil"/>
            </w:tcBorders>
            <w:noWrap w:val="0"/>
            <w:vAlign w:val="center"/>
          </w:tcPr>
          <w:p w14:paraId="688B6AA6">
            <w:pPr>
              <w:snapToGrid w:val="0"/>
              <w:spacing w:before="60" w:after="60" w:line="240" w:lineRule="auto"/>
              <w:jc w:val="center"/>
              <w:rPr>
                <w:rFonts w:hint="eastAsia" w:ascii="Times New Roman" w:eastAsia="宋体"/>
                <w:color w:val="auto"/>
                <w:sz w:val="21"/>
                <w:lang w:eastAsia="zh-CN"/>
              </w:rPr>
            </w:pPr>
            <w:r>
              <w:rPr>
                <w:rFonts w:ascii="Times New Roman"/>
                <w:color w:val="auto"/>
                <w:sz w:val="21"/>
              </w:rPr>
              <w:t>阶段性自主验收总产能</w:t>
            </w:r>
            <w:r>
              <w:rPr>
                <w:rFonts w:hint="eastAsia" w:ascii="Times New Roman"/>
                <w:color w:val="auto"/>
                <w:sz w:val="21"/>
              </w:rPr>
              <w:t>为</w:t>
            </w:r>
            <w:r>
              <w:rPr>
                <w:rFonts w:hint="eastAsia"/>
                <w:color w:val="auto"/>
                <w:sz w:val="21"/>
                <w:lang w:val="en-US" w:eastAsia="zh-CN"/>
              </w:rPr>
              <w:t>5.05万</w:t>
            </w:r>
            <w:r>
              <w:rPr>
                <w:rFonts w:hint="eastAsia" w:ascii="Times New Roman"/>
                <w:color w:val="auto"/>
                <w:sz w:val="21"/>
              </w:rPr>
              <w:t>t/a</w:t>
            </w:r>
            <w:r>
              <w:rPr>
                <w:rFonts w:hint="eastAsia"/>
                <w:color w:val="auto"/>
                <w:sz w:val="21"/>
                <w:lang w:val="en-US" w:eastAsia="zh-CN"/>
              </w:rPr>
              <w:t>再生铝（一期工程）</w:t>
            </w:r>
          </w:p>
        </w:tc>
      </w:tr>
    </w:tbl>
    <w:p w14:paraId="0DCE3F12">
      <w:pPr>
        <w:spacing w:line="360" w:lineRule="auto"/>
        <w:ind w:firstLine="480" w:firstLineChars="200"/>
        <w:rPr>
          <w:color w:val="auto"/>
          <w:sz w:val="24"/>
          <w:szCs w:val="32"/>
        </w:rPr>
      </w:pPr>
    </w:p>
    <w:p w14:paraId="0693E793">
      <w:pPr>
        <w:adjustRightInd w:val="0"/>
        <w:snapToGrid w:val="0"/>
        <w:spacing w:line="360" w:lineRule="auto"/>
        <w:outlineLvl w:val="1"/>
        <w:rPr>
          <w:rFonts w:hint="eastAsia"/>
          <w:b/>
          <w:bCs/>
          <w:color w:val="auto"/>
          <w:sz w:val="28"/>
          <w:szCs w:val="36"/>
        </w:rPr>
      </w:pPr>
      <w:bookmarkStart w:id="254" w:name="_Toc27021"/>
      <w:r>
        <w:rPr>
          <w:rFonts w:hint="eastAsia"/>
          <w:b/>
          <w:bCs/>
          <w:color w:val="auto"/>
          <w:sz w:val="28"/>
          <w:szCs w:val="36"/>
        </w:rPr>
        <w:t>2.</w:t>
      </w:r>
      <w:r>
        <w:rPr>
          <w:rFonts w:hint="eastAsia"/>
          <w:b/>
          <w:bCs/>
          <w:color w:val="auto"/>
          <w:sz w:val="28"/>
          <w:szCs w:val="36"/>
          <w:lang w:val="en-US" w:eastAsia="zh-CN"/>
        </w:rPr>
        <w:t>2</w:t>
      </w:r>
      <w:r>
        <w:rPr>
          <w:rFonts w:hint="eastAsia"/>
          <w:b/>
          <w:bCs/>
          <w:color w:val="auto"/>
          <w:sz w:val="28"/>
          <w:szCs w:val="36"/>
        </w:rPr>
        <w:t xml:space="preserve"> 环评批复及环保措施落实情况</w:t>
      </w:r>
      <w:bookmarkEnd w:id="254"/>
    </w:p>
    <w:p w14:paraId="0FB87F83">
      <w:pPr>
        <w:spacing w:line="360" w:lineRule="auto"/>
        <w:jc w:val="center"/>
        <w:rPr>
          <w:rFonts w:hint="eastAsia" w:eastAsia="宋体"/>
          <w:b/>
          <w:bCs/>
          <w:color w:val="auto"/>
          <w:spacing w:val="6"/>
          <w:sz w:val="24"/>
          <w:lang w:eastAsia="zh-CN"/>
        </w:rPr>
      </w:pPr>
      <w:r>
        <w:rPr>
          <w:b/>
          <w:bCs/>
          <w:color w:val="auto"/>
          <w:spacing w:val="6"/>
          <w:sz w:val="24"/>
        </w:rPr>
        <w:t>表2-</w:t>
      </w:r>
      <w:r>
        <w:rPr>
          <w:rFonts w:hint="eastAsia"/>
          <w:b/>
          <w:bCs/>
          <w:color w:val="auto"/>
          <w:spacing w:val="6"/>
          <w:sz w:val="24"/>
          <w:lang w:val="en-US" w:eastAsia="zh-CN"/>
        </w:rPr>
        <w:t>2</w:t>
      </w:r>
      <w:r>
        <w:rPr>
          <w:b/>
          <w:bCs/>
          <w:color w:val="auto"/>
          <w:spacing w:val="6"/>
          <w:sz w:val="24"/>
        </w:rPr>
        <w:t xml:space="preserve"> 企业环保措施落实情况</w:t>
      </w:r>
      <w:r>
        <w:rPr>
          <w:rFonts w:hint="eastAsia"/>
          <w:b/>
          <w:bCs/>
          <w:color w:val="auto"/>
          <w:spacing w:val="6"/>
          <w:sz w:val="24"/>
          <w:lang w:val="en-US" w:eastAsia="zh-CN"/>
        </w:rPr>
        <w:t>一览</w:t>
      </w:r>
      <w:r>
        <w:rPr>
          <w:b/>
          <w:bCs/>
          <w:color w:val="auto"/>
          <w:spacing w:val="6"/>
          <w:sz w:val="24"/>
        </w:rPr>
        <w:t>表</w:t>
      </w:r>
      <w:r>
        <w:rPr>
          <w:rFonts w:hint="eastAsia"/>
          <w:b/>
          <w:bCs/>
          <w:color w:val="auto"/>
          <w:spacing w:val="6"/>
          <w:sz w:val="24"/>
          <w:lang w:eastAsia="zh-CN"/>
        </w:rPr>
        <w:t>（</w:t>
      </w:r>
      <w:r>
        <w:rPr>
          <w:rFonts w:hint="eastAsia"/>
          <w:b/>
          <w:bCs/>
          <w:color w:val="auto"/>
          <w:spacing w:val="6"/>
          <w:sz w:val="24"/>
          <w:lang w:val="en-US" w:eastAsia="zh-CN"/>
        </w:rPr>
        <w:t>一期工程</w:t>
      </w:r>
      <w:r>
        <w:rPr>
          <w:rFonts w:hint="eastAsia"/>
          <w:b/>
          <w:bCs/>
          <w:color w:val="auto"/>
          <w:spacing w:val="6"/>
          <w:sz w:val="24"/>
          <w:lang w:eastAsia="zh-CN"/>
        </w:rPr>
        <w:t>）</w:t>
      </w:r>
    </w:p>
    <w:tbl>
      <w:tblPr>
        <w:tblStyle w:val="31"/>
        <w:tblW w:w="4979"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897"/>
        <w:gridCol w:w="3547"/>
        <w:gridCol w:w="3201"/>
        <w:gridCol w:w="2275"/>
      </w:tblGrid>
      <w:tr w14:paraId="0754B8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0D5E386E">
            <w:pPr>
              <w:jc w:val="center"/>
              <w:rPr>
                <w:b/>
                <w:bCs/>
                <w:color w:val="auto"/>
                <w:spacing w:val="6"/>
                <w:szCs w:val="21"/>
              </w:rPr>
            </w:pPr>
            <w:r>
              <w:rPr>
                <w:b/>
                <w:bCs/>
                <w:color w:val="auto"/>
                <w:spacing w:val="6"/>
                <w:szCs w:val="21"/>
              </w:rPr>
              <w:t>污染类别</w:t>
            </w:r>
          </w:p>
        </w:tc>
        <w:tc>
          <w:tcPr>
            <w:tcW w:w="1787" w:type="pct"/>
            <w:tcBorders>
              <w:tl2br w:val="nil"/>
              <w:tr2bl w:val="nil"/>
            </w:tcBorders>
            <w:vAlign w:val="center"/>
          </w:tcPr>
          <w:p w14:paraId="1C5A96BB">
            <w:pPr>
              <w:jc w:val="center"/>
              <w:rPr>
                <w:b/>
                <w:bCs/>
                <w:color w:val="auto"/>
                <w:spacing w:val="6"/>
                <w:szCs w:val="21"/>
              </w:rPr>
            </w:pPr>
            <w:r>
              <w:rPr>
                <w:b/>
                <w:bCs/>
                <w:color w:val="auto"/>
                <w:spacing w:val="6"/>
                <w:szCs w:val="21"/>
              </w:rPr>
              <w:t>环评及批复要求</w:t>
            </w:r>
          </w:p>
        </w:tc>
        <w:tc>
          <w:tcPr>
            <w:tcW w:w="1613" w:type="pct"/>
            <w:tcBorders>
              <w:tl2br w:val="nil"/>
              <w:tr2bl w:val="nil"/>
            </w:tcBorders>
            <w:vAlign w:val="center"/>
          </w:tcPr>
          <w:p w14:paraId="59FE8AFC">
            <w:pPr>
              <w:jc w:val="center"/>
              <w:rPr>
                <w:b/>
                <w:bCs/>
                <w:color w:val="auto"/>
                <w:spacing w:val="6"/>
                <w:szCs w:val="21"/>
              </w:rPr>
            </w:pPr>
            <w:r>
              <w:rPr>
                <w:rFonts w:hint="eastAsia"/>
                <w:b/>
                <w:bCs/>
                <w:color w:val="auto"/>
                <w:spacing w:val="6"/>
                <w:szCs w:val="21"/>
                <w:lang w:val="en-US" w:eastAsia="zh-CN"/>
              </w:rPr>
              <w:t>实际建设</w:t>
            </w:r>
            <w:r>
              <w:rPr>
                <w:b/>
                <w:bCs/>
                <w:color w:val="auto"/>
                <w:spacing w:val="6"/>
                <w:szCs w:val="21"/>
              </w:rPr>
              <w:t>情况</w:t>
            </w:r>
          </w:p>
        </w:tc>
        <w:tc>
          <w:tcPr>
            <w:tcW w:w="1146" w:type="pct"/>
            <w:tcBorders>
              <w:tl2br w:val="nil"/>
              <w:tr2bl w:val="nil"/>
            </w:tcBorders>
            <w:vAlign w:val="center"/>
          </w:tcPr>
          <w:p w14:paraId="526D319E">
            <w:pPr>
              <w:jc w:val="center"/>
              <w:rPr>
                <w:rFonts w:hint="default" w:eastAsia="宋体"/>
                <w:b/>
                <w:bCs/>
                <w:color w:val="auto"/>
                <w:spacing w:val="6"/>
                <w:szCs w:val="21"/>
                <w:lang w:val="en-US" w:eastAsia="zh-CN"/>
              </w:rPr>
            </w:pPr>
            <w:r>
              <w:rPr>
                <w:rFonts w:hint="eastAsia"/>
                <w:b/>
                <w:bCs/>
                <w:color w:val="auto"/>
                <w:spacing w:val="6"/>
                <w:szCs w:val="21"/>
                <w:lang w:val="en-US" w:eastAsia="zh-CN"/>
              </w:rPr>
              <w:t>变动内容</w:t>
            </w:r>
          </w:p>
        </w:tc>
      </w:tr>
      <w:tr w14:paraId="788AB5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6" w:hRule="atLeast"/>
          <w:jc w:val="center"/>
        </w:trPr>
        <w:tc>
          <w:tcPr>
            <w:tcW w:w="452" w:type="pct"/>
            <w:tcBorders>
              <w:tl2br w:val="nil"/>
              <w:tr2bl w:val="nil"/>
            </w:tcBorders>
            <w:vAlign w:val="center"/>
          </w:tcPr>
          <w:p w14:paraId="3F7E5655">
            <w:pPr>
              <w:jc w:val="center"/>
              <w:rPr>
                <w:bCs/>
                <w:color w:val="auto"/>
                <w:spacing w:val="6"/>
                <w:szCs w:val="21"/>
              </w:rPr>
            </w:pPr>
            <w:r>
              <w:rPr>
                <w:bCs/>
                <w:color w:val="auto"/>
                <w:spacing w:val="6"/>
                <w:szCs w:val="21"/>
              </w:rPr>
              <w:t>废气</w:t>
            </w:r>
          </w:p>
        </w:tc>
        <w:tc>
          <w:tcPr>
            <w:tcW w:w="1787" w:type="pct"/>
            <w:tcBorders>
              <w:tl2br w:val="nil"/>
              <w:tr2bl w:val="nil"/>
            </w:tcBorders>
            <w:vAlign w:val="center"/>
          </w:tcPr>
          <w:p w14:paraId="67D0345D">
            <w:pPr>
              <w:pStyle w:val="9"/>
              <w:ind w:firstLine="420" w:firstLineChars="200"/>
              <w:jc w:val="both"/>
              <w:rPr>
                <w:rFonts w:hint="eastAsia"/>
                <w:color w:val="auto"/>
                <w:szCs w:val="21"/>
                <w:highlight w:val="none"/>
              </w:rPr>
            </w:pPr>
            <w:r>
              <w:rPr>
                <w:rFonts w:hint="eastAsia"/>
                <w:color w:val="auto"/>
                <w:szCs w:val="21"/>
                <w:highlight w:val="none"/>
              </w:rPr>
              <w:t>落实车间的污染防治措施，确保车间废气排放满足《大气污染物综合排放标准》</w:t>
            </w:r>
            <w:r>
              <w:rPr>
                <w:rFonts w:hint="eastAsia"/>
                <w:color w:val="auto"/>
                <w:szCs w:val="21"/>
                <w:highlight w:val="none"/>
                <w:lang w:eastAsia="zh-CN"/>
              </w:rPr>
              <w:t>（</w:t>
            </w:r>
            <w:r>
              <w:rPr>
                <w:rFonts w:hint="eastAsia"/>
                <w:color w:val="auto"/>
                <w:szCs w:val="21"/>
                <w:highlight w:val="none"/>
              </w:rPr>
              <w:t>GB16297-1996</w:t>
            </w:r>
            <w:r>
              <w:rPr>
                <w:rFonts w:hint="eastAsia"/>
                <w:color w:val="auto"/>
                <w:szCs w:val="21"/>
                <w:highlight w:val="none"/>
                <w:lang w:eastAsia="zh-CN"/>
              </w:rPr>
              <w:t>）</w:t>
            </w:r>
            <w:r>
              <w:rPr>
                <w:rFonts w:hint="eastAsia"/>
                <w:color w:val="auto"/>
                <w:szCs w:val="21"/>
                <w:highlight w:val="none"/>
              </w:rPr>
              <w:t>及总量控制要求</w:t>
            </w:r>
            <w:r>
              <w:rPr>
                <w:rFonts w:hint="eastAsia"/>
                <w:color w:val="auto"/>
                <w:szCs w:val="21"/>
                <w:highlight w:val="none"/>
                <w:lang w:eastAsia="zh-CN"/>
              </w:rPr>
              <w:t>（</w:t>
            </w:r>
            <w:r>
              <w:rPr>
                <w:rFonts w:hint="eastAsia"/>
                <w:color w:val="auto"/>
                <w:szCs w:val="21"/>
                <w:highlight w:val="none"/>
              </w:rPr>
              <w:t>二氧化硫</w:t>
            </w:r>
            <w:r>
              <w:rPr>
                <w:rFonts w:hint="eastAsia"/>
                <w:color w:val="auto"/>
                <w:szCs w:val="21"/>
                <w:highlight w:val="none"/>
                <w:lang w:eastAsia="zh-CN"/>
              </w:rPr>
              <w:t>：</w:t>
            </w:r>
            <w:r>
              <w:rPr>
                <w:rFonts w:hint="eastAsia"/>
                <w:color w:val="auto"/>
                <w:szCs w:val="21"/>
                <w:highlight w:val="none"/>
              </w:rPr>
              <w:t>0.5</w:t>
            </w:r>
            <w:r>
              <w:rPr>
                <w:rFonts w:hint="eastAsia"/>
                <w:color w:val="auto"/>
                <w:szCs w:val="21"/>
                <w:highlight w:val="none"/>
                <w:lang w:val="en-US" w:eastAsia="zh-CN"/>
              </w:rPr>
              <w:t>吨</w:t>
            </w:r>
            <w:r>
              <w:rPr>
                <w:rFonts w:hint="eastAsia"/>
                <w:color w:val="auto"/>
                <w:szCs w:val="21"/>
                <w:highlight w:val="none"/>
              </w:rPr>
              <w:t>/年，氮氧化物</w:t>
            </w:r>
            <w:r>
              <w:rPr>
                <w:rFonts w:hint="eastAsia"/>
                <w:color w:val="auto"/>
                <w:szCs w:val="21"/>
                <w:highlight w:val="none"/>
                <w:lang w:eastAsia="zh-CN"/>
              </w:rPr>
              <w:t>：</w:t>
            </w:r>
            <w:r>
              <w:rPr>
                <w:rFonts w:hint="eastAsia"/>
                <w:color w:val="auto"/>
                <w:szCs w:val="21"/>
                <w:highlight w:val="none"/>
              </w:rPr>
              <w:t>16.46吨/年</w:t>
            </w:r>
            <w:r>
              <w:rPr>
                <w:rFonts w:hint="eastAsia"/>
                <w:color w:val="auto"/>
                <w:szCs w:val="21"/>
                <w:highlight w:val="none"/>
                <w:lang w:eastAsia="zh-CN"/>
              </w:rPr>
              <w:t>）</w:t>
            </w:r>
            <w:r>
              <w:rPr>
                <w:rFonts w:hint="eastAsia"/>
                <w:color w:val="auto"/>
                <w:szCs w:val="21"/>
                <w:highlight w:val="none"/>
              </w:rPr>
              <w:t>的要求。卫生防护距离</w:t>
            </w:r>
            <w:r>
              <w:rPr>
                <w:rFonts w:hint="eastAsia"/>
                <w:color w:val="auto"/>
                <w:szCs w:val="21"/>
                <w:highlight w:val="none"/>
                <w:lang w:eastAsia="zh-CN"/>
              </w:rPr>
              <w:t>（</w:t>
            </w:r>
            <w:r>
              <w:rPr>
                <w:rFonts w:hint="eastAsia"/>
                <w:color w:val="auto"/>
                <w:szCs w:val="21"/>
                <w:highlight w:val="none"/>
              </w:rPr>
              <w:t>一期生产车间、期生产车间边界外100m</w:t>
            </w:r>
            <w:r>
              <w:rPr>
                <w:rFonts w:hint="eastAsia"/>
                <w:color w:val="auto"/>
                <w:szCs w:val="21"/>
                <w:highlight w:val="none"/>
                <w:lang w:eastAsia="zh-CN"/>
              </w:rPr>
              <w:t>；</w:t>
            </w:r>
            <w:r>
              <w:rPr>
                <w:rFonts w:hint="eastAsia"/>
                <w:color w:val="auto"/>
                <w:szCs w:val="21"/>
                <w:highlight w:val="none"/>
              </w:rPr>
              <w:t>一期炒灰房、二期的重复利用率</w:t>
            </w:r>
            <w:r>
              <w:rPr>
                <w:rFonts w:hint="eastAsia"/>
                <w:color w:val="auto"/>
                <w:szCs w:val="21"/>
                <w:highlight w:val="none"/>
                <w:lang w:eastAsia="zh-CN"/>
              </w:rPr>
              <w:t>）</w:t>
            </w:r>
            <w:r>
              <w:rPr>
                <w:rFonts w:hint="eastAsia"/>
                <w:color w:val="auto"/>
                <w:szCs w:val="21"/>
                <w:highlight w:val="none"/>
              </w:rPr>
              <w:t>。</w:t>
            </w:r>
          </w:p>
          <w:p w14:paraId="4117AA1F">
            <w:pPr>
              <w:pStyle w:val="9"/>
              <w:ind w:firstLine="420" w:firstLineChars="200"/>
              <w:jc w:val="both"/>
              <w:rPr>
                <w:rFonts w:hint="eastAsia" w:eastAsia="宋体"/>
                <w:color w:val="auto"/>
                <w:szCs w:val="21"/>
                <w:lang w:val="en-US" w:eastAsia="zh-CN"/>
              </w:rPr>
            </w:pPr>
            <w:r>
              <w:rPr>
                <w:rFonts w:hint="eastAsia"/>
                <w:color w:val="auto"/>
                <w:szCs w:val="21"/>
                <w:highlight w:val="none"/>
                <w:lang w:val="en-US" w:eastAsia="zh-CN"/>
              </w:rPr>
              <w:t>原环评中设置2套“旋风除尘+布袋除尘+碱喷淋”装置，用于处理</w:t>
            </w:r>
            <w:r>
              <w:rPr>
                <w:color w:val="auto"/>
              </w:rPr>
              <w:t>熔炼烟气净化系统</w:t>
            </w:r>
            <w:r>
              <w:rPr>
                <w:rFonts w:hint="eastAsia"/>
                <w:color w:val="auto"/>
                <w:lang w:val="en-US" w:eastAsia="zh-CN"/>
              </w:rPr>
              <w:t>废气和</w:t>
            </w:r>
            <w:r>
              <w:rPr>
                <w:color w:val="auto"/>
              </w:rPr>
              <w:t>铝渣处理系统</w:t>
            </w:r>
            <w:r>
              <w:rPr>
                <w:rFonts w:hint="eastAsia"/>
                <w:color w:val="auto"/>
                <w:lang w:val="en-US" w:eastAsia="zh-CN"/>
              </w:rPr>
              <w:t>废气。</w:t>
            </w:r>
          </w:p>
        </w:tc>
        <w:tc>
          <w:tcPr>
            <w:tcW w:w="1613" w:type="pct"/>
            <w:tcBorders>
              <w:tl2br w:val="nil"/>
              <w:tr2bl w:val="nil"/>
            </w:tcBorders>
            <w:vAlign w:val="center"/>
          </w:tcPr>
          <w:p w14:paraId="1050EA82">
            <w:pPr>
              <w:ind w:firstLine="444" w:firstLineChars="200"/>
              <w:jc w:val="both"/>
              <w:rPr>
                <w:rFonts w:hint="eastAsia"/>
                <w:color w:val="auto"/>
                <w:szCs w:val="21"/>
                <w:lang w:val="en-US" w:eastAsia="zh-CN"/>
              </w:rPr>
            </w:pPr>
            <w:r>
              <w:rPr>
                <w:rFonts w:hint="eastAsia"/>
                <w:bCs/>
                <w:color w:val="auto"/>
                <w:spacing w:val="6"/>
                <w:szCs w:val="21"/>
                <w:lang w:val="en-US" w:eastAsia="zh-CN"/>
              </w:rPr>
              <w:t>项目实际废气处理工艺为“SNCR+烟气急冷+活性炭喷粉+</w:t>
            </w:r>
            <w:r>
              <w:rPr>
                <w:rFonts w:hint="eastAsia"/>
                <w:color w:val="auto"/>
                <w:szCs w:val="21"/>
                <w:lang w:val="en-US" w:eastAsia="zh-CN"/>
              </w:rPr>
              <w:t>重力沉降除尘</w:t>
            </w:r>
            <w:r>
              <w:rPr>
                <w:color w:val="auto"/>
                <w:szCs w:val="21"/>
              </w:rPr>
              <w:t>器</w:t>
            </w:r>
            <w:r>
              <w:rPr>
                <w:rFonts w:hint="eastAsia"/>
                <w:color w:val="auto"/>
                <w:szCs w:val="21"/>
              </w:rPr>
              <w:t>+</w:t>
            </w:r>
            <w:r>
              <w:rPr>
                <w:color w:val="auto"/>
                <w:szCs w:val="21"/>
              </w:rPr>
              <w:t>布袋除尘器</w:t>
            </w:r>
            <w:r>
              <w:rPr>
                <w:rFonts w:hint="eastAsia"/>
                <w:color w:val="auto"/>
                <w:szCs w:val="21"/>
              </w:rPr>
              <w:t>+碱喷淋</w:t>
            </w:r>
            <w:r>
              <w:rPr>
                <w:rFonts w:hint="eastAsia"/>
                <w:color w:val="auto"/>
                <w:szCs w:val="21"/>
                <w:lang w:eastAsia="zh-CN"/>
              </w:rPr>
              <w:t>”</w:t>
            </w:r>
            <w:r>
              <w:rPr>
                <w:rFonts w:hint="eastAsia"/>
                <w:color w:val="auto"/>
                <w:szCs w:val="21"/>
                <w:lang w:val="en-US" w:eastAsia="zh-CN"/>
              </w:rPr>
              <w:t>处理，处理后由1根24.5m高（DA001）排气筒排放；</w:t>
            </w:r>
          </w:p>
          <w:p w14:paraId="2812A4BB">
            <w:pPr>
              <w:ind w:firstLine="420" w:firstLineChars="200"/>
              <w:jc w:val="both"/>
              <w:rPr>
                <w:rFonts w:hint="eastAsia" w:eastAsia="宋体"/>
                <w:bCs/>
                <w:color w:val="auto"/>
                <w:spacing w:val="6"/>
                <w:szCs w:val="21"/>
                <w:lang w:val="en-US" w:eastAsia="zh-CN"/>
              </w:rPr>
            </w:pPr>
            <w:r>
              <w:rPr>
                <w:rFonts w:hint="eastAsia"/>
                <w:color w:val="auto"/>
                <w:szCs w:val="21"/>
                <w:lang w:val="en-US" w:eastAsia="zh-CN"/>
              </w:rPr>
              <w:t>项目危废库铝灰暂存过程中产生氨气经收集后采用一级水喷淋装置处理，处理后由1根15m高（DA002）排气筒排放</w:t>
            </w:r>
            <w:r>
              <w:rPr>
                <w:rFonts w:hint="eastAsia" w:eastAsia="宋体"/>
                <w:bCs/>
                <w:color w:val="auto"/>
                <w:spacing w:val="6"/>
                <w:szCs w:val="21"/>
                <w:lang w:val="en-US" w:eastAsia="zh-CN"/>
              </w:rPr>
              <w:t>。</w:t>
            </w:r>
          </w:p>
        </w:tc>
        <w:tc>
          <w:tcPr>
            <w:tcW w:w="1146" w:type="pct"/>
            <w:tcBorders>
              <w:tl2br w:val="nil"/>
              <w:tr2bl w:val="nil"/>
            </w:tcBorders>
            <w:vAlign w:val="center"/>
          </w:tcPr>
          <w:p w14:paraId="45A14310">
            <w:pPr>
              <w:jc w:val="both"/>
              <w:rPr>
                <w:rFonts w:hint="default" w:eastAsia="宋体"/>
                <w:bCs/>
                <w:color w:val="auto"/>
                <w:spacing w:val="6"/>
                <w:szCs w:val="21"/>
                <w:lang w:val="en-US" w:eastAsia="zh-CN"/>
              </w:rPr>
            </w:pPr>
            <w:r>
              <w:rPr>
                <w:rFonts w:hint="eastAsia"/>
                <w:color w:val="auto"/>
                <w:szCs w:val="21"/>
                <w:lang w:val="en-US" w:eastAsia="zh-CN"/>
              </w:rPr>
              <w:t>项目实际建设1套废气处理设施，处理工艺为</w:t>
            </w:r>
            <w:r>
              <w:rPr>
                <w:rFonts w:hint="eastAsia"/>
                <w:color w:val="auto"/>
                <w:szCs w:val="21"/>
                <w:lang w:eastAsia="zh-CN"/>
              </w:rPr>
              <w:t>“</w:t>
            </w:r>
            <w:r>
              <w:rPr>
                <w:rFonts w:hint="eastAsia"/>
                <w:color w:val="auto"/>
                <w:szCs w:val="21"/>
                <w:lang w:val="en-US" w:eastAsia="zh-CN"/>
              </w:rPr>
              <w:t>SNCR+</w:t>
            </w:r>
            <w:r>
              <w:rPr>
                <w:rFonts w:hint="eastAsia"/>
                <w:bCs/>
                <w:color w:val="auto"/>
                <w:spacing w:val="6"/>
                <w:szCs w:val="21"/>
                <w:lang w:val="en-US" w:eastAsia="zh-CN"/>
              </w:rPr>
              <w:t>烟气急冷</w:t>
            </w:r>
            <w:r>
              <w:rPr>
                <w:rFonts w:hint="eastAsia"/>
                <w:color w:val="auto"/>
                <w:szCs w:val="21"/>
                <w:lang w:val="en-US" w:eastAsia="zh-CN"/>
              </w:rPr>
              <w:t>+活性炭喷粉+重力沉降</w:t>
            </w:r>
            <w:r>
              <w:rPr>
                <w:color w:val="auto"/>
                <w:szCs w:val="21"/>
              </w:rPr>
              <w:t>除尘器</w:t>
            </w:r>
            <w:r>
              <w:rPr>
                <w:rFonts w:hint="eastAsia"/>
                <w:color w:val="auto"/>
                <w:szCs w:val="21"/>
              </w:rPr>
              <w:t>+</w:t>
            </w:r>
            <w:r>
              <w:rPr>
                <w:color w:val="auto"/>
                <w:szCs w:val="21"/>
              </w:rPr>
              <w:t>布袋除尘器</w:t>
            </w:r>
            <w:r>
              <w:rPr>
                <w:rFonts w:hint="eastAsia"/>
                <w:color w:val="auto"/>
                <w:szCs w:val="21"/>
              </w:rPr>
              <w:t>+碱喷淋</w:t>
            </w:r>
            <w:r>
              <w:rPr>
                <w:rFonts w:hint="eastAsia"/>
                <w:color w:val="auto"/>
                <w:szCs w:val="21"/>
                <w:lang w:eastAsia="zh-CN"/>
              </w:rPr>
              <w:t>”</w:t>
            </w:r>
            <w:r>
              <w:rPr>
                <w:rFonts w:hint="eastAsia"/>
                <w:color w:val="auto"/>
                <w:szCs w:val="21"/>
                <w:lang w:val="en-US" w:eastAsia="zh-CN"/>
              </w:rPr>
              <w:t>处理设施</w:t>
            </w:r>
            <w:r>
              <w:rPr>
                <w:rFonts w:hint="eastAsia"/>
                <w:bCs/>
                <w:color w:val="auto"/>
                <w:spacing w:val="6"/>
                <w:szCs w:val="21"/>
                <w:lang w:val="en-US" w:eastAsia="zh-CN"/>
              </w:rPr>
              <w:t>；</w:t>
            </w:r>
            <w:r>
              <w:rPr>
                <w:rFonts w:hint="eastAsia"/>
                <w:color w:val="auto"/>
                <w:szCs w:val="21"/>
                <w:lang w:val="en-US" w:eastAsia="zh-CN"/>
              </w:rPr>
              <w:t>铝灰暂存废气由无组织排放改为有组织排放，治理措施为“一级水喷淋”。</w:t>
            </w:r>
          </w:p>
        </w:tc>
      </w:tr>
      <w:tr w14:paraId="7DBEFE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008441BB">
            <w:pPr>
              <w:jc w:val="center"/>
              <w:rPr>
                <w:bCs/>
                <w:color w:val="auto"/>
                <w:spacing w:val="6"/>
                <w:szCs w:val="21"/>
              </w:rPr>
            </w:pPr>
            <w:r>
              <w:rPr>
                <w:bCs/>
                <w:color w:val="auto"/>
                <w:spacing w:val="6"/>
                <w:szCs w:val="21"/>
              </w:rPr>
              <w:t>废水</w:t>
            </w:r>
          </w:p>
        </w:tc>
        <w:tc>
          <w:tcPr>
            <w:tcW w:w="1787" w:type="pct"/>
            <w:tcBorders>
              <w:tl2br w:val="nil"/>
              <w:tr2bl w:val="nil"/>
            </w:tcBorders>
            <w:vAlign w:val="center"/>
          </w:tcPr>
          <w:p w14:paraId="4A990E08">
            <w:pPr>
              <w:ind w:firstLine="444" w:firstLineChars="200"/>
              <w:jc w:val="both"/>
              <w:rPr>
                <w:rFonts w:hint="eastAsia" w:eastAsia="宋体"/>
                <w:bCs/>
                <w:color w:val="auto"/>
                <w:spacing w:val="6"/>
                <w:szCs w:val="21"/>
                <w:lang w:eastAsia="zh-CN"/>
              </w:rPr>
            </w:pPr>
            <w:r>
              <w:rPr>
                <w:rFonts w:hint="eastAsia"/>
                <w:bCs/>
                <w:color w:val="auto"/>
                <w:spacing w:val="6"/>
                <w:szCs w:val="21"/>
              </w:rPr>
              <w:t>原则同意《报告书》提出的污水处理方案，生产废水不外排</w:t>
            </w:r>
            <w:r>
              <w:rPr>
                <w:rFonts w:hint="eastAsia"/>
                <w:bCs/>
                <w:color w:val="auto"/>
                <w:spacing w:val="6"/>
                <w:szCs w:val="21"/>
                <w:lang w:eastAsia="zh-CN"/>
              </w:rPr>
              <w:t>；</w:t>
            </w:r>
            <w:r>
              <w:rPr>
                <w:rFonts w:hint="eastAsia"/>
                <w:bCs/>
                <w:color w:val="auto"/>
                <w:spacing w:val="6"/>
                <w:szCs w:val="21"/>
              </w:rPr>
              <w:t>循环冷</w:t>
            </w:r>
            <w:r>
              <w:rPr>
                <w:rFonts w:hint="eastAsia"/>
                <w:bCs/>
                <w:color w:val="auto"/>
                <w:spacing w:val="6"/>
                <w:szCs w:val="21"/>
                <w:lang w:val="en-US" w:eastAsia="zh-CN"/>
              </w:rPr>
              <w:t>却</w:t>
            </w:r>
            <w:r>
              <w:rPr>
                <w:rFonts w:hint="eastAsia"/>
                <w:bCs/>
                <w:color w:val="auto"/>
                <w:spacing w:val="6"/>
                <w:szCs w:val="21"/>
              </w:rPr>
              <w:t>水用于绿化</w:t>
            </w:r>
            <w:r>
              <w:rPr>
                <w:rFonts w:hint="eastAsia"/>
                <w:bCs/>
                <w:color w:val="auto"/>
                <w:spacing w:val="6"/>
                <w:szCs w:val="21"/>
                <w:lang w:eastAsia="zh-CN"/>
              </w:rPr>
              <w:t>；</w:t>
            </w:r>
            <w:r>
              <w:rPr>
                <w:rFonts w:hint="eastAsia"/>
                <w:bCs/>
                <w:color w:val="auto"/>
                <w:spacing w:val="6"/>
                <w:szCs w:val="21"/>
              </w:rPr>
              <w:t>生活污水经化粪池、食堂废水经隔油池满足《污水综合排放标准》</w:t>
            </w:r>
            <w:r>
              <w:rPr>
                <w:rFonts w:hint="eastAsia"/>
                <w:bCs/>
                <w:color w:val="auto"/>
                <w:spacing w:val="6"/>
                <w:szCs w:val="21"/>
                <w:lang w:eastAsia="zh-CN"/>
              </w:rPr>
              <w:t>（</w:t>
            </w:r>
            <w:r>
              <w:rPr>
                <w:rFonts w:hint="eastAsia"/>
                <w:bCs/>
                <w:color w:val="auto"/>
                <w:spacing w:val="6"/>
                <w:szCs w:val="21"/>
              </w:rPr>
              <w:t>GB8978-1996</w:t>
            </w:r>
            <w:r>
              <w:rPr>
                <w:rFonts w:hint="eastAsia"/>
                <w:bCs/>
                <w:color w:val="auto"/>
                <w:spacing w:val="6"/>
                <w:szCs w:val="21"/>
                <w:lang w:eastAsia="zh-CN"/>
              </w:rPr>
              <w:t>）</w:t>
            </w:r>
            <w:r>
              <w:rPr>
                <w:rFonts w:hint="eastAsia"/>
                <w:bCs/>
                <w:color w:val="auto"/>
                <w:spacing w:val="6"/>
                <w:szCs w:val="21"/>
              </w:rPr>
              <w:t>中三级标准及接管要求后排入污水管网进入滩溪县第二污水处理厂集中处理</w:t>
            </w:r>
            <w:r>
              <w:rPr>
                <w:rFonts w:hint="eastAsia"/>
                <w:bCs/>
                <w:color w:val="auto"/>
                <w:spacing w:val="6"/>
                <w:szCs w:val="21"/>
                <w:lang w:eastAsia="zh-CN"/>
              </w:rPr>
              <w:t>。</w:t>
            </w:r>
          </w:p>
        </w:tc>
        <w:tc>
          <w:tcPr>
            <w:tcW w:w="1613" w:type="pct"/>
            <w:tcBorders>
              <w:tl2br w:val="nil"/>
              <w:tr2bl w:val="nil"/>
            </w:tcBorders>
            <w:vAlign w:val="center"/>
          </w:tcPr>
          <w:p w14:paraId="1A5DD7F8">
            <w:pPr>
              <w:pStyle w:val="9"/>
              <w:spacing w:after="0"/>
              <w:ind w:firstLine="420" w:firstLineChars="200"/>
              <w:jc w:val="both"/>
              <w:rPr>
                <w:rFonts w:hint="eastAsia" w:eastAsia="宋体"/>
                <w:color w:val="auto"/>
                <w:szCs w:val="21"/>
                <w:lang w:val="en-US" w:eastAsia="zh-CN"/>
              </w:rPr>
            </w:pPr>
            <w:r>
              <w:rPr>
                <w:color w:val="auto"/>
                <w:szCs w:val="21"/>
              </w:rPr>
              <w:t>已落实。</w:t>
            </w:r>
            <w:r>
              <w:rPr>
                <w:rFonts w:hint="eastAsia"/>
                <w:color w:val="auto"/>
                <w:szCs w:val="21"/>
                <w:lang w:val="en-US" w:eastAsia="zh-CN"/>
              </w:rPr>
              <w:t>项目无生产废水外排，项目采用“雨污分流、清污分流”系统。循环冷却水回用于生产，不外排；生活污水经化粪池处理后排入开发区污水管网</w:t>
            </w:r>
            <w:r>
              <w:rPr>
                <w:rFonts w:hint="eastAsia"/>
                <w:bCs/>
                <w:color w:val="auto"/>
                <w:spacing w:val="6"/>
                <w:szCs w:val="21"/>
              </w:rPr>
              <w:t>进入滩溪县第二污水处理厂集中处理</w:t>
            </w:r>
            <w:r>
              <w:rPr>
                <w:rFonts w:hint="eastAsia"/>
                <w:bCs/>
                <w:color w:val="auto"/>
                <w:spacing w:val="6"/>
                <w:szCs w:val="21"/>
                <w:lang w:eastAsia="zh-CN"/>
              </w:rPr>
              <w:t>。</w:t>
            </w:r>
          </w:p>
        </w:tc>
        <w:tc>
          <w:tcPr>
            <w:tcW w:w="1146" w:type="pct"/>
            <w:tcBorders>
              <w:tl2br w:val="nil"/>
              <w:tr2bl w:val="nil"/>
            </w:tcBorders>
            <w:vAlign w:val="center"/>
          </w:tcPr>
          <w:p w14:paraId="6DEE1D2D">
            <w:pPr>
              <w:pStyle w:val="9"/>
              <w:spacing w:after="0"/>
              <w:jc w:val="center"/>
              <w:rPr>
                <w:rFonts w:hint="eastAsia" w:eastAsia="宋体"/>
                <w:color w:val="auto"/>
                <w:szCs w:val="21"/>
                <w:lang w:eastAsia="zh-CN"/>
              </w:rPr>
            </w:pPr>
            <w:r>
              <w:rPr>
                <w:rFonts w:hint="eastAsia"/>
                <w:color w:val="auto"/>
                <w:szCs w:val="21"/>
                <w:lang w:val="en-US" w:eastAsia="zh-CN"/>
              </w:rPr>
              <w:t>/</w:t>
            </w:r>
          </w:p>
        </w:tc>
      </w:tr>
      <w:tr w14:paraId="04151D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693BF3BE">
            <w:pPr>
              <w:jc w:val="center"/>
              <w:rPr>
                <w:bCs/>
                <w:color w:val="auto"/>
                <w:spacing w:val="6"/>
                <w:szCs w:val="21"/>
              </w:rPr>
            </w:pPr>
            <w:r>
              <w:rPr>
                <w:bCs/>
                <w:color w:val="auto"/>
                <w:spacing w:val="6"/>
                <w:szCs w:val="21"/>
              </w:rPr>
              <w:t>噪声</w:t>
            </w:r>
          </w:p>
        </w:tc>
        <w:tc>
          <w:tcPr>
            <w:tcW w:w="1787" w:type="pct"/>
            <w:tcBorders>
              <w:tl2br w:val="nil"/>
              <w:tr2bl w:val="nil"/>
            </w:tcBorders>
            <w:vAlign w:val="center"/>
          </w:tcPr>
          <w:p w14:paraId="2CA13893">
            <w:pPr>
              <w:ind w:firstLine="444" w:firstLineChars="200"/>
              <w:jc w:val="both"/>
              <w:rPr>
                <w:rFonts w:hint="eastAsia" w:eastAsia="宋体"/>
                <w:bCs/>
                <w:color w:val="auto"/>
                <w:spacing w:val="6"/>
                <w:szCs w:val="21"/>
                <w:lang w:eastAsia="zh-CN"/>
              </w:rPr>
            </w:pPr>
            <w:r>
              <w:rPr>
                <w:rFonts w:hint="eastAsia"/>
                <w:bCs/>
                <w:color w:val="auto"/>
                <w:spacing w:val="6"/>
                <w:szCs w:val="21"/>
              </w:rPr>
              <w:t>优化厂区平面布置，合理布置高噪声设备</w:t>
            </w:r>
            <w:r>
              <w:rPr>
                <w:rFonts w:hint="eastAsia"/>
                <w:bCs/>
                <w:color w:val="auto"/>
                <w:spacing w:val="6"/>
                <w:szCs w:val="21"/>
                <w:lang w:eastAsia="zh-CN"/>
              </w:rPr>
              <w:t>；</w:t>
            </w:r>
            <w:r>
              <w:rPr>
                <w:rFonts w:hint="eastAsia"/>
                <w:bCs/>
                <w:color w:val="auto"/>
                <w:spacing w:val="6"/>
                <w:szCs w:val="21"/>
              </w:rPr>
              <w:t>选用低噪声设备、采取消音、隔声、吸声、减振等措施进行噪声治理</w:t>
            </w:r>
            <w:r>
              <w:rPr>
                <w:rFonts w:hint="eastAsia"/>
                <w:bCs/>
                <w:color w:val="auto"/>
                <w:spacing w:val="6"/>
                <w:szCs w:val="21"/>
                <w:lang w:eastAsia="zh-CN"/>
              </w:rPr>
              <w:t>。</w:t>
            </w:r>
          </w:p>
        </w:tc>
        <w:tc>
          <w:tcPr>
            <w:tcW w:w="1613" w:type="pct"/>
            <w:tcBorders>
              <w:tl2br w:val="nil"/>
              <w:tr2bl w:val="nil"/>
            </w:tcBorders>
            <w:vAlign w:val="center"/>
          </w:tcPr>
          <w:p w14:paraId="4EA60D56">
            <w:pPr>
              <w:widowControl/>
              <w:ind w:firstLine="444" w:firstLineChars="200"/>
              <w:rPr>
                <w:bCs/>
                <w:color w:val="auto"/>
                <w:spacing w:val="6"/>
                <w:szCs w:val="21"/>
              </w:rPr>
            </w:pPr>
            <w:r>
              <w:rPr>
                <w:bCs/>
                <w:color w:val="auto"/>
                <w:spacing w:val="6"/>
                <w:szCs w:val="21"/>
              </w:rPr>
              <w:t>已落实。</w:t>
            </w:r>
            <w:r>
              <w:rPr>
                <w:color w:val="auto"/>
                <w:kern w:val="0"/>
                <w:szCs w:val="21"/>
                <w:lang w:bidi="ar"/>
              </w:rPr>
              <w:t>项目考虑了噪声的综合治理，除尽量选用低噪声机电设备外，对车间及厂区布置进行了优化，对高噪设备主要采取了消声、隔声、减振等常规治理措施。。</w:t>
            </w:r>
            <w:r>
              <w:rPr>
                <w:bCs/>
                <w:color w:val="auto"/>
                <w:spacing w:val="6"/>
                <w:szCs w:val="21"/>
              </w:rPr>
              <w:t>厂界噪声</w:t>
            </w:r>
            <w:r>
              <w:rPr>
                <w:color w:val="auto"/>
                <w:kern w:val="0"/>
                <w:szCs w:val="21"/>
                <w:lang w:bidi="ar"/>
              </w:rPr>
              <w:t>能够满足</w:t>
            </w:r>
            <w:r>
              <w:rPr>
                <w:bCs/>
                <w:color w:val="auto"/>
                <w:spacing w:val="6"/>
                <w:szCs w:val="21"/>
              </w:rPr>
              <w:t>《工业企业厂界环境噪声排放标准》（GB12348-2008）3类区要求。</w:t>
            </w:r>
          </w:p>
        </w:tc>
        <w:tc>
          <w:tcPr>
            <w:tcW w:w="1146" w:type="pct"/>
            <w:tcBorders>
              <w:tl2br w:val="nil"/>
              <w:tr2bl w:val="nil"/>
            </w:tcBorders>
            <w:vAlign w:val="center"/>
          </w:tcPr>
          <w:p w14:paraId="351C4FB5">
            <w:pPr>
              <w:widowControl/>
              <w:jc w:val="center"/>
              <w:rPr>
                <w:bCs/>
                <w:color w:val="auto"/>
                <w:spacing w:val="6"/>
                <w:szCs w:val="21"/>
              </w:rPr>
            </w:pPr>
            <w:r>
              <w:rPr>
                <w:rFonts w:hint="eastAsia"/>
                <w:bCs/>
                <w:color w:val="auto"/>
                <w:spacing w:val="6"/>
                <w:szCs w:val="21"/>
              </w:rPr>
              <w:t>/</w:t>
            </w:r>
          </w:p>
        </w:tc>
      </w:tr>
      <w:tr w14:paraId="63F77F5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44701616">
            <w:pPr>
              <w:jc w:val="center"/>
              <w:rPr>
                <w:bCs/>
                <w:color w:val="auto"/>
                <w:spacing w:val="6"/>
                <w:szCs w:val="21"/>
              </w:rPr>
            </w:pPr>
            <w:r>
              <w:rPr>
                <w:bCs/>
                <w:color w:val="auto"/>
                <w:spacing w:val="6"/>
                <w:szCs w:val="21"/>
              </w:rPr>
              <w:t>固废</w:t>
            </w:r>
          </w:p>
        </w:tc>
        <w:tc>
          <w:tcPr>
            <w:tcW w:w="1787" w:type="pct"/>
            <w:tcBorders>
              <w:tl2br w:val="nil"/>
              <w:tr2bl w:val="nil"/>
            </w:tcBorders>
          </w:tcPr>
          <w:p w14:paraId="382679A6">
            <w:pPr>
              <w:rPr>
                <w:bCs/>
                <w:color w:val="auto"/>
                <w:spacing w:val="6"/>
                <w:szCs w:val="21"/>
              </w:rPr>
            </w:pPr>
            <w:r>
              <w:rPr>
                <w:rFonts w:hint="eastAsia"/>
                <w:bCs/>
                <w:color w:val="auto"/>
                <w:spacing w:val="6"/>
                <w:szCs w:val="21"/>
              </w:rPr>
              <w:t>强化固废在产生、收集、贮运各环节的管理，采取有效地防护措施，加强固体废弃物的环境管理工作</w:t>
            </w:r>
            <w:r>
              <w:rPr>
                <w:rFonts w:hint="eastAsia"/>
                <w:bCs/>
                <w:color w:val="auto"/>
                <w:spacing w:val="6"/>
                <w:szCs w:val="21"/>
                <w:lang w:eastAsia="zh-CN"/>
              </w:rPr>
              <w:t>；</w:t>
            </w:r>
            <w:r>
              <w:rPr>
                <w:rFonts w:hint="eastAsia"/>
                <w:bCs/>
                <w:color w:val="auto"/>
                <w:spacing w:val="6"/>
                <w:szCs w:val="21"/>
              </w:rPr>
              <w:t>废铁、塑料等杂质、废气碱喷淋的盐渣、废分子筛等收集后外售</w:t>
            </w:r>
            <w:r>
              <w:rPr>
                <w:rFonts w:hint="eastAsia"/>
                <w:bCs/>
                <w:color w:val="auto"/>
                <w:spacing w:val="6"/>
                <w:szCs w:val="21"/>
                <w:lang w:eastAsia="zh-CN"/>
              </w:rPr>
              <w:t>；</w:t>
            </w:r>
            <w:r>
              <w:rPr>
                <w:rFonts w:hint="eastAsia"/>
                <w:bCs/>
                <w:color w:val="auto"/>
                <w:spacing w:val="6"/>
                <w:szCs w:val="21"/>
              </w:rPr>
              <w:t>铝灰、除尘灰作为水泥厂生产原料外售;加强对废活性炭等危险废物的管理，并按相关规定进行转贮存、转移</w:t>
            </w:r>
            <w:r>
              <w:rPr>
                <w:rFonts w:hint="eastAsia"/>
                <w:bCs/>
                <w:color w:val="auto"/>
                <w:spacing w:val="6"/>
                <w:szCs w:val="21"/>
                <w:lang w:eastAsia="zh-CN"/>
              </w:rPr>
              <w:t>；</w:t>
            </w:r>
            <w:r>
              <w:rPr>
                <w:rFonts w:hint="eastAsia"/>
                <w:bCs/>
                <w:color w:val="auto"/>
                <w:spacing w:val="6"/>
                <w:szCs w:val="21"/>
              </w:rPr>
              <w:t>生活垃圾集中收集后处置。</w:t>
            </w:r>
          </w:p>
        </w:tc>
        <w:tc>
          <w:tcPr>
            <w:tcW w:w="1613" w:type="pct"/>
            <w:tcBorders>
              <w:tl2br w:val="nil"/>
              <w:tr2bl w:val="nil"/>
            </w:tcBorders>
            <w:vAlign w:val="center"/>
          </w:tcPr>
          <w:p w14:paraId="7D950044">
            <w:pPr>
              <w:widowControl/>
              <w:ind w:firstLine="444" w:firstLineChars="200"/>
              <w:rPr>
                <w:color w:val="auto"/>
                <w:szCs w:val="21"/>
              </w:rPr>
            </w:pPr>
            <w:r>
              <w:rPr>
                <w:bCs/>
                <w:color w:val="auto"/>
                <w:spacing w:val="6"/>
                <w:szCs w:val="21"/>
              </w:rPr>
              <w:t>已落实。</w:t>
            </w:r>
            <w:r>
              <w:rPr>
                <w:color w:val="auto"/>
                <w:kern w:val="0"/>
                <w:szCs w:val="21"/>
                <w:lang w:bidi="ar"/>
              </w:rPr>
              <w:t>本项目</w:t>
            </w:r>
            <w:r>
              <w:rPr>
                <w:rFonts w:hint="eastAsia"/>
                <w:color w:val="auto"/>
                <w:kern w:val="0"/>
                <w:szCs w:val="21"/>
                <w:lang w:val="en-US" w:eastAsia="zh-CN" w:bidi="ar"/>
              </w:rPr>
              <w:t>实际运行过程中</w:t>
            </w:r>
            <w:r>
              <w:rPr>
                <w:color w:val="auto"/>
                <w:kern w:val="0"/>
                <w:szCs w:val="21"/>
                <w:lang w:bidi="ar"/>
              </w:rPr>
              <w:t>固体废物主要为</w:t>
            </w:r>
            <w:r>
              <w:rPr>
                <w:rFonts w:hint="eastAsia"/>
                <w:color w:val="auto"/>
                <w:kern w:val="0"/>
                <w:szCs w:val="21"/>
                <w:lang w:val="en-US" w:eastAsia="zh-CN" w:bidi="ar"/>
              </w:rPr>
              <w:t>废铝灰、除尘灰、废布袋、</w:t>
            </w:r>
            <w:r>
              <w:rPr>
                <w:rFonts w:hint="eastAsia"/>
                <w:bCs/>
                <w:color w:val="auto"/>
                <w:spacing w:val="6"/>
                <w:szCs w:val="21"/>
              </w:rPr>
              <w:t>废铁、塑料等杂质</w:t>
            </w:r>
            <w:r>
              <w:rPr>
                <w:rFonts w:hint="eastAsia"/>
                <w:bCs/>
                <w:color w:val="auto"/>
                <w:spacing w:val="6"/>
                <w:szCs w:val="21"/>
                <w:lang w:eastAsia="zh-CN"/>
              </w:rPr>
              <w:t>，</w:t>
            </w:r>
            <w:r>
              <w:rPr>
                <w:rFonts w:hint="eastAsia"/>
                <w:color w:val="auto"/>
                <w:kern w:val="0"/>
                <w:szCs w:val="21"/>
                <w:lang w:val="en-US" w:eastAsia="zh-CN" w:bidi="ar"/>
              </w:rPr>
              <w:t>废铝灰、除尘灰、废布袋属于危险废物</w:t>
            </w:r>
            <w:r>
              <w:rPr>
                <w:color w:val="auto"/>
                <w:kern w:val="0"/>
                <w:szCs w:val="21"/>
                <w:lang w:bidi="ar"/>
              </w:rPr>
              <w:t>交由有资质的单位处理处置，</w:t>
            </w:r>
            <w:r>
              <w:rPr>
                <w:rFonts w:hint="eastAsia"/>
                <w:bCs/>
                <w:color w:val="auto"/>
                <w:spacing w:val="6"/>
                <w:szCs w:val="21"/>
              </w:rPr>
              <w:t>废铁、塑料</w:t>
            </w:r>
            <w:r>
              <w:rPr>
                <w:rFonts w:hint="eastAsia"/>
                <w:bCs/>
                <w:color w:val="auto"/>
                <w:spacing w:val="6"/>
                <w:szCs w:val="21"/>
                <w:lang w:val="en-US" w:eastAsia="zh-CN"/>
              </w:rPr>
              <w:t>等杂质外售至物资回收单位</w:t>
            </w:r>
            <w:r>
              <w:rPr>
                <w:color w:val="auto"/>
                <w:kern w:val="0"/>
                <w:szCs w:val="21"/>
                <w:lang w:bidi="ar"/>
              </w:rPr>
              <w:t>，生活垃圾交由环卫部门处理。</w:t>
            </w:r>
          </w:p>
          <w:p w14:paraId="06A18192">
            <w:pPr>
              <w:jc w:val="center"/>
              <w:rPr>
                <w:bCs/>
                <w:color w:val="auto"/>
                <w:spacing w:val="6"/>
                <w:szCs w:val="21"/>
              </w:rPr>
            </w:pPr>
          </w:p>
        </w:tc>
        <w:tc>
          <w:tcPr>
            <w:tcW w:w="1146" w:type="pct"/>
            <w:tcBorders>
              <w:tl2br w:val="nil"/>
              <w:tr2bl w:val="nil"/>
            </w:tcBorders>
            <w:vAlign w:val="center"/>
          </w:tcPr>
          <w:p w14:paraId="6FAA583B">
            <w:pPr>
              <w:jc w:val="center"/>
              <w:rPr>
                <w:bCs/>
                <w:color w:val="auto"/>
                <w:spacing w:val="6"/>
                <w:szCs w:val="21"/>
              </w:rPr>
            </w:pPr>
            <w:r>
              <w:rPr>
                <w:rFonts w:hint="eastAsia"/>
                <w:bCs/>
                <w:color w:val="auto"/>
                <w:spacing w:val="6"/>
                <w:szCs w:val="21"/>
              </w:rPr>
              <w:t>/</w:t>
            </w:r>
          </w:p>
        </w:tc>
      </w:tr>
      <w:tr w14:paraId="2AFFD7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3E04013F">
            <w:pPr>
              <w:jc w:val="center"/>
              <w:rPr>
                <w:bCs/>
                <w:color w:val="auto"/>
                <w:spacing w:val="6"/>
                <w:szCs w:val="21"/>
              </w:rPr>
            </w:pPr>
            <w:r>
              <w:rPr>
                <w:bCs/>
                <w:color w:val="auto"/>
                <w:spacing w:val="6"/>
                <w:szCs w:val="21"/>
              </w:rPr>
              <w:t>风险</w:t>
            </w:r>
          </w:p>
        </w:tc>
        <w:tc>
          <w:tcPr>
            <w:tcW w:w="1787" w:type="pct"/>
            <w:tcBorders>
              <w:tl2br w:val="nil"/>
              <w:tr2bl w:val="nil"/>
            </w:tcBorders>
            <w:vAlign w:val="center"/>
          </w:tcPr>
          <w:p w14:paraId="476472DD">
            <w:pPr>
              <w:jc w:val="both"/>
              <w:rPr>
                <w:bCs/>
                <w:color w:val="auto"/>
                <w:spacing w:val="6"/>
                <w:szCs w:val="21"/>
              </w:rPr>
            </w:pPr>
            <w:r>
              <w:rPr>
                <w:bCs/>
                <w:color w:val="auto"/>
                <w:spacing w:val="6"/>
                <w:szCs w:val="21"/>
              </w:rPr>
              <w:t>建设一座容积为</w:t>
            </w:r>
            <w:r>
              <w:rPr>
                <w:rFonts w:hint="eastAsia"/>
                <w:bCs/>
                <w:color w:val="auto"/>
                <w:spacing w:val="6"/>
                <w:szCs w:val="21"/>
                <w:lang w:val="en-US" w:eastAsia="zh-CN"/>
              </w:rPr>
              <w:t>300</w:t>
            </w:r>
            <w:r>
              <w:rPr>
                <w:bCs/>
                <w:color w:val="auto"/>
                <w:spacing w:val="6"/>
                <w:szCs w:val="21"/>
              </w:rPr>
              <w:t>m</w:t>
            </w:r>
            <w:r>
              <w:rPr>
                <w:rFonts w:hint="eastAsia"/>
                <w:bCs/>
                <w:color w:val="auto"/>
                <w:spacing w:val="6"/>
                <w:szCs w:val="21"/>
                <w:vertAlign w:val="superscript"/>
                <w:lang w:val="en-US" w:eastAsia="zh-CN"/>
              </w:rPr>
              <w:t>3</w:t>
            </w:r>
            <w:r>
              <w:rPr>
                <w:bCs/>
                <w:color w:val="auto"/>
                <w:spacing w:val="6"/>
                <w:szCs w:val="21"/>
              </w:rPr>
              <w:t>事故应急池</w:t>
            </w:r>
          </w:p>
        </w:tc>
        <w:tc>
          <w:tcPr>
            <w:tcW w:w="1613" w:type="pct"/>
            <w:tcBorders>
              <w:tl2br w:val="nil"/>
              <w:tr2bl w:val="nil"/>
            </w:tcBorders>
            <w:vAlign w:val="center"/>
          </w:tcPr>
          <w:p w14:paraId="3AAF0884">
            <w:pPr>
              <w:jc w:val="center"/>
              <w:rPr>
                <w:bCs/>
                <w:color w:val="auto"/>
                <w:spacing w:val="6"/>
                <w:szCs w:val="21"/>
              </w:rPr>
            </w:pPr>
            <w:r>
              <w:rPr>
                <w:rFonts w:hint="eastAsia"/>
                <w:bCs/>
                <w:color w:val="auto"/>
                <w:spacing w:val="6"/>
                <w:szCs w:val="21"/>
                <w:lang w:val="en-US" w:eastAsia="zh-CN"/>
              </w:rPr>
              <w:t xml:space="preserve">  </w:t>
            </w:r>
            <w:r>
              <w:rPr>
                <w:bCs/>
                <w:color w:val="auto"/>
                <w:spacing w:val="6"/>
                <w:szCs w:val="21"/>
              </w:rPr>
              <w:t>已落实</w:t>
            </w:r>
            <w:r>
              <w:rPr>
                <w:rFonts w:hint="eastAsia"/>
                <w:bCs/>
                <w:color w:val="auto"/>
                <w:spacing w:val="6"/>
                <w:szCs w:val="21"/>
                <w:lang w:eastAsia="zh-CN"/>
              </w:rPr>
              <w:t>，</w:t>
            </w:r>
            <w:r>
              <w:rPr>
                <w:rFonts w:hint="eastAsia"/>
                <w:bCs/>
                <w:color w:val="auto"/>
                <w:spacing w:val="6"/>
                <w:szCs w:val="21"/>
                <w:lang w:val="en-US" w:eastAsia="zh-CN"/>
              </w:rPr>
              <w:t>厂区已建设1座</w:t>
            </w:r>
            <w:r>
              <w:rPr>
                <w:bCs/>
                <w:color w:val="auto"/>
                <w:spacing w:val="6"/>
                <w:szCs w:val="21"/>
              </w:rPr>
              <w:t>容积为</w:t>
            </w:r>
            <w:r>
              <w:rPr>
                <w:rFonts w:hint="eastAsia"/>
                <w:bCs/>
                <w:color w:val="auto"/>
                <w:spacing w:val="6"/>
                <w:szCs w:val="21"/>
                <w:lang w:val="en-US" w:eastAsia="zh-CN"/>
              </w:rPr>
              <w:t>300</w:t>
            </w:r>
            <w:r>
              <w:rPr>
                <w:bCs/>
                <w:color w:val="auto"/>
                <w:spacing w:val="6"/>
                <w:szCs w:val="21"/>
              </w:rPr>
              <w:t>m</w:t>
            </w:r>
            <w:r>
              <w:rPr>
                <w:rFonts w:hint="eastAsia"/>
                <w:bCs/>
                <w:color w:val="auto"/>
                <w:spacing w:val="6"/>
                <w:szCs w:val="21"/>
                <w:vertAlign w:val="superscript"/>
                <w:lang w:val="en-US" w:eastAsia="zh-CN"/>
              </w:rPr>
              <w:t>3</w:t>
            </w:r>
            <w:r>
              <w:rPr>
                <w:bCs/>
                <w:color w:val="auto"/>
                <w:spacing w:val="6"/>
                <w:szCs w:val="21"/>
              </w:rPr>
              <w:t>事故应急池，</w:t>
            </w:r>
          </w:p>
        </w:tc>
        <w:tc>
          <w:tcPr>
            <w:tcW w:w="1146" w:type="pct"/>
            <w:tcBorders>
              <w:tl2br w:val="nil"/>
              <w:tr2bl w:val="nil"/>
            </w:tcBorders>
            <w:vAlign w:val="center"/>
          </w:tcPr>
          <w:p w14:paraId="6ACFA425">
            <w:pPr>
              <w:jc w:val="center"/>
              <w:rPr>
                <w:bCs/>
                <w:color w:val="auto"/>
                <w:spacing w:val="6"/>
                <w:szCs w:val="21"/>
              </w:rPr>
            </w:pPr>
            <w:r>
              <w:rPr>
                <w:rFonts w:hint="eastAsia"/>
                <w:bCs/>
                <w:color w:val="auto"/>
                <w:spacing w:val="6"/>
                <w:szCs w:val="21"/>
              </w:rPr>
              <w:t>/</w:t>
            </w:r>
          </w:p>
        </w:tc>
      </w:tr>
      <w:tr w14:paraId="0E0091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2AB84994">
            <w:pPr>
              <w:jc w:val="center"/>
              <w:rPr>
                <w:bCs/>
                <w:color w:val="auto"/>
                <w:spacing w:val="6"/>
                <w:szCs w:val="21"/>
              </w:rPr>
            </w:pPr>
            <w:r>
              <w:rPr>
                <w:bCs/>
                <w:color w:val="auto"/>
                <w:spacing w:val="6"/>
                <w:szCs w:val="21"/>
              </w:rPr>
              <w:t>防渗</w:t>
            </w:r>
          </w:p>
        </w:tc>
        <w:tc>
          <w:tcPr>
            <w:tcW w:w="1787" w:type="pct"/>
            <w:tcBorders>
              <w:tl2br w:val="nil"/>
              <w:tr2bl w:val="nil"/>
            </w:tcBorders>
          </w:tcPr>
          <w:p w14:paraId="296F200A">
            <w:pPr>
              <w:rPr>
                <w:bCs/>
                <w:color w:val="auto"/>
                <w:spacing w:val="6"/>
                <w:szCs w:val="21"/>
              </w:rPr>
            </w:pPr>
            <w:r>
              <w:rPr>
                <w:color w:val="auto"/>
                <w:szCs w:val="21"/>
              </w:rPr>
              <w:t>污水管沟、废水处理站、危废暂存点、事故应急池等重点防渗区域的防腐防渗工作，防止污染地下水。</w:t>
            </w:r>
          </w:p>
        </w:tc>
        <w:tc>
          <w:tcPr>
            <w:tcW w:w="1613" w:type="pct"/>
            <w:tcBorders>
              <w:tl2br w:val="nil"/>
              <w:tr2bl w:val="nil"/>
            </w:tcBorders>
            <w:vAlign w:val="center"/>
          </w:tcPr>
          <w:p w14:paraId="6F5699C2">
            <w:pPr>
              <w:jc w:val="center"/>
              <w:rPr>
                <w:bCs/>
                <w:color w:val="auto"/>
                <w:spacing w:val="6"/>
                <w:szCs w:val="21"/>
              </w:rPr>
            </w:pPr>
            <w:r>
              <w:rPr>
                <w:bCs/>
                <w:color w:val="auto"/>
                <w:spacing w:val="6"/>
                <w:szCs w:val="21"/>
              </w:rPr>
              <w:t>已落实。</w:t>
            </w:r>
          </w:p>
        </w:tc>
        <w:tc>
          <w:tcPr>
            <w:tcW w:w="1146" w:type="pct"/>
            <w:tcBorders>
              <w:tl2br w:val="nil"/>
              <w:tr2bl w:val="nil"/>
            </w:tcBorders>
            <w:vAlign w:val="center"/>
          </w:tcPr>
          <w:p w14:paraId="208B0DD2">
            <w:pPr>
              <w:jc w:val="center"/>
              <w:rPr>
                <w:bCs/>
                <w:color w:val="auto"/>
                <w:spacing w:val="6"/>
                <w:szCs w:val="21"/>
              </w:rPr>
            </w:pPr>
            <w:r>
              <w:rPr>
                <w:rFonts w:hint="eastAsia"/>
                <w:bCs/>
                <w:color w:val="auto"/>
                <w:spacing w:val="6"/>
                <w:szCs w:val="21"/>
              </w:rPr>
              <w:t>/</w:t>
            </w:r>
          </w:p>
        </w:tc>
      </w:tr>
    </w:tbl>
    <w:p w14:paraId="64336C24">
      <w:pPr>
        <w:spacing w:line="360" w:lineRule="auto"/>
        <w:outlineLvl w:val="1"/>
        <w:rPr>
          <w:b/>
          <w:bCs/>
          <w:color w:val="auto"/>
          <w:sz w:val="28"/>
          <w:szCs w:val="36"/>
        </w:rPr>
      </w:pPr>
      <w:bookmarkStart w:id="255" w:name="_Toc54"/>
      <w:r>
        <w:rPr>
          <w:b/>
          <w:bCs/>
          <w:color w:val="auto"/>
          <w:sz w:val="28"/>
          <w:szCs w:val="36"/>
        </w:rPr>
        <w:t>2.</w:t>
      </w:r>
      <w:r>
        <w:rPr>
          <w:rFonts w:hint="eastAsia"/>
          <w:b/>
          <w:bCs/>
          <w:color w:val="auto"/>
          <w:sz w:val="28"/>
          <w:szCs w:val="36"/>
          <w:lang w:val="en-US" w:eastAsia="zh-CN"/>
        </w:rPr>
        <w:t>3</w:t>
      </w:r>
      <w:r>
        <w:rPr>
          <w:b/>
          <w:bCs/>
          <w:color w:val="auto"/>
          <w:sz w:val="28"/>
          <w:szCs w:val="36"/>
        </w:rPr>
        <w:t xml:space="preserve"> 环境监测情况回顾</w:t>
      </w:r>
      <w:bookmarkEnd w:id="255"/>
    </w:p>
    <w:p w14:paraId="1E7924B0">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b/>
          <w:bCs/>
          <w:color w:val="auto"/>
          <w:sz w:val="24"/>
          <w:szCs w:val="32"/>
        </w:rPr>
      </w:pPr>
      <w:r>
        <w:rPr>
          <w:b/>
          <w:bCs/>
          <w:color w:val="auto"/>
          <w:sz w:val="24"/>
          <w:szCs w:val="32"/>
        </w:rPr>
        <w:t>2.</w:t>
      </w:r>
      <w:r>
        <w:rPr>
          <w:rFonts w:hint="eastAsia"/>
          <w:b/>
          <w:bCs/>
          <w:color w:val="auto"/>
          <w:sz w:val="24"/>
          <w:szCs w:val="32"/>
          <w:lang w:val="en-US" w:eastAsia="zh-CN"/>
        </w:rPr>
        <w:t>3</w:t>
      </w:r>
      <w:r>
        <w:rPr>
          <w:b/>
          <w:bCs/>
          <w:color w:val="auto"/>
          <w:sz w:val="24"/>
          <w:szCs w:val="32"/>
        </w:rPr>
        <w:t>.1 环评阶段监测情况</w:t>
      </w:r>
    </w:p>
    <w:p w14:paraId="6053ACD4">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rFonts w:hint="default" w:eastAsia="宋体"/>
          <w:b/>
          <w:bCs/>
          <w:color w:val="auto"/>
          <w:sz w:val="24"/>
          <w:szCs w:val="32"/>
          <w:lang w:val="en-US" w:eastAsia="zh-CN"/>
        </w:rPr>
      </w:pPr>
      <w:bookmarkStart w:id="256" w:name="_Toc9975"/>
      <w:bookmarkStart w:id="257" w:name="_Toc30909"/>
      <w:bookmarkStart w:id="258" w:name="_Toc909"/>
      <w:r>
        <w:rPr>
          <w:b/>
          <w:bCs/>
          <w:color w:val="auto"/>
          <w:sz w:val="24"/>
          <w:szCs w:val="32"/>
        </w:rPr>
        <w:t>2.</w:t>
      </w:r>
      <w:r>
        <w:rPr>
          <w:rFonts w:hint="eastAsia"/>
          <w:b/>
          <w:bCs/>
          <w:color w:val="auto"/>
          <w:sz w:val="24"/>
          <w:szCs w:val="32"/>
          <w:lang w:val="en-US" w:eastAsia="zh-CN"/>
        </w:rPr>
        <w:t>3</w:t>
      </w:r>
      <w:r>
        <w:rPr>
          <w:b/>
          <w:bCs/>
          <w:color w:val="auto"/>
          <w:sz w:val="24"/>
          <w:szCs w:val="32"/>
        </w:rPr>
        <w:t xml:space="preserve">.1.1 </w:t>
      </w:r>
      <w:r>
        <w:rPr>
          <w:rFonts w:hint="eastAsia"/>
          <w:b/>
          <w:bCs/>
          <w:color w:val="auto"/>
          <w:sz w:val="24"/>
          <w:szCs w:val="32"/>
          <w:lang w:val="en-US" w:eastAsia="zh-CN"/>
        </w:rPr>
        <w:t>环评阶段</w:t>
      </w:r>
      <w:r>
        <w:rPr>
          <w:b/>
          <w:bCs/>
          <w:color w:val="auto"/>
          <w:sz w:val="24"/>
          <w:szCs w:val="32"/>
        </w:rPr>
        <w:t>地表水</w:t>
      </w:r>
      <w:bookmarkEnd w:id="256"/>
      <w:bookmarkEnd w:id="257"/>
      <w:bookmarkEnd w:id="258"/>
      <w:r>
        <w:rPr>
          <w:rFonts w:hint="eastAsia"/>
          <w:b/>
          <w:bCs/>
          <w:color w:val="auto"/>
          <w:sz w:val="24"/>
          <w:szCs w:val="32"/>
          <w:lang w:val="en-US" w:eastAsia="zh-CN"/>
        </w:rPr>
        <w:t>环境质量监测情况</w:t>
      </w:r>
    </w:p>
    <w:p w14:paraId="0F91FF85">
      <w:pPr>
        <w:spacing w:line="360" w:lineRule="auto"/>
        <w:ind w:firstLine="480" w:firstLineChars="200"/>
        <w:rPr>
          <w:rFonts w:hint="default"/>
          <w:color w:val="auto"/>
          <w:sz w:val="24"/>
          <w:szCs w:val="32"/>
          <w:lang w:val="en-US" w:eastAsia="zh-CN"/>
        </w:rPr>
      </w:pPr>
      <w:r>
        <w:rPr>
          <w:rFonts w:hint="eastAsia"/>
          <w:color w:val="auto"/>
          <w:sz w:val="24"/>
          <w:szCs w:val="32"/>
          <w:lang w:val="en-US" w:eastAsia="zh-CN"/>
        </w:rPr>
        <w:t>（1）监测项目及监测点位</w:t>
      </w:r>
    </w:p>
    <w:p w14:paraId="2F8AE515">
      <w:pPr>
        <w:spacing w:line="360" w:lineRule="auto"/>
        <w:ind w:firstLine="480" w:firstLineChars="200"/>
        <w:rPr>
          <w:rFonts w:hint="default" w:eastAsia="宋体"/>
          <w:color w:val="auto"/>
          <w:sz w:val="24"/>
          <w:szCs w:val="32"/>
          <w:lang w:val="en-US" w:eastAsia="zh-CN"/>
        </w:rPr>
      </w:pPr>
      <w:r>
        <w:rPr>
          <w:color w:val="auto"/>
          <w:sz w:val="24"/>
          <w:szCs w:val="32"/>
        </w:rPr>
        <w:t>环评阶段地表水现状监测于2014年7月9日～7月10日</w:t>
      </w:r>
      <w:r>
        <w:rPr>
          <w:rFonts w:hint="eastAsia"/>
          <w:color w:val="auto"/>
          <w:sz w:val="24"/>
          <w:szCs w:val="32"/>
          <w:lang w:val="en-US" w:eastAsia="zh-CN"/>
        </w:rPr>
        <w:t>进行。连续监测两天，每天各采样一次。监测项目为pH、COD、NH</w:t>
      </w:r>
      <w:r>
        <w:rPr>
          <w:rFonts w:hint="eastAsia"/>
          <w:color w:val="auto"/>
          <w:sz w:val="24"/>
          <w:szCs w:val="32"/>
          <w:vertAlign w:val="subscript"/>
          <w:lang w:val="en-US" w:eastAsia="zh-CN"/>
        </w:rPr>
        <w:t>3</w:t>
      </w:r>
      <w:r>
        <w:rPr>
          <w:rFonts w:hint="eastAsia"/>
          <w:color w:val="auto"/>
          <w:sz w:val="24"/>
          <w:szCs w:val="32"/>
          <w:lang w:val="en-US" w:eastAsia="zh-CN"/>
        </w:rPr>
        <w:t>-N、BOD</w:t>
      </w:r>
      <w:r>
        <w:rPr>
          <w:rFonts w:hint="eastAsia"/>
          <w:color w:val="auto"/>
          <w:sz w:val="24"/>
          <w:szCs w:val="32"/>
          <w:vertAlign w:val="subscript"/>
          <w:lang w:val="en-US" w:eastAsia="zh-CN"/>
        </w:rPr>
        <w:t>5</w:t>
      </w:r>
      <w:r>
        <w:rPr>
          <w:rFonts w:hint="eastAsia"/>
          <w:color w:val="auto"/>
          <w:sz w:val="24"/>
          <w:szCs w:val="32"/>
          <w:lang w:val="en-US" w:eastAsia="zh-CN"/>
        </w:rPr>
        <w:t>、溶解氧、TP。监测点位布设见表2-3及图2-1。</w:t>
      </w:r>
    </w:p>
    <w:p w14:paraId="7F0D4B51">
      <w:pPr>
        <w:spacing w:line="360" w:lineRule="auto"/>
        <w:jc w:val="center"/>
        <w:rPr>
          <w:rFonts w:hint="default" w:eastAsia="宋体"/>
          <w:b/>
          <w:bCs/>
          <w:color w:val="auto"/>
          <w:sz w:val="24"/>
          <w:szCs w:val="32"/>
          <w:lang w:val="en-US" w:eastAsia="zh-CN"/>
        </w:rPr>
      </w:pPr>
      <w:r>
        <w:rPr>
          <w:rFonts w:hint="eastAsia"/>
          <w:b/>
          <w:bCs/>
          <w:color w:val="auto"/>
          <w:sz w:val="24"/>
          <w:szCs w:val="32"/>
          <w:lang w:val="en-US" w:eastAsia="zh-CN"/>
        </w:rPr>
        <w:t>表2-3 地表水现状监测点位布设一览表</w:t>
      </w:r>
    </w:p>
    <w:tbl>
      <w:tblPr>
        <w:tblStyle w:val="31"/>
        <w:tblW w:w="4999"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974"/>
        <w:gridCol w:w="7189"/>
        <w:gridCol w:w="1797"/>
      </w:tblGrid>
      <w:tr w14:paraId="086FC79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1994F3A6">
            <w:pPr>
              <w:spacing w:before="31" w:beforeLines="10" w:line="264" w:lineRule="auto"/>
              <w:jc w:val="center"/>
              <w:rPr>
                <w:rFonts w:hint="default" w:ascii="Times New Roman" w:hAnsi="Times New Roman" w:cs="Times New Roman"/>
                <w:b/>
                <w:color w:val="auto"/>
              </w:rPr>
            </w:pPr>
            <w:r>
              <w:rPr>
                <w:rFonts w:hint="default" w:ascii="Times New Roman" w:hAnsi="Times New Roman" w:cs="Times New Roman"/>
                <w:b/>
                <w:color w:val="auto"/>
              </w:rPr>
              <w:t>序号</w:t>
            </w:r>
          </w:p>
        </w:tc>
        <w:tc>
          <w:tcPr>
            <w:tcW w:w="3608" w:type="pct"/>
            <w:tcBorders>
              <w:tl2br w:val="nil"/>
              <w:tr2bl w:val="nil"/>
            </w:tcBorders>
            <w:shd w:val="clear" w:color="auto" w:fill="auto"/>
            <w:noWrap w:val="0"/>
            <w:vAlign w:val="center"/>
          </w:tcPr>
          <w:p w14:paraId="69E60080">
            <w:pPr>
              <w:spacing w:before="31" w:beforeLines="10" w:line="264" w:lineRule="auto"/>
              <w:jc w:val="center"/>
              <w:rPr>
                <w:rFonts w:hint="default" w:ascii="Times New Roman" w:hAnsi="Times New Roman" w:cs="Times New Roman"/>
                <w:b/>
                <w:color w:val="auto"/>
              </w:rPr>
            </w:pPr>
            <w:r>
              <w:rPr>
                <w:rFonts w:hint="default" w:ascii="Times New Roman" w:hAnsi="Times New Roman" w:cs="Times New Roman"/>
                <w:b/>
                <w:color w:val="auto"/>
              </w:rPr>
              <w:t>监测点位</w:t>
            </w:r>
          </w:p>
        </w:tc>
        <w:tc>
          <w:tcPr>
            <w:tcW w:w="902" w:type="pct"/>
            <w:tcBorders>
              <w:tl2br w:val="nil"/>
              <w:tr2bl w:val="nil"/>
            </w:tcBorders>
            <w:shd w:val="clear" w:color="auto" w:fill="auto"/>
            <w:noWrap w:val="0"/>
            <w:vAlign w:val="center"/>
          </w:tcPr>
          <w:p w14:paraId="79F629FF">
            <w:pPr>
              <w:spacing w:before="31" w:beforeLines="10" w:line="264" w:lineRule="auto"/>
              <w:jc w:val="center"/>
              <w:rPr>
                <w:rFonts w:hint="default" w:ascii="Times New Roman" w:hAnsi="Times New Roman" w:cs="Times New Roman"/>
                <w:b/>
                <w:color w:val="auto"/>
              </w:rPr>
            </w:pPr>
            <w:r>
              <w:rPr>
                <w:rFonts w:hint="default" w:ascii="Times New Roman" w:hAnsi="Times New Roman" w:cs="Times New Roman"/>
                <w:b/>
                <w:color w:val="auto"/>
              </w:rPr>
              <w:t>监测水系</w:t>
            </w:r>
          </w:p>
        </w:tc>
      </w:tr>
      <w:tr w14:paraId="2757423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498391F1">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1</w:t>
            </w:r>
          </w:p>
        </w:tc>
        <w:tc>
          <w:tcPr>
            <w:tcW w:w="3608" w:type="pct"/>
            <w:tcBorders>
              <w:tl2br w:val="nil"/>
              <w:tr2bl w:val="nil"/>
            </w:tcBorders>
            <w:shd w:val="clear" w:color="auto" w:fill="auto"/>
            <w:noWrap w:val="0"/>
            <w:vAlign w:val="center"/>
          </w:tcPr>
          <w:p w14:paraId="609D60F3">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濉溪县第二污水处理厂入巴河排污口上游200米</w:t>
            </w:r>
          </w:p>
        </w:tc>
        <w:tc>
          <w:tcPr>
            <w:tcW w:w="902" w:type="pct"/>
            <w:vMerge w:val="restart"/>
            <w:tcBorders>
              <w:tl2br w:val="nil"/>
              <w:tr2bl w:val="nil"/>
            </w:tcBorders>
            <w:shd w:val="clear" w:color="auto" w:fill="auto"/>
            <w:noWrap w:val="0"/>
            <w:vAlign w:val="center"/>
          </w:tcPr>
          <w:p w14:paraId="70E22B81">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szCs w:val="21"/>
              </w:rPr>
              <w:t>巴河</w:t>
            </w:r>
          </w:p>
        </w:tc>
      </w:tr>
      <w:tr w14:paraId="23964F2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61B46589">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2</w:t>
            </w:r>
          </w:p>
        </w:tc>
        <w:tc>
          <w:tcPr>
            <w:tcW w:w="3608" w:type="pct"/>
            <w:tcBorders>
              <w:tl2br w:val="nil"/>
              <w:tr2bl w:val="nil"/>
            </w:tcBorders>
            <w:shd w:val="clear" w:color="auto" w:fill="auto"/>
            <w:noWrap w:val="0"/>
            <w:vAlign w:val="center"/>
          </w:tcPr>
          <w:p w14:paraId="77890EDC">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濉溪县第二污水处理厂入巴河处</w:t>
            </w:r>
          </w:p>
        </w:tc>
        <w:tc>
          <w:tcPr>
            <w:tcW w:w="902" w:type="pct"/>
            <w:vMerge w:val="continue"/>
            <w:tcBorders>
              <w:tl2br w:val="nil"/>
              <w:tr2bl w:val="nil"/>
            </w:tcBorders>
            <w:shd w:val="clear" w:color="auto" w:fill="auto"/>
            <w:noWrap w:val="0"/>
            <w:vAlign w:val="center"/>
          </w:tcPr>
          <w:p w14:paraId="357DB8B0">
            <w:pPr>
              <w:spacing w:before="31" w:beforeLines="10" w:line="264" w:lineRule="auto"/>
              <w:jc w:val="center"/>
              <w:rPr>
                <w:rFonts w:hint="default" w:ascii="Times New Roman" w:hAnsi="Times New Roman" w:cs="Times New Roman"/>
                <w:color w:val="auto"/>
              </w:rPr>
            </w:pPr>
          </w:p>
        </w:tc>
      </w:tr>
      <w:tr w14:paraId="1C408C6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360188A1">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3</w:t>
            </w:r>
          </w:p>
        </w:tc>
        <w:tc>
          <w:tcPr>
            <w:tcW w:w="3608" w:type="pct"/>
            <w:tcBorders>
              <w:tl2br w:val="nil"/>
              <w:tr2bl w:val="nil"/>
            </w:tcBorders>
            <w:shd w:val="clear" w:color="auto" w:fill="auto"/>
            <w:noWrap w:val="0"/>
            <w:vAlign w:val="center"/>
          </w:tcPr>
          <w:p w14:paraId="294445ED">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濉溪县第二污水处理厂入王引河排污口下游500米</w:t>
            </w:r>
          </w:p>
        </w:tc>
        <w:tc>
          <w:tcPr>
            <w:tcW w:w="902" w:type="pct"/>
            <w:vMerge w:val="restart"/>
            <w:tcBorders>
              <w:tl2br w:val="nil"/>
              <w:tr2bl w:val="nil"/>
            </w:tcBorders>
            <w:shd w:val="clear" w:color="auto" w:fill="auto"/>
            <w:noWrap w:val="0"/>
            <w:vAlign w:val="center"/>
          </w:tcPr>
          <w:p w14:paraId="3AC109D9">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szCs w:val="21"/>
              </w:rPr>
              <w:t>王引河</w:t>
            </w:r>
          </w:p>
        </w:tc>
      </w:tr>
      <w:tr w14:paraId="1E83773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1D1F8A05">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4</w:t>
            </w:r>
          </w:p>
        </w:tc>
        <w:tc>
          <w:tcPr>
            <w:tcW w:w="3608" w:type="pct"/>
            <w:tcBorders>
              <w:tl2br w:val="nil"/>
              <w:tr2bl w:val="nil"/>
            </w:tcBorders>
            <w:shd w:val="clear" w:color="auto" w:fill="auto"/>
            <w:noWrap w:val="0"/>
            <w:vAlign w:val="center"/>
          </w:tcPr>
          <w:p w14:paraId="5714EA99">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濉溪县第二污水处理厂入王引河排污口下游1000米</w:t>
            </w:r>
          </w:p>
        </w:tc>
        <w:tc>
          <w:tcPr>
            <w:tcW w:w="902" w:type="pct"/>
            <w:vMerge w:val="continue"/>
            <w:tcBorders>
              <w:tl2br w:val="nil"/>
              <w:tr2bl w:val="nil"/>
            </w:tcBorders>
            <w:shd w:val="clear" w:color="auto" w:fill="auto"/>
            <w:noWrap w:val="0"/>
            <w:vAlign w:val="center"/>
          </w:tcPr>
          <w:p w14:paraId="347BDB35">
            <w:pPr>
              <w:spacing w:before="31" w:beforeLines="10" w:line="264" w:lineRule="auto"/>
              <w:jc w:val="center"/>
              <w:rPr>
                <w:rFonts w:hint="default" w:ascii="Times New Roman" w:hAnsi="Times New Roman" w:cs="Times New Roman"/>
                <w:color w:val="auto"/>
              </w:rPr>
            </w:pPr>
          </w:p>
        </w:tc>
      </w:tr>
      <w:tr w14:paraId="5601F95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39AE3B64">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5</w:t>
            </w:r>
          </w:p>
        </w:tc>
        <w:tc>
          <w:tcPr>
            <w:tcW w:w="3608" w:type="pct"/>
            <w:tcBorders>
              <w:tl2br w:val="nil"/>
              <w:tr2bl w:val="nil"/>
            </w:tcBorders>
            <w:shd w:val="clear" w:color="auto" w:fill="auto"/>
            <w:noWrap w:val="0"/>
            <w:vAlign w:val="center"/>
          </w:tcPr>
          <w:p w14:paraId="7AFEA71F">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濉溪县第二污水处理厂入王引河排污口下游1500米</w:t>
            </w:r>
          </w:p>
        </w:tc>
        <w:tc>
          <w:tcPr>
            <w:tcW w:w="902" w:type="pct"/>
            <w:vMerge w:val="continue"/>
            <w:tcBorders>
              <w:tl2br w:val="nil"/>
              <w:tr2bl w:val="nil"/>
            </w:tcBorders>
            <w:shd w:val="clear" w:color="auto" w:fill="auto"/>
            <w:noWrap w:val="0"/>
            <w:vAlign w:val="center"/>
          </w:tcPr>
          <w:p w14:paraId="13F75B52">
            <w:pPr>
              <w:spacing w:before="31" w:beforeLines="10" w:line="264" w:lineRule="auto"/>
              <w:jc w:val="center"/>
              <w:rPr>
                <w:rFonts w:hint="default" w:ascii="Times New Roman" w:hAnsi="Times New Roman" w:cs="Times New Roman"/>
                <w:color w:val="auto"/>
              </w:rPr>
            </w:pPr>
          </w:p>
        </w:tc>
      </w:tr>
    </w:tbl>
    <w:p w14:paraId="40C4C032">
      <w:pPr>
        <w:spacing w:line="360" w:lineRule="auto"/>
        <w:rPr>
          <w:color w:val="auto"/>
          <w:sz w:val="24"/>
          <w:szCs w:val="32"/>
        </w:rPr>
        <w:sectPr>
          <w:headerReference r:id="rId11" w:type="default"/>
          <w:footerReference r:id="rId12" w:type="default"/>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4531CD72">
      <w:pPr>
        <w:spacing w:line="360" w:lineRule="auto"/>
        <w:ind w:left="4620" w:hanging="4620" w:hangingChars="2200"/>
        <w:jc w:val="left"/>
        <w:rPr>
          <w:rFonts w:hint="default" w:eastAsia="宋体"/>
          <w:b/>
          <w:bCs/>
          <w:color w:val="auto"/>
          <w:sz w:val="24"/>
          <w:szCs w:val="32"/>
          <w:lang w:val="en-US" w:eastAsia="zh-CN"/>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r>
        <w:rPr>
          <w:color w:val="auto"/>
        </w:rPr>
        <w:drawing>
          <wp:anchor distT="0" distB="0" distL="114300" distR="114300" simplePos="0" relativeHeight="251766784" behindDoc="0" locked="0" layoutInCell="1" allowOverlap="1">
            <wp:simplePos x="0" y="0"/>
            <wp:positionH relativeFrom="column">
              <wp:posOffset>7795895</wp:posOffset>
            </wp:positionH>
            <wp:positionV relativeFrom="paragraph">
              <wp:posOffset>9525</wp:posOffset>
            </wp:positionV>
            <wp:extent cx="904875" cy="1220470"/>
            <wp:effectExtent l="0" t="0" r="9525" b="17780"/>
            <wp:wrapNone/>
            <wp:docPr id="150" name="图片 150"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风向标"/>
                    <pic:cNvPicPr>
                      <a:picLocks noChangeAspect="1"/>
                    </pic:cNvPicPr>
                  </pic:nvPicPr>
                  <pic:blipFill>
                    <a:blip r:embed="rId18"/>
                    <a:srcRect l="8090" t="1916" r="5231" b="6034"/>
                    <a:stretch>
                      <a:fillRect/>
                    </a:stretch>
                  </pic:blipFill>
                  <pic:spPr>
                    <a:xfrm>
                      <a:off x="0" y="0"/>
                      <a:ext cx="904875" cy="1220470"/>
                    </a:xfrm>
                    <a:prstGeom prst="rect">
                      <a:avLst/>
                    </a:prstGeom>
                  </pic:spPr>
                </pic:pic>
              </a:graphicData>
            </a:graphic>
          </wp:anchor>
        </w:drawing>
      </w:r>
      <w:r>
        <w:rPr>
          <w:color w:val="auto"/>
          <w:sz w:val="24"/>
        </w:rPr>
        <mc:AlternateContent>
          <mc:Choice Requires="wps">
            <w:drawing>
              <wp:anchor distT="0" distB="0" distL="114300" distR="114300" simplePos="0" relativeHeight="251763712" behindDoc="0" locked="0" layoutInCell="1" allowOverlap="1">
                <wp:simplePos x="0" y="0"/>
                <wp:positionH relativeFrom="column">
                  <wp:posOffset>4093845</wp:posOffset>
                </wp:positionH>
                <wp:positionV relativeFrom="paragraph">
                  <wp:posOffset>-8890</wp:posOffset>
                </wp:positionV>
                <wp:extent cx="4476750" cy="5854700"/>
                <wp:effectExtent l="0" t="0" r="0" b="12700"/>
                <wp:wrapNone/>
                <wp:docPr id="146" name="任意多边形 146"/>
                <wp:cNvGraphicFramePr/>
                <a:graphic xmlns:a="http://schemas.openxmlformats.org/drawingml/2006/main">
                  <a:graphicData uri="http://schemas.microsoft.com/office/word/2010/wordprocessingShape">
                    <wps:wsp>
                      <wps:cNvSpPr/>
                      <wps:spPr>
                        <a:xfrm>
                          <a:off x="5024120" y="679450"/>
                          <a:ext cx="4476750" cy="5854700"/>
                        </a:xfrm>
                        <a:custGeom>
                          <a:avLst/>
                          <a:gdLst>
                            <a:gd name="connisteX0" fmla="*/ 0 w 4476750"/>
                            <a:gd name="connsiteY0" fmla="*/ 12700 h 5854700"/>
                            <a:gd name="connisteX1" fmla="*/ 323850 w 4476750"/>
                            <a:gd name="connsiteY1" fmla="*/ 508000 h 5854700"/>
                            <a:gd name="connisteX2" fmla="*/ 565150 w 4476750"/>
                            <a:gd name="connsiteY2" fmla="*/ 914400 h 5854700"/>
                            <a:gd name="connisteX3" fmla="*/ 990600 w 4476750"/>
                            <a:gd name="connsiteY3" fmla="*/ 1536700 h 5854700"/>
                            <a:gd name="connisteX4" fmla="*/ 1397000 w 4476750"/>
                            <a:gd name="connsiteY4" fmla="*/ 2082800 h 5854700"/>
                            <a:gd name="connisteX5" fmla="*/ 1549400 w 4476750"/>
                            <a:gd name="connsiteY5" fmla="*/ 2222500 h 5854700"/>
                            <a:gd name="connisteX6" fmla="*/ 1562100 w 4476750"/>
                            <a:gd name="connsiteY6" fmla="*/ 2489200 h 5854700"/>
                            <a:gd name="connisteX7" fmla="*/ 1631950 w 4476750"/>
                            <a:gd name="connsiteY7" fmla="*/ 2806700 h 5854700"/>
                            <a:gd name="connisteX8" fmla="*/ 1847850 w 4476750"/>
                            <a:gd name="connsiteY8" fmla="*/ 3327400 h 5854700"/>
                            <a:gd name="connisteX9" fmla="*/ 2006600 w 4476750"/>
                            <a:gd name="connsiteY9" fmla="*/ 4006850 h 5854700"/>
                            <a:gd name="connisteX10" fmla="*/ 2089150 w 4476750"/>
                            <a:gd name="connsiteY10" fmla="*/ 4235450 h 5854700"/>
                            <a:gd name="connisteX11" fmla="*/ 2533650 w 4476750"/>
                            <a:gd name="connsiteY11" fmla="*/ 4616450 h 5854700"/>
                            <a:gd name="connisteX12" fmla="*/ 3143250 w 4476750"/>
                            <a:gd name="connsiteY12" fmla="*/ 5086350 h 5854700"/>
                            <a:gd name="connisteX13" fmla="*/ 3657600 w 4476750"/>
                            <a:gd name="connsiteY13" fmla="*/ 5556250 h 5854700"/>
                            <a:gd name="connisteX14" fmla="*/ 4070350 w 4476750"/>
                            <a:gd name="connsiteY14" fmla="*/ 5759450 h 5854700"/>
                            <a:gd name="connisteX15" fmla="*/ 4273550 w 4476750"/>
                            <a:gd name="connsiteY15" fmla="*/ 5854700 h 5854700"/>
                            <a:gd name="connisteX16" fmla="*/ 4476750 w 4476750"/>
                            <a:gd name="connsiteY16" fmla="*/ 5835650 h 5854700"/>
                            <a:gd name="connisteX17" fmla="*/ 4032250 w 4476750"/>
                            <a:gd name="connsiteY17" fmla="*/ 5664200 h 5854700"/>
                            <a:gd name="connisteX18" fmla="*/ 3803650 w 4476750"/>
                            <a:gd name="connsiteY18" fmla="*/ 5530850 h 5854700"/>
                            <a:gd name="connisteX19" fmla="*/ 3479800 w 4476750"/>
                            <a:gd name="connsiteY19" fmla="*/ 5289550 h 5854700"/>
                            <a:gd name="connisteX20" fmla="*/ 3232150 w 4476750"/>
                            <a:gd name="connsiteY20" fmla="*/ 5035550 h 5854700"/>
                            <a:gd name="connisteX21" fmla="*/ 2921000 w 4476750"/>
                            <a:gd name="connsiteY21" fmla="*/ 4775200 h 5854700"/>
                            <a:gd name="connisteX22" fmla="*/ 2590800 w 4476750"/>
                            <a:gd name="connsiteY22" fmla="*/ 4540250 h 5854700"/>
                            <a:gd name="connisteX23" fmla="*/ 2292350 w 4476750"/>
                            <a:gd name="connsiteY23" fmla="*/ 4305300 h 5854700"/>
                            <a:gd name="connisteX24" fmla="*/ 2165350 w 4476750"/>
                            <a:gd name="connsiteY24" fmla="*/ 4197350 h 5854700"/>
                            <a:gd name="connisteX25" fmla="*/ 2127250 w 4476750"/>
                            <a:gd name="connsiteY25" fmla="*/ 3975100 h 5854700"/>
                            <a:gd name="connisteX26" fmla="*/ 2012950 w 4476750"/>
                            <a:gd name="connsiteY26" fmla="*/ 3568700 h 5854700"/>
                            <a:gd name="connisteX27" fmla="*/ 1974850 w 4476750"/>
                            <a:gd name="connsiteY27" fmla="*/ 3314700 h 5854700"/>
                            <a:gd name="connisteX28" fmla="*/ 1816100 w 4476750"/>
                            <a:gd name="connsiteY28" fmla="*/ 2990850 h 5854700"/>
                            <a:gd name="connisteX29" fmla="*/ 1708150 w 4476750"/>
                            <a:gd name="connsiteY29" fmla="*/ 2679700 h 5854700"/>
                            <a:gd name="connisteX30" fmla="*/ 1663700 w 4476750"/>
                            <a:gd name="connsiteY30" fmla="*/ 2438400 h 5854700"/>
                            <a:gd name="connisteX31" fmla="*/ 1663700 w 4476750"/>
                            <a:gd name="connsiteY31" fmla="*/ 2298700 h 5854700"/>
                            <a:gd name="connisteX32" fmla="*/ 1631950 w 4476750"/>
                            <a:gd name="connsiteY32" fmla="*/ 2190750 h 5854700"/>
                            <a:gd name="connisteX33" fmla="*/ 1492250 w 4476750"/>
                            <a:gd name="connsiteY33" fmla="*/ 2025650 h 5854700"/>
                            <a:gd name="connisteX34" fmla="*/ 990600 w 4476750"/>
                            <a:gd name="connsiteY34" fmla="*/ 1327150 h 5854700"/>
                            <a:gd name="connisteX35" fmla="*/ 654050 w 4476750"/>
                            <a:gd name="connsiteY35" fmla="*/ 857250 h 5854700"/>
                            <a:gd name="connisteX36" fmla="*/ 488950 w 4476750"/>
                            <a:gd name="connsiteY36" fmla="*/ 590550 h 5854700"/>
                            <a:gd name="connisteX37" fmla="*/ 254000 w 4476750"/>
                            <a:gd name="connsiteY37" fmla="*/ 222250 h 5854700"/>
                            <a:gd name="connisteX38" fmla="*/ 158750 w 4476750"/>
                            <a:gd name="connsiteY38" fmla="*/ 38100 h 5854700"/>
                            <a:gd name="connisteX39" fmla="*/ 127000 w 4476750"/>
                            <a:gd name="connsiteY39" fmla="*/ 0 h 5854700"/>
                            <a:gd name="connisteX40" fmla="*/ 0 w 4476750"/>
                            <a:gd name="connsiteY40" fmla="*/ 12700 h 58547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Lst>
                          <a:rect l="l" t="t" r="r" b="b"/>
                          <a:pathLst>
                            <a:path w="4476750" h="5854700">
                              <a:moveTo>
                                <a:pt x="0" y="12700"/>
                              </a:moveTo>
                              <a:lnTo>
                                <a:pt x="323850" y="508000"/>
                              </a:lnTo>
                              <a:lnTo>
                                <a:pt x="565150" y="914400"/>
                              </a:lnTo>
                              <a:lnTo>
                                <a:pt x="990600" y="1536700"/>
                              </a:lnTo>
                              <a:lnTo>
                                <a:pt x="1397000" y="2082800"/>
                              </a:lnTo>
                              <a:lnTo>
                                <a:pt x="1549400" y="2222500"/>
                              </a:lnTo>
                              <a:lnTo>
                                <a:pt x="1562100" y="2489200"/>
                              </a:lnTo>
                              <a:lnTo>
                                <a:pt x="1631950" y="2806700"/>
                              </a:lnTo>
                              <a:lnTo>
                                <a:pt x="1847850" y="3327400"/>
                              </a:lnTo>
                              <a:lnTo>
                                <a:pt x="2006600" y="4006850"/>
                              </a:lnTo>
                              <a:lnTo>
                                <a:pt x="2089150" y="4235450"/>
                              </a:lnTo>
                              <a:lnTo>
                                <a:pt x="2533650" y="4616450"/>
                              </a:lnTo>
                              <a:lnTo>
                                <a:pt x="3143250" y="5086350"/>
                              </a:lnTo>
                              <a:lnTo>
                                <a:pt x="3657600" y="5556250"/>
                              </a:lnTo>
                              <a:lnTo>
                                <a:pt x="4070350" y="5759450"/>
                              </a:lnTo>
                              <a:lnTo>
                                <a:pt x="4273550" y="5854700"/>
                              </a:lnTo>
                              <a:lnTo>
                                <a:pt x="4476750" y="5835650"/>
                              </a:lnTo>
                              <a:lnTo>
                                <a:pt x="4032250" y="5664200"/>
                              </a:lnTo>
                              <a:lnTo>
                                <a:pt x="3803650" y="5530850"/>
                              </a:lnTo>
                              <a:lnTo>
                                <a:pt x="3479800" y="5289550"/>
                              </a:lnTo>
                              <a:lnTo>
                                <a:pt x="3232150" y="5035550"/>
                              </a:lnTo>
                              <a:lnTo>
                                <a:pt x="2921000" y="4775200"/>
                              </a:lnTo>
                              <a:lnTo>
                                <a:pt x="2590800" y="4540250"/>
                              </a:lnTo>
                              <a:lnTo>
                                <a:pt x="2292350" y="4305300"/>
                              </a:lnTo>
                              <a:lnTo>
                                <a:pt x="2165350" y="4197350"/>
                              </a:lnTo>
                              <a:lnTo>
                                <a:pt x="2127250" y="3975100"/>
                              </a:lnTo>
                              <a:lnTo>
                                <a:pt x="2012950" y="3568700"/>
                              </a:lnTo>
                              <a:lnTo>
                                <a:pt x="1974850" y="3314700"/>
                              </a:lnTo>
                              <a:lnTo>
                                <a:pt x="1816100" y="2990850"/>
                              </a:lnTo>
                              <a:lnTo>
                                <a:pt x="1708150" y="2679700"/>
                              </a:lnTo>
                              <a:lnTo>
                                <a:pt x="1663700" y="2438400"/>
                              </a:lnTo>
                              <a:lnTo>
                                <a:pt x="1663700" y="2298700"/>
                              </a:lnTo>
                              <a:lnTo>
                                <a:pt x="1631950" y="2190750"/>
                              </a:lnTo>
                              <a:lnTo>
                                <a:pt x="1492250" y="2025650"/>
                              </a:lnTo>
                              <a:lnTo>
                                <a:pt x="990600" y="1327150"/>
                              </a:lnTo>
                              <a:lnTo>
                                <a:pt x="654050" y="857250"/>
                              </a:lnTo>
                              <a:lnTo>
                                <a:pt x="488950" y="590550"/>
                              </a:lnTo>
                              <a:lnTo>
                                <a:pt x="254000" y="222250"/>
                              </a:lnTo>
                              <a:lnTo>
                                <a:pt x="158750" y="38100"/>
                              </a:lnTo>
                              <a:lnTo>
                                <a:pt x="127000" y="0"/>
                              </a:lnTo>
                              <a:lnTo>
                                <a:pt x="0" y="12700"/>
                              </a:lnTo>
                              <a:close/>
                            </a:path>
                          </a:pathLst>
                        </a:custGeom>
                        <a:gradFill>
                          <a:gsLst>
                            <a:gs pos="0">
                              <a:srgbClr val="CFF9AE">
                                <a:alpha val="11000"/>
                              </a:srgbClr>
                            </a:gs>
                            <a:gs pos="90000">
                              <a:srgbClr val="49E7CE"/>
                            </a:gs>
                          </a:gsLst>
                          <a:path path="circle">
                            <a:fillToRect l="100000" t="100000"/>
                          </a:path>
                          <a:tileRect r="-100000" b="-100000"/>
                        </a:gradFill>
                        <a:ln>
                          <a:no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22.35pt;margin-top:-0.7pt;height:461pt;width:352.5pt;z-index:251763712;mso-width-relative:page;mso-height-relative:page;" fillcolor="#CFF9AE" filled="t" stroked="f" coordsize="4476750,5854700" o:gfxdata="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" path="m0,12700l323850,508000,565150,914400,990600,1536700,1397000,2082800,1549400,2222500,1562100,2489200,1631950,2806700,1847850,3327400,2006600,4006850,2089150,4235450,2533650,4616450,3143250,5086350,3657600,5556250,4070350,5759450,4273550,5854700,4476750,5835650,4032250,5664200,3803650,5530850,3479800,5289550,3232150,5035550,2921000,4775200,2590800,4540250,2292350,4305300,2165350,4197350,2127250,3975100,2012950,3568700,1974850,3314700,1816100,2990850,1708150,2679700,1663700,2438400,1663700,2298700,1631950,2190750,1492250,2025650,990600,1327150,654050,857250,488950,590550,254000,222250,158750,38100,127000,0,0,12700xe">
                <v:path o:connectlocs="0,12700;323850,508000;565150,914400;990600,1536700;1397000,2082800;1549400,2222500;1562100,2489200;1631950,2806700;1847850,3327400;2006600,4006850;2089150,4235450;2533650,4616450;3143250,5086350;3657600,5556250;4070350,5759450;4273550,5854700;4476750,5835650;4032250,5664200;3803650,5530850;3479800,5289550;3232150,5035550;2921000,4775200;2590800,4540250;2292350,4305300;2165350,4197350;2127250,3975100;2012950,3568700;1974850,3314700;1816100,2990850;1708150,2679700;1663700,2438400;1663700,2298700;1631950,2190750;1492250,2025650;990600,1327150;654050,857250;488950,590550;254000,222250;158750,38100;127000,0;0,12700" o:connectangles="0,0,0,0,0,0,0,0,0,0,0,0,0,0,0,0,0,0,0,0,0,0,0,0,0,0,0,0,0,0,0,0,0,0,0,0,0,0,0,0,0"/>
                <v:fill type="gradientRadial" on="t" color2="#49E7CE" opacity="7208f" focus="100%" focussize="0f,0f" focusposition="65536f,65536f" rotate="t">
                  <o:fill type="gradientRadial" v:ext="backwardCompatible"/>
                </v:fill>
                <v:stroke on="f" weight="2pt"/>
                <v:imagedata o:title=""/>
                <o:lock v:ext="edit" aspectratio="f"/>
              </v:shape>
            </w:pict>
          </mc:Fallback>
        </mc:AlternateContent>
      </w:r>
      <w:r>
        <w:rPr>
          <w:color w:val="auto"/>
          <w:sz w:val="24"/>
        </w:rPr>
        <mc:AlternateContent>
          <mc:Choice Requires="wps">
            <w:drawing>
              <wp:anchor distT="0" distB="0" distL="114300" distR="114300" simplePos="0" relativeHeight="251753472" behindDoc="0" locked="0" layoutInCell="1" allowOverlap="1">
                <wp:simplePos x="0" y="0"/>
                <wp:positionH relativeFrom="column">
                  <wp:posOffset>5410835</wp:posOffset>
                </wp:positionH>
                <wp:positionV relativeFrom="paragraph">
                  <wp:posOffset>3915410</wp:posOffset>
                </wp:positionV>
                <wp:extent cx="424815" cy="307975"/>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424815"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4976EE">
                            <w:pPr>
                              <w:rPr>
                                <w:rFonts w:hint="default" w:eastAsia="宋体"/>
                                <w:b/>
                                <w:bCs/>
                                <w:color w:val="FFFF00"/>
                                <w:sz w:val="22"/>
                                <w:szCs w:val="28"/>
                                <w:lang w:val="en-US" w:eastAsia="zh-CN"/>
                              </w:rPr>
                            </w:pPr>
                            <w:r>
                              <w:rPr>
                                <w:rFonts w:hint="eastAsia"/>
                                <w:b/>
                                <w:bCs/>
                                <w:color w:val="FFFF00"/>
                                <w:sz w:val="22"/>
                                <w:szCs w:val="28"/>
                                <w:lang w:val="en-US" w:eastAsia="zh-CN"/>
                              </w:rPr>
                              <w:t>W2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05pt;margin-top:308.3pt;height:24.25pt;width:33.45pt;z-index:251753472;mso-width-relative:page;mso-height-relative:page;" filled="f" stroked="f" coordsize="21600,21600" o:gfxdata="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6ByarbAAAACwEAAA8AAAAAAAAAAQAgAAAAIgAA&#10;AGRycy9kb3ducmV2LnhtbFBLAQIUABQAAAAIAIdO4kBPTW58PgIAAGkEAAAOAAAAAAAAAAEAIAAA&#10;ACoBAABkcnMvZTJvRG9jLnhtbFBLBQYAAAAABgAGAFkBAADaBQAAAAA=&#10;">
                <v:fill on="f" focussize="0,0"/>
                <v:stroke on="f" weight="0.5pt"/>
                <v:imagedata o:title=""/>
                <o:lock v:ext="edit" aspectratio="f"/>
                <v:textbox>
                  <w:txbxContent>
                    <w:p w14:paraId="524976EE">
                      <w:pPr>
                        <w:rPr>
                          <w:rFonts w:hint="default" w:eastAsia="宋体"/>
                          <w:b/>
                          <w:bCs/>
                          <w:color w:val="FFFF00"/>
                          <w:sz w:val="22"/>
                          <w:szCs w:val="28"/>
                          <w:lang w:val="en-US" w:eastAsia="zh-CN"/>
                        </w:rPr>
                      </w:pPr>
                      <w:r>
                        <w:rPr>
                          <w:rFonts w:hint="eastAsia"/>
                          <w:b/>
                          <w:bCs/>
                          <w:color w:val="FFFF00"/>
                          <w:sz w:val="22"/>
                          <w:szCs w:val="28"/>
                          <w:lang w:val="en-US" w:eastAsia="zh-CN"/>
                        </w:rPr>
                        <w:t>W2</w:t>
                      </w:r>
                    </w:p>
                  </w:txbxContent>
                </v:textbox>
              </v:shape>
            </w:pict>
          </mc:Fallback>
        </mc:AlternateContent>
      </w:r>
      <w:r>
        <w:rPr>
          <w:color w:val="auto"/>
          <w:sz w:val="24"/>
        </w:rPr>
        <mc:AlternateContent>
          <mc:Choice Requires="wps">
            <w:drawing>
              <wp:anchor distT="0" distB="0" distL="114300" distR="114300" simplePos="0" relativeHeight="251752448" behindDoc="0" locked="0" layoutInCell="1" allowOverlap="1">
                <wp:simplePos x="0" y="0"/>
                <wp:positionH relativeFrom="column">
                  <wp:posOffset>5426710</wp:posOffset>
                </wp:positionH>
                <wp:positionV relativeFrom="paragraph">
                  <wp:posOffset>3374390</wp:posOffset>
                </wp:positionV>
                <wp:extent cx="189865" cy="610235"/>
                <wp:effectExtent l="13970" t="0" r="24765" b="18415"/>
                <wp:wrapNone/>
                <wp:docPr id="134" name="直接箭头连接符 134"/>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427.3pt;margin-top:265.7pt;height:48.05pt;width:14.95pt;z-index:251752448;mso-width-relative:page;mso-height-relative:page;" filled="f" stroked="t" coordsize="21600,21600" o:gfxdata="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kJwSzZAAAA&#10;CwEAAA8AAAAAAAAAAQAgAAAAIgAAAGRycy9kb3ducmV2LnhtbFBLAQIUABQAAAAIAIdO4kDjzrNA&#10;HAIAAB0EAAAOAAAAAAAAAAEAIAAAACgBAABkcnMvZTJvRG9jLnhtbFBLBQYAAAAABgAGAFkBAAC2&#10;BQ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5520" behindDoc="0" locked="0" layoutInCell="1" allowOverlap="1">
                <wp:simplePos x="0" y="0"/>
                <wp:positionH relativeFrom="column">
                  <wp:posOffset>5959475</wp:posOffset>
                </wp:positionH>
                <wp:positionV relativeFrom="paragraph">
                  <wp:posOffset>4203700</wp:posOffset>
                </wp:positionV>
                <wp:extent cx="424815" cy="36703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424815" cy="367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2EB72E">
                            <w:pPr>
                              <w:rPr>
                                <w:rFonts w:hint="default" w:eastAsia="宋体"/>
                                <w:b/>
                                <w:bCs/>
                                <w:color w:val="FFFF00"/>
                                <w:sz w:val="22"/>
                                <w:szCs w:val="28"/>
                                <w:lang w:val="en-US" w:eastAsia="zh-CN"/>
                              </w:rPr>
                            </w:pPr>
                            <w:r>
                              <w:rPr>
                                <w:rFonts w:hint="eastAsia"/>
                                <w:b/>
                                <w:bCs/>
                                <w:color w:val="FFFF00"/>
                                <w:sz w:val="22"/>
                                <w:szCs w:val="28"/>
                                <w:lang w:val="en-US" w:eastAsia="zh-CN"/>
                              </w:rPr>
                              <w:t>W3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9.25pt;margin-top:331pt;height:28.9pt;width:33.45pt;z-index:251755520;mso-width-relative:page;mso-height-relative:page;" filled="f" stroked="f" coordsize="21600,21600" o:gfxdata="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D8w0gt0AAAAMAQAADwAAAAAAAAABACAAAAAi&#10;AAAAZHJzL2Rvd25yZXYueG1sUEsBAhQAFAAAAAgAh07iQG5Jies+AgAAaQQAAA4AAAAAAAAAAQAg&#10;AAAALAEAAGRycy9lMm9Eb2MueG1sUEsFBgAAAAAGAAYAWQEAANwFAAAAAA==&#10;">
                <v:fill on="f" focussize="0,0"/>
                <v:stroke on="f" weight="0.5pt"/>
                <v:imagedata o:title=""/>
                <o:lock v:ext="edit" aspectratio="f"/>
                <v:textbox>
                  <w:txbxContent>
                    <w:p w14:paraId="722EB72E">
                      <w:pPr>
                        <w:rPr>
                          <w:rFonts w:hint="default" w:eastAsia="宋体"/>
                          <w:b/>
                          <w:bCs/>
                          <w:color w:val="FFFF00"/>
                          <w:sz w:val="22"/>
                          <w:szCs w:val="28"/>
                          <w:lang w:val="en-US" w:eastAsia="zh-CN"/>
                        </w:rPr>
                      </w:pPr>
                      <w:r>
                        <w:rPr>
                          <w:rFonts w:hint="eastAsia"/>
                          <w:b/>
                          <w:bCs/>
                          <w:color w:val="FFFF00"/>
                          <w:sz w:val="22"/>
                          <w:szCs w:val="28"/>
                          <w:lang w:val="en-US" w:eastAsia="zh-CN"/>
                        </w:rPr>
                        <w:t>W3</w:t>
                      </w:r>
                    </w:p>
                  </w:txbxContent>
                </v:textbox>
              </v:shape>
            </w:pict>
          </mc:Fallback>
        </mc:AlternateContent>
      </w:r>
      <w:r>
        <w:rPr>
          <w:color w:val="auto"/>
          <w:sz w:val="24"/>
        </w:rPr>
        <mc:AlternateContent>
          <mc:Choice Requires="wps">
            <w:drawing>
              <wp:anchor distT="0" distB="0" distL="114300" distR="114300" simplePos="0" relativeHeight="251754496" behindDoc="0" locked="0" layoutInCell="1" allowOverlap="1">
                <wp:simplePos x="0" y="0"/>
                <wp:positionH relativeFrom="column">
                  <wp:posOffset>5962015</wp:posOffset>
                </wp:positionH>
                <wp:positionV relativeFrom="paragraph">
                  <wp:posOffset>3710940</wp:posOffset>
                </wp:positionV>
                <wp:extent cx="189865" cy="610235"/>
                <wp:effectExtent l="13970" t="0" r="24765" b="18415"/>
                <wp:wrapNone/>
                <wp:docPr id="136" name="直接箭头连接符 136"/>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469.45pt;margin-top:292.2pt;height:48.05pt;width:14.95pt;z-index:251754496;mso-width-relative:page;mso-height-relative:page;" filled="f" stroked="t" coordsize="21600,21600" o:gfxdata="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DuHMdkAAAAL&#10;AQAADwAAAAAAAAABACAAAAAiAAAAZHJzL2Rvd25yZXYueG1sUEsBAhQAFAAAAAgAh07iQNTzU6Ub&#10;AgAAHQQAAA4AAAAAAAAAAQAgAAAAKAEAAGRycy9lMm9Eb2MueG1sUEsFBgAAAAAGAAYAWQEAALUF&#10;A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6544" behindDoc="0" locked="0" layoutInCell="1" allowOverlap="1">
                <wp:simplePos x="0" y="0"/>
                <wp:positionH relativeFrom="column">
                  <wp:posOffset>6673215</wp:posOffset>
                </wp:positionH>
                <wp:positionV relativeFrom="paragraph">
                  <wp:posOffset>4344670</wp:posOffset>
                </wp:positionV>
                <wp:extent cx="189865" cy="610235"/>
                <wp:effectExtent l="13970" t="0" r="24765" b="18415"/>
                <wp:wrapNone/>
                <wp:docPr id="138" name="直接箭头连接符 138"/>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525.45pt;margin-top:342.1pt;height:48.05pt;width:14.95pt;z-index:251756544;mso-width-relative:page;mso-height-relative:page;" filled="f" stroked="t" coordsize="21600,21600" o:gfxdata="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CiatW9kAAAAN&#10;AQAADwAAAAAAAAABACAAAAAiAAAAZHJzL2Rvd25yZXYueG1sUEsBAhQAFAAAAAgAh07iQJJKYHEb&#10;AgAAHQQAAA4AAAAAAAAAAQAgAAAAKAEAAGRycy9lMm9Eb2MueG1sUEsFBgAAAAAGAAYAWQEAALUF&#10;A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7568" behindDoc="0" locked="0" layoutInCell="1" allowOverlap="1">
                <wp:simplePos x="0" y="0"/>
                <wp:positionH relativeFrom="column">
                  <wp:posOffset>6622415</wp:posOffset>
                </wp:positionH>
                <wp:positionV relativeFrom="paragraph">
                  <wp:posOffset>4830445</wp:posOffset>
                </wp:positionV>
                <wp:extent cx="424815" cy="36703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424815" cy="367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C32107">
                            <w:pPr>
                              <w:rPr>
                                <w:rFonts w:hint="default" w:eastAsia="宋体"/>
                                <w:b/>
                                <w:bCs/>
                                <w:color w:val="FFFF00"/>
                                <w:sz w:val="22"/>
                                <w:szCs w:val="28"/>
                                <w:lang w:val="en-US" w:eastAsia="zh-CN"/>
                              </w:rPr>
                            </w:pPr>
                            <w:r>
                              <w:rPr>
                                <w:rFonts w:hint="eastAsia"/>
                                <w:b/>
                                <w:bCs/>
                                <w:color w:val="FFFF00"/>
                                <w:sz w:val="22"/>
                                <w:szCs w:val="28"/>
                                <w:lang w:val="en-US" w:eastAsia="zh-CN"/>
                              </w:rPr>
                              <w:t>W4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1.45pt;margin-top:380.35pt;height:28.9pt;width:33.45pt;z-index:251757568;mso-width-relative:page;mso-height-relative:page;" filled="f" stroked="f" coordsize="21600,21600" o:gfxdata="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1EpF1t0AAAANAQAADwAAAAAAAAABACAAAAAi&#10;AAAAZHJzL2Rvd25yZXYueG1sUEsBAhQAFAAAAAgAh07iQGkSaDQ+AgAAaQQAAA4AAAAAAAAAAQAg&#10;AAAALAEAAGRycy9lMm9Eb2MueG1sUEsFBgAAAAAGAAYAWQEAANwFAAAAAA==&#10;">
                <v:fill on="f" focussize="0,0"/>
                <v:stroke on="f" weight="0.5pt"/>
                <v:imagedata o:title=""/>
                <o:lock v:ext="edit" aspectratio="f"/>
                <v:textbox>
                  <w:txbxContent>
                    <w:p w14:paraId="49C32107">
                      <w:pPr>
                        <w:rPr>
                          <w:rFonts w:hint="default" w:eastAsia="宋体"/>
                          <w:b/>
                          <w:bCs/>
                          <w:color w:val="FFFF00"/>
                          <w:sz w:val="22"/>
                          <w:szCs w:val="28"/>
                          <w:lang w:val="en-US" w:eastAsia="zh-CN"/>
                        </w:rPr>
                      </w:pPr>
                      <w:r>
                        <w:rPr>
                          <w:rFonts w:hint="eastAsia"/>
                          <w:b/>
                          <w:bCs/>
                          <w:color w:val="FFFF00"/>
                          <w:sz w:val="22"/>
                          <w:szCs w:val="28"/>
                          <w:lang w:val="en-US" w:eastAsia="zh-CN"/>
                        </w:rPr>
                        <w:t>W4</w:t>
                      </w:r>
                    </w:p>
                  </w:txbxContent>
                </v:textbox>
              </v:shape>
            </w:pict>
          </mc:Fallback>
        </mc:AlternateContent>
      </w:r>
      <w:r>
        <w:rPr>
          <w:color w:val="auto"/>
          <w:sz w:val="24"/>
        </w:rPr>
        <mc:AlternateContent>
          <mc:Choice Requires="wps">
            <w:drawing>
              <wp:anchor distT="0" distB="0" distL="114300" distR="114300" simplePos="0" relativeHeight="251758592" behindDoc="0" locked="0" layoutInCell="1" allowOverlap="1">
                <wp:simplePos x="0" y="0"/>
                <wp:positionH relativeFrom="column">
                  <wp:posOffset>7116445</wp:posOffset>
                </wp:positionH>
                <wp:positionV relativeFrom="paragraph">
                  <wp:posOffset>4637405</wp:posOffset>
                </wp:positionV>
                <wp:extent cx="189865" cy="610235"/>
                <wp:effectExtent l="13970" t="0" r="24765" b="18415"/>
                <wp:wrapNone/>
                <wp:docPr id="140" name="直接箭头连接符 140"/>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560.35pt;margin-top:365.15pt;height:48.05pt;width:14.95pt;z-index:251758592;mso-width-relative:page;mso-height-relative:page;" filled="f" stroked="t" coordsize="21600,21600" o:gfxdata="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ZbmDaAAAA&#10;DQEAAA8AAAAAAAAAAQAgAAAAIgAAAGRycy9kb3ducmV2LnhtbFBLAQIUABQAAAAIAIdO4kBCWbcf&#10;GwIAAB0EAAAOAAAAAAAAAAEAIAAAACkBAABkcnMvZTJvRG9jLnhtbFBLBQYAAAAABgAGAFkBAAC2&#10;BQ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9616" behindDoc="0" locked="0" layoutInCell="1" allowOverlap="1">
                <wp:simplePos x="0" y="0"/>
                <wp:positionH relativeFrom="column">
                  <wp:posOffset>7086600</wp:posOffset>
                </wp:positionH>
                <wp:positionV relativeFrom="paragraph">
                  <wp:posOffset>5121275</wp:posOffset>
                </wp:positionV>
                <wp:extent cx="424815" cy="36703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424815" cy="367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3ECC99">
                            <w:pPr>
                              <w:rPr>
                                <w:rFonts w:hint="default" w:eastAsia="宋体"/>
                                <w:b/>
                                <w:bCs/>
                                <w:color w:val="FFFF00"/>
                                <w:sz w:val="22"/>
                                <w:szCs w:val="28"/>
                                <w:lang w:val="en-US" w:eastAsia="zh-CN"/>
                              </w:rPr>
                            </w:pPr>
                            <w:r>
                              <w:rPr>
                                <w:rFonts w:hint="eastAsia"/>
                                <w:b/>
                                <w:bCs/>
                                <w:color w:val="FFFF00"/>
                                <w:sz w:val="22"/>
                                <w:szCs w:val="28"/>
                                <w:lang w:val="en-US" w:eastAsia="zh-CN"/>
                              </w:rPr>
                              <w:t>W5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8pt;margin-top:403.25pt;height:28.9pt;width:33.45pt;z-index:251759616;mso-width-relative:page;mso-height-relative:page;" filled="f" stroked="f" coordsize="21600,21600" o:gfxdata="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h6Cy90AAAANAQAADwAAAAAAAAABACAAAAAi&#10;AAAAZHJzL2Rvd25yZXYueG1sUEsBAhQAFAAAAAgAh07iQDzShBA+AgAAaQQAAA4AAAAAAAAAAQAg&#10;AAAALAEAAGRycy9lMm9Eb2MueG1sUEsFBgAAAAAGAAYAWQEAANwFAAAAAA==&#10;">
                <v:fill on="f" focussize="0,0"/>
                <v:stroke on="f" weight="0.5pt"/>
                <v:imagedata o:title=""/>
                <o:lock v:ext="edit" aspectratio="f"/>
                <v:textbox>
                  <w:txbxContent>
                    <w:p w14:paraId="573ECC99">
                      <w:pPr>
                        <w:rPr>
                          <w:rFonts w:hint="default" w:eastAsia="宋体"/>
                          <w:b/>
                          <w:bCs/>
                          <w:color w:val="FFFF00"/>
                          <w:sz w:val="22"/>
                          <w:szCs w:val="28"/>
                          <w:lang w:val="en-US" w:eastAsia="zh-CN"/>
                        </w:rPr>
                      </w:pPr>
                      <w:r>
                        <w:rPr>
                          <w:rFonts w:hint="eastAsia"/>
                          <w:b/>
                          <w:bCs/>
                          <w:color w:val="FFFF00"/>
                          <w:sz w:val="22"/>
                          <w:szCs w:val="28"/>
                          <w:lang w:val="en-US" w:eastAsia="zh-CN"/>
                        </w:rPr>
                        <w:t>W5</w:t>
                      </w:r>
                    </w:p>
                  </w:txbxContent>
                </v:textbox>
              </v:shape>
            </w:pict>
          </mc:Fallback>
        </mc:AlternateContent>
      </w:r>
      <w:r>
        <w:rPr>
          <w:color w:val="auto"/>
          <w:sz w:val="24"/>
        </w:rPr>
        <mc:AlternateContent>
          <mc:Choice Requires="wps">
            <w:drawing>
              <wp:anchor distT="0" distB="0" distL="114300" distR="114300" simplePos="0" relativeHeight="251765760" behindDoc="0" locked="0" layoutInCell="1" allowOverlap="1">
                <wp:simplePos x="0" y="0"/>
                <wp:positionH relativeFrom="column">
                  <wp:posOffset>5020310</wp:posOffset>
                </wp:positionH>
                <wp:positionV relativeFrom="paragraph">
                  <wp:posOffset>1037590</wp:posOffset>
                </wp:positionV>
                <wp:extent cx="773430" cy="307975"/>
                <wp:effectExtent l="0" t="0" r="0" b="0"/>
                <wp:wrapNone/>
                <wp:docPr id="149" name="文本框 149"/>
                <wp:cNvGraphicFramePr/>
                <a:graphic xmlns:a="http://schemas.openxmlformats.org/drawingml/2006/main">
                  <a:graphicData uri="http://schemas.microsoft.com/office/word/2010/wordprocessingShape">
                    <wps:wsp>
                      <wps:cNvSpPr txBox="1"/>
                      <wps:spPr>
                        <a:xfrm>
                          <a:off x="0" y="0"/>
                          <a:ext cx="773430"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62A829">
                            <w:pPr>
                              <w:rPr>
                                <w:rFonts w:hint="default" w:eastAsia="宋体"/>
                                <w:b/>
                                <w:bCs/>
                                <w:color w:val="FFFF00"/>
                                <w:sz w:val="22"/>
                                <w:szCs w:val="28"/>
                                <w:lang w:val="en-US" w:eastAsia="zh-CN"/>
                              </w:rPr>
                            </w:pPr>
                            <w:r>
                              <w:rPr>
                                <w:rFonts w:hint="eastAsia"/>
                                <w:b/>
                                <w:bCs/>
                                <w:color w:val="FFFF00"/>
                                <w:sz w:val="22"/>
                                <w:szCs w:val="28"/>
                                <w:lang w:val="en-US" w:eastAsia="zh-CN"/>
                              </w:rPr>
                              <w:t>王引河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5.3pt;margin-top:81.7pt;height:24.25pt;width:60.9pt;z-index:251765760;mso-width-relative:page;mso-height-relative:page;" filled="f" stroked="f" coordsize="21600,21600" o:gfxdata="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&#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l60RzcAAAACwEAAA8AAAAAAAAAAQAgAAAAIgAA&#10;AGRycy9kb3ducmV2LnhtbFBLAQIUABQAAAAIAIdO4kBMjmK+PQIAAGkEAAAOAAAAAAAAAAEAIAAA&#10;ACsBAABkcnMvZTJvRG9jLnhtbFBLBQYAAAAABgAGAFkBAADaBQAAAAA=&#10;">
                <v:fill on="f" focussize="0,0"/>
                <v:stroke on="f" weight="0.5pt"/>
                <v:imagedata o:title=""/>
                <o:lock v:ext="edit" aspectratio="f"/>
                <v:textbox>
                  <w:txbxContent>
                    <w:p w14:paraId="1062A829">
                      <w:pPr>
                        <w:rPr>
                          <w:rFonts w:hint="default" w:eastAsia="宋体"/>
                          <w:b/>
                          <w:bCs/>
                          <w:color w:val="FFFF00"/>
                          <w:sz w:val="22"/>
                          <w:szCs w:val="28"/>
                          <w:lang w:val="en-US" w:eastAsia="zh-CN"/>
                        </w:rPr>
                      </w:pPr>
                      <w:r>
                        <w:rPr>
                          <w:rFonts w:hint="eastAsia"/>
                          <w:b/>
                          <w:bCs/>
                          <w:color w:val="FFFF00"/>
                          <w:sz w:val="22"/>
                          <w:szCs w:val="28"/>
                          <w:lang w:val="en-US" w:eastAsia="zh-CN"/>
                        </w:rPr>
                        <w:t>王引河</w:t>
                      </w:r>
                    </w:p>
                  </w:txbxContent>
                </v:textbox>
              </v:shape>
            </w:pict>
          </mc:Fallback>
        </mc:AlternateContent>
      </w:r>
      <w:r>
        <w:rPr>
          <w:color w:val="auto"/>
          <w:sz w:val="24"/>
        </w:rPr>
        <mc:AlternateContent>
          <mc:Choice Requires="wps">
            <w:drawing>
              <wp:anchor distT="0" distB="0" distL="114300" distR="114300" simplePos="0" relativeHeight="251764736" behindDoc="0" locked="0" layoutInCell="1" allowOverlap="1">
                <wp:simplePos x="0" y="0"/>
                <wp:positionH relativeFrom="column">
                  <wp:posOffset>2829560</wp:posOffset>
                </wp:positionH>
                <wp:positionV relativeFrom="paragraph">
                  <wp:posOffset>3006090</wp:posOffset>
                </wp:positionV>
                <wp:extent cx="589280" cy="307975"/>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589280"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68050B">
                            <w:pPr>
                              <w:rPr>
                                <w:rFonts w:hint="default" w:eastAsia="宋体"/>
                                <w:b/>
                                <w:bCs/>
                                <w:color w:val="FFFF00"/>
                                <w:sz w:val="22"/>
                                <w:szCs w:val="28"/>
                                <w:lang w:val="en-US" w:eastAsia="zh-CN"/>
                              </w:rPr>
                            </w:pPr>
                            <w:r>
                              <w:rPr>
                                <w:rFonts w:hint="eastAsia"/>
                                <w:b/>
                                <w:bCs/>
                                <w:color w:val="FFFF00"/>
                                <w:sz w:val="22"/>
                                <w:szCs w:val="28"/>
                                <w:lang w:val="en-US" w:eastAsia="zh-CN"/>
                              </w:rPr>
                              <w:t>巴河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2.8pt;margin-top:236.7pt;height:24.25pt;width:46.4pt;z-index:251764736;mso-width-relative:page;mso-height-relative:page;" filled="f" stroked="f" coordsize="21600,21600" o:gfxdata="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QgFc/cAAAACwEAAA8AAAAAAAAAAQAgAAAAIgAA&#10;AGRycy9kb3ducmV2LnhtbFBLAQIUABQAAAAIAIdO4kA1UlzyPQIAAGkEAAAOAAAAAAAAAAEAIAAA&#10;ACsBAABkcnMvZTJvRG9jLnhtbFBLBQYAAAAABgAGAFkBAADaBQAAAAA=&#10;">
                <v:fill on="f" focussize="0,0"/>
                <v:stroke on="f" weight="0.5pt"/>
                <v:imagedata o:title=""/>
                <o:lock v:ext="edit" aspectratio="f"/>
                <v:textbox>
                  <w:txbxContent>
                    <w:p w14:paraId="4368050B">
                      <w:pPr>
                        <w:rPr>
                          <w:rFonts w:hint="default" w:eastAsia="宋体"/>
                          <w:b/>
                          <w:bCs/>
                          <w:color w:val="FFFF00"/>
                          <w:sz w:val="22"/>
                          <w:szCs w:val="28"/>
                          <w:lang w:val="en-US" w:eastAsia="zh-CN"/>
                        </w:rPr>
                      </w:pPr>
                      <w:r>
                        <w:rPr>
                          <w:rFonts w:hint="eastAsia"/>
                          <w:b/>
                          <w:bCs/>
                          <w:color w:val="FFFF00"/>
                          <w:sz w:val="22"/>
                          <w:szCs w:val="28"/>
                          <w:lang w:val="en-US" w:eastAsia="zh-CN"/>
                        </w:rPr>
                        <w:t>巴河</w:t>
                      </w:r>
                    </w:p>
                  </w:txbxContent>
                </v:textbox>
              </v:shape>
            </w:pict>
          </mc:Fallback>
        </mc:AlternateContent>
      </w:r>
      <w:r>
        <w:rPr>
          <w:color w:val="auto"/>
          <w:sz w:val="24"/>
        </w:rPr>
        <mc:AlternateContent>
          <mc:Choice Requires="wps">
            <w:drawing>
              <wp:anchor distT="0" distB="0" distL="114300" distR="114300" simplePos="0" relativeHeight="251762688" behindDoc="0" locked="0" layoutInCell="1" allowOverlap="1">
                <wp:simplePos x="0" y="0"/>
                <wp:positionH relativeFrom="column">
                  <wp:posOffset>10160</wp:posOffset>
                </wp:positionH>
                <wp:positionV relativeFrom="paragraph">
                  <wp:posOffset>2099310</wp:posOffset>
                </wp:positionV>
                <wp:extent cx="6196965" cy="2117725"/>
                <wp:effectExtent l="0" t="0" r="13335" b="15875"/>
                <wp:wrapNone/>
                <wp:docPr id="145" name="任意多边形 145"/>
                <wp:cNvGraphicFramePr/>
                <a:graphic xmlns:a="http://schemas.openxmlformats.org/drawingml/2006/main">
                  <a:graphicData uri="http://schemas.microsoft.com/office/word/2010/wordprocessingShape">
                    <wps:wsp>
                      <wps:cNvSpPr/>
                      <wps:spPr>
                        <a:xfrm>
                          <a:off x="924560" y="2785110"/>
                          <a:ext cx="6196965" cy="2117725"/>
                        </a:xfrm>
                        <a:custGeom>
                          <a:avLst/>
                          <a:gdLst>
                            <a:gd name="connisteX0" fmla="*/ 0 w 6196965"/>
                            <a:gd name="connsiteY0" fmla="*/ 6350 h 2117725"/>
                            <a:gd name="connisteX1" fmla="*/ 240665 w 6196965"/>
                            <a:gd name="connsiteY1" fmla="*/ 0 h 2117725"/>
                            <a:gd name="connisteX2" fmla="*/ 498475 w 6196965"/>
                            <a:gd name="connsiteY2" fmla="*/ 6350 h 2117725"/>
                            <a:gd name="connisteX3" fmla="*/ 571500 w 6196965"/>
                            <a:gd name="connsiteY3" fmla="*/ 0 h 2117725"/>
                            <a:gd name="connisteX4" fmla="*/ 750570 w 6196965"/>
                            <a:gd name="connsiteY4" fmla="*/ 6350 h 2117725"/>
                            <a:gd name="connisteX5" fmla="*/ 974725 w 6196965"/>
                            <a:gd name="connsiteY5" fmla="*/ 56515 h 2117725"/>
                            <a:gd name="connisteX6" fmla="*/ 1176655 w 6196965"/>
                            <a:gd name="connsiteY6" fmla="*/ 107315 h 2117725"/>
                            <a:gd name="connisteX7" fmla="*/ 1355725 w 6196965"/>
                            <a:gd name="connsiteY7" fmla="*/ 185420 h 2117725"/>
                            <a:gd name="connisteX8" fmla="*/ 1607820 w 6196965"/>
                            <a:gd name="connsiteY8" fmla="*/ 320040 h 2117725"/>
                            <a:gd name="connisteX9" fmla="*/ 1837690 w 6196965"/>
                            <a:gd name="connsiteY9" fmla="*/ 466090 h 2117725"/>
                            <a:gd name="connisteX10" fmla="*/ 2016760 w 6196965"/>
                            <a:gd name="connsiteY10" fmla="*/ 593725 h 2117725"/>
                            <a:gd name="connisteX11" fmla="*/ 2162810 w 6196965"/>
                            <a:gd name="connsiteY11" fmla="*/ 701040 h 2117725"/>
                            <a:gd name="connisteX12" fmla="*/ 2538095 w 6196965"/>
                            <a:gd name="connsiteY12" fmla="*/ 768350 h 2117725"/>
                            <a:gd name="connisteX13" fmla="*/ 2935605 w 6196965"/>
                            <a:gd name="connsiteY13" fmla="*/ 824230 h 2117725"/>
                            <a:gd name="connisteX14" fmla="*/ 3316605 w 6196965"/>
                            <a:gd name="connsiteY14" fmla="*/ 885825 h 2117725"/>
                            <a:gd name="connisteX15" fmla="*/ 3764915 w 6196965"/>
                            <a:gd name="connsiteY15" fmla="*/ 1020445 h 2117725"/>
                            <a:gd name="connisteX16" fmla="*/ 3994785 w 6196965"/>
                            <a:gd name="connsiteY16" fmla="*/ 1115695 h 2117725"/>
                            <a:gd name="connisteX17" fmla="*/ 4084320 w 6196965"/>
                            <a:gd name="connsiteY17" fmla="*/ 1160780 h 2117725"/>
                            <a:gd name="connisteX18" fmla="*/ 4286250 w 6196965"/>
                            <a:gd name="connsiteY18" fmla="*/ 1165225 h 2117725"/>
                            <a:gd name="connisteX19" fmla="*/ 4532630 w 6196965"/>
                            <a:gd name="connsiteY19" fmla="*/ 1199515 h 2117725"/>
                            <a:gd name="connisteX20" fmla="*/ 4773295 w 6196965"/>
                            <a:gd name="connsiteY20" fmla="*/ 1283970 h 2117725"/>
                            <a:gd name="connisteX21" fmla="*/ 4992370 w 6196965"/>
                            <a:gd name="connsiteY21" fmla="*/ 1333500 h 2117725"/>
                            <a:gd name="connisteX22" fmla="*/ 5098415 w 6196965"/>
                            <a:gd name="connsiteY22" fmla="*/ 1333500 h 2117725"/>
                            <a:gd name="connisteX23" fmla="*/ 5244465 w 6196965"/>
                            <a:gd name="connsiteY23" fmla="*/ 1390015 h 2117725"/>
                            <a:gd name="connisteX24" fmla="*/ 5412105 w 6196965"/>
                            <a:gd name="connsiteY24" fmla="*/ 1474470 h 2117725"/>
                            <a:gd name="connisteX25" fmla="*/ 5675630 w 6196965"/>
                            <a:gd name="connsiteY25" fmla="*/ 1670050 h 2117725"/>
                            <a:gd name="connisteX26" fmla="*/ 5826760 w 6196965"/>
                            <a:gd name="connsiteY26" fmla="*/ 1748790 h 2117725"/>
                            <a:gd name="connisteX27" fmla="*/ 6000750 w 6196965"/>
                            <a:gd name="connsiteY27" fmla="*/ 1866265 h 2117725"/>
                            <a:gd name="connisteX28" fmla="*/ 6157595 w 6196965"/>
                            <a:gd name="connsiteY28" fmla="*/ 2045970 h 2117725"/>
                            <a:gd name="connisteX29" fmla="*/ 6179820 w 6196965"/>
                            <a:gd name="connsiteY29" fmla="*/ 2085340 h 2117725"/>
                            <a:gd name="connisteX30" fmla="*/ 6196965 w 6196965"/>
                            <a:gd name="connsiteY30" fmla="*/ 2117725 h 2117725"/>
                            <a:gd name="connisteX31" fmla="*/ 5995035 w 6196965"/>
                            <a:gd name="connsiteY31" fmla="*/ 1927225 h 2117725"/>
                            <a:gd name="connisteX32" fmla="*/ 5882640 w 6196965"/>
                            <a:gd name="connsiteY32" fmla="*/ 1827530 h 2117725"/>
                            <a:gd name="connisteX33" fmla="*/ 5737225 w 6196965"/>
                            <a:gd name="connsiteY33" fmla="*/ 1760220 h 2117725"/>
                            <a:gd name="connisteX34" fmla="*/ 5518785 w 6196965"/>
                            <a:gd name="connsiteY34" fmla="*/ 1647825 h 2117725"/>
                            <a:gd name="connisteX35" fmla="*/ 5423535 w 6196965"/>
                            <a:gd name="connsiteY35" fmla="*/ 1564005 h 2117725"/>
                            <a:gd name="connisteX36" fmla="*/ 5300345 w 6196965"/>
                            <a:gd name="connsiteY36" fmla="*/ 1474470 h 2117725"/>
                            <a:gd name="connisteX37" fmla="*/ 5098415 w 6196965"/>
                            <a:gd name="connsiteY37" fmla="*/ 1401445 h 2117725"/>
                            <a:gd name="connisteX38" fmla="*/ 4768215 w 6196965"/>
                            <a:gd name="connsiteY38" fmla="*/ 1333500 h 2117725"/>
                            <a:gd name="connisteX39" fmla="*/ 4498975 w 6196965"/>
                            <a:gd name="connsiteY39" fmla="*/ 1233170 h 2117725"/>
                            <a:gd name="connisteX40" fmla="*/ 4297045 w 6196965"/>
                            <a:gd name="connsiteY40" fmla="*/ 1193800 h 2117725"/>
                            <a:gd name="connisteX41" fmla="*/ 4151630 w 6196965"/>
                            <a:gd name="connsiteY41" fmla="*/ 1193800 h 2117725"/>
                            <a:gd name="connisteX42" fmla="*/ 4028440 w 6196965"/>
                            <a:gd name="connsiteY42" fmla="*/ 1188720 h 2117725"/>
                            <a:gd name="connisteX43" fmla="*/ 3865880 w 6196965"/>
                            <a:gd name="connsiteY43" fmla="*/ 1115695 h 2117725"/>
                            <a:gd name="connisteX44" fmla="*/ 3625215 w 6196965"/>
                            <a:gd name="connsiteY44" fmla="*/ 1020445 h 2117725"/>
                            <a:gd name="connisteX45" fmla="*/ 3272155 w 6196965"/>
                            <a:gd name="connsiteY45" fmla="*/ 925195 h 2117725"/>
                            <a:gd name="connisteX46" fmla="*/ 2823845 w 6196965"/>
                            <a:gd name="connsiteY46" fmla="*/ 863600 h 2117725"/>
                            <a:gd name="connisteX47" fmla="*/ 2358390 w 6196965"/>
                            <a:gd name="connsiteY47" fmla="*/ 784225 h 2117725"/>
                            <a:gd name="connisteX48" fmla="*/ 2129155 w 6196965"/>
                            <a:gd name="connsiteY48" fmla="*/ 734695 h 2117725"/>
                            <a:gd name="connisteX49" fmla="*/ 1949450 w 6196965"/>
                            <a:gd name="connsiteY49" fmla="*/ 617220 h 2117725"/>
                            <a:gd name="connisteX50" fmla="*/ 1658620 w 6196965"/>
                            <a:gd name="connsiteY50" fmla="*/ 421005 h 2117725"/>
                            <a:gd name="connisteX51" fmla="*/ 1423035 w 6196965"/>
                            <a:gd name="connsiteY51" fmla="*/ 285750 h 2117725"/>
                            <a:gd name="connisteX52" fmla="*/ 1221105 w 6196965"/>
                            <a:gd name="connsiteY52" fmla="*/ 174625 h 2117725"/>
                            <a:gd name="connisteX53" fmla="*/ 980440 w 6196965"/>
                            <a:gd name="connsiteY53" fmla="*/ 113030 h 2117725"/>
                            <a:gd name="connisteX54" fmla="*/ 762000 w 6196965"/>
                            <a:gd name="connsiteY54" fmla="*/ 50800 h 2117725"/>
                            <a:gd name="connisteX55" fmla="*/ 442595 w 6196965"/>
                            <a:gd name="connsiteY55" fmla="*/ 28575 h 2117725"/>
                            <a:gd name="connisteX56" fmla="*/ 218440 w 6196965"/>
                            <a:gd name="connsiteY56" fmla="*/ 40005 h 2117725"/>
                            <a:gd name="connisteX57" fmla="*/ 16510 w 6196965"/>
                            <a:gd name="connsiteY57" fmla="*/ 45720 h 2117725"/>
                            <a:gd name="connisteX58" fmla="*/ 0 w 6196965"/>
                            <a:gd name="connsiteY58" fmla="*/ 6350 h 211772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 ang="0">
                              <a:pos x="connisteX53" y="connsiteY53"/>
                            </a:cxn>
                            <a:cxn ang="0">
                              <a:pos x="connisteX54" y="connsiteY54"/>
                            </a:cxn>
                            <a:cxn ang="0">
                              <a:pos x="connisteX55" y="connsiteY55"/>
                            </a:cxn>
                            <a:cxn ang="0">
                              <a:pos x="connisteX56" y="connsiteY56"/>
                            </a:cxn>
                            <a:cxn ang="0">
                              <a:pos x="connisteX57" y="connsiteY57"/>
                            </a:cxn>
                            <a:cxn ang="0">
                              <a:pos x="connisteX58" y="connsiteY58"/>
                            </a:cxn>
                          </a:cxnLst>
                          <a:rect l="l" t="t" r="r" b="b"/>
                          <a:pathLst>
                            <a:path w="6196965" h="2117725">
                              <a:moveTo>
                                <a:pt x="0" y="6350"/>
                              </a:moveTo>
                              <a:lnTo>
                                <a:pt x="240665" y="0"/>
                              </a:lnTo>
                              <a:lnTo>
                                <a:pt x="498475" y="6350"/>
                              </a:lnTo>
                              <a:lnTo>
                                <a:pt x="571500" y="0"/>
                              </a:lnTo>
                              <a:lnTo>
                                <a:pt x="750570" y="6350"/>
                              </a:lnTo>
                              <a:lnTo>
                                <a:pt x="974725" y="56515"/>
                              </a:lnTo>
                              <a:lnTo>
                                <a:pt x="1176655" y="107315"/>
                              </a:lnTo>
                              <a:lnTo>
                                <a:pt x="1355725" y="185420"/>
                              </a:lnTo>
                              <a:lnTo>
                                <a:pt x="1607820" y="320040"/>
                              </a:lnTo>
                              <a:lnTo>
                                <a:pt x="1837690" y="466090"/>
                              </a:lnTo>
                              <a:lnTo>
                                <a:pt x="2016760" y="593725"/>
                              </a:lnTo>
                              <a:lnTo>
                                <a:pt x="2162810" y="701040"/>
                              </a:lnTo>
                              <a:lnTo>
                                <a:pt x="2538095" y="768350"/>
                              </a:lnTo>
                              <a:lnTo>
                                <a:pt x="2935605" y="824230"/>
                              </a:lnTo>
                              <a:lnTo>
                                <a:pt x="3316605" y="885825"/>
                              </a:lnTo>
                              <a:lnTo>
                                <a:pt x="3764915" y="1020445"/>
                              </a:lnTo>
                              <a:lnTo>
                                <a:pt x="3994785" y="1115695"/>
                              </a:lnTo>
                              <a:lnTo>
                                <a:pt x="4084320" y="1160780"/>
                              </a:lnTo>
                              <a:lnTo>
                                <a:pt x="4286250" y="1165225"/>
                              </a:lnTo>
                              <a:lnTo>
                                <a:pt x="4532630" y="1199515"/>
                              </a:lnTo>
                              <a:lnTo>
                                <a:pt x="4773295" y="1283970"/>
                              </a:lnTo>
                              <a:lnTo>
                                <a:pt x="4992370" y="1333500"/>
                              </a:lnTo>
                              <a:lnTo>
                                <a:pt x="5098415" y="1333500"/>
                              </a:lnTo>
                              <a:lnTo>
                                <a:pt x="5244465" y="1390015"/>
                              </a:lnTo>
                              <a:lnTo>
                                <a:pt x="5412105" y="1474470"/>
                              </a:lnTo>
                              <a:lnTo>
                                <a:pt x="5675630" y="1670050"/>
                              </a:lnTo>
                              <a:lnTo>
                                <a:pt x="5826760" y="1748790"/>
                              </a:lnTo>
                              <a:lnTo>
                                <a:pt x="6000750" y="1866265"/>
                              </a:lnTo>
                              <a:lnTo>
                                <a:pt x="6157595" y="2045970"/>
                              </a:lnTo>
                              <a:lnTo>
                                <a:pt x="6179820" y="2085340"/>
                              </a:lnTo>
                              <a:lnTo>
                                <a:pt x="6196965" y="2117725"/>
                              </a:lnTo>
                              <a:lnTo>
                                <a:pt x="5995035" y="1927225"/>
                              </a:lnTo>
                              <a:lnTo>
                                <a:pt x="5882640" y="1827530"/>
                              </a:lnTo>
                              <a:lnTo>
                                <a:pt x="5737225" y="1760220"/>
                              </a:lnTo>
                              <a:lnTo>
                                <a:pt x="5518785" y="1647825"/>
                              </a:lnTo>
                              <a:lnTo>
                                <a:pt x="5423535" y="1564005"/>
                              </a:lnTo>
                              <a:lnTo>
                                <a:pt x="5300345" y="1474470"/>
                              </a:lnTo>
                              <a:lnTo>
                                <a:pt x="5098415" y="1401445"/>
                              </a:lnTo>
                              <a:lnTo>
                                <a:pt x="4768215" y="1333500"/>
                              </a:lnTo>
                              <a:lnTo>
                                <a:pt x="4498975" y="1233170"/>
                              </a:lnTo>
                              <a:lnTo>
                                <a:pt x="4297045" y="1193800"/>
                              </a:lnTo>
                              <a:lnTo>
                                <a:pt x="4151630" y="1193800"/>
                              </a:lnTo>
                              <a:lnTo>
                                <a:pt x="4028440" y="1188720"/>
                              </a:lnTo>
                              <a:lnTo>
                                <a:pt x="3865880" y="1115695"/>
                              </a:lnTo>
                              <a:lnTo>
                                <a:pt x="3625215" y="1020445"/>
                              </a:lnTo>
                              <a:lnTo>
                                <a:pt x="3272155" y="925195"/>
                              </a:lnTo>
                              <a:lnTo>
                                <a:pt x="2823845" y="863600"/>
                              </a:lnTo>
                              <a:lnTo>
                                <a:pt x="2358390" y="784225"/>
                              </a:lnTo>
                              <a:lnTo>
                                <a:pt x="2129155" y="734695"/>
                              </a:lnTo>
                              <a:lnTo>
                                <a:pt x="1949450" y="617220"/>
                              </a:lnTo>
                              <a:lnTo>
                                <a:pt x="1658620" y="421005"/>
                              </a:lnTo>
                              <a:lnTo>
                                <a:pt x="1423035" y="285750"/>
                              </a:lnTo>
                              <a:lnTo>
                                <a:pt x="1221105" y="174625"/>
                              </a:lnTo>
                              <a:lnTo>
                                <a:pt x="980440" y="113030"/>
                              </a:lnTo>
                              <a:lnTo>
                                <a:pt x="762000" y="50800"/>
                              </a:lnTo>
                              <a:lnTo>
                                <a:pt x="442595" y="28575"/>
                              </a:lnTo>
                              <a:lnTo>
                                <a:pt x="218440" y="40005"/>
                              </a:lnTo>
                              <a:lnTo>
                                <a:pt x="16510" y="45720"/>
                              </a:lnTo>
                              <a:lnTo>
                                <a:pt x="0" y="6350"/>
                              </a:lnTo>
                              <a:close/>
                            </a:path>
                          </a:pathLst>
                        </a:custGeom>
                        <a:gradFill>
                          <a:gsLst>
                            <a:gs pos="0">
                              <a:srgbClr val="CFF9AE">
                                <a:alpha val="46000"/>
                              </a:srgbClr>
                            </a:gs>
                            <a:gs pos="90000">
                              <a:srgbClr val="49E7CE"/>
                            </a:gs>
                          </a:gsLst>
                          <a:path path="circle">
                            <a:fillToRect l="100000" t="100000"/>
                          </a:path>
                          <a:tileRect r="-100000" b="-100000"/>
                        </a:gradFill>
                        <a:ln>
                          <a:no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0.8pt;margin-top:165.3pt;height:166.75pt;width:487.95pt;z-index:251762688;mso-width-relative:page;mso-height-relative:page;" fillcolor="#CFF9AE" filled="t" stroked="f" coordsize="6196965,2117725" o:gfxdata="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&#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" path="m0,6350l240665,0,498475,6350,571500,0,750570,6350,974725,56515,1176655,107315,1355725,185420,1607820,320040,1837690,466090,2016760,593725,2162810,701040,2538095,768350,2935605,824230,3316605,885825,3764915,1020445,3994785,1115695,4084320,1160780,4286250,1165225,4532630,1199515,4773295,1283970,4992370,1333500,5098415,1333500,5244465,1390015,5412105,1474470,5675630,1670050,5826760,1748790,6000750,1866265,6157595,2045970,6179820,2085340,6196965,2117725,5995035,1927225,5882640,1827530,5737225,1760220,5518785,1647825,5423535,1564005,5300345,1474470,5098415,1401445,4768215,1333500,4498975,1233170,4297045,1193800,4151630,1193800,4028440,1188720,3865880,1115695,3625215,1020445,3272155,925195,2823845,863600,2358390,784225,2129155,734695,1949450,617220,1658620,421005,1423035,285750,1221105,174625,980440,113030,762000,50800,442595,28575,218440,40005,16510,45720,0,6350xe">
                <v:path o:connectlocs="0,6350;240665,0;498475,6350;571500,0;750570,6350;974725,56515;1176655,107315;1355725,185420;1607820,320040;1837690,466090;2016760,593725;2162810,701040;2538095,768350;2935605,824230;3316605,885825;3764915,1020445;3994785,1115695;4084320,1160780;4286250,1165225;4532630,1199515;4773295,1283970;4992370,1333500;5098415,1333500;5244465,1390015;5412105,1474470;5675630,1670050;5826760,1748790;6000750,1866265;6157595,2045970;6179820,2085340;6196965,2117725;5995035,1927225;5882640,1827530;5737225,1760220;5518785,1647825;5423535,1564005;5300345,1474470;5098415,1401445;4768215,1333500;4498975,1233170;4297045,1193800;4151630,1193800;4028440,1188720;3865880,1115695;3625215,1020445;3272155,925195;2823845,863600;2358390,784225;2129155,734695;1949450,617220;1658620,421005;1423035,285750;1221105,174625;980440,113030;762000,50800;442595,28575;218440,40005;16510,45720;0,6350" o:connectangles="0,0,0,0,0,0,0,0,0,0,0,0,0,0,0,0,0,0,0,0,0,0,0,0,0,0,0,0,0,0,0,0,0,0,0,0,0,0,0,0,0,0,0,0,0,0,0,0,0,0,0,0,0,0,0,0,0,0,0"/>
                <v:fill type="gradientRadial" on="t" color2="#49E7CE" opacity="30146f" focus="100%" focussize="0f,0f" focusposition="65536f,65536f" rotate="t">
                  <o:fill type="gradientRadial" v:ext="backwardCompatible"/>
                </v:fill>
                <v:stroke on="f" weight="2pt"/>
                <v:imagedata o:title=""/>
                <o:lock v:ext="edit" aspectratio="f"/>
              </v:shape>
            </w:pict>
          </mc:Fallback>
        </mc:AlternateContent>
      </w:r>
      <w:r>
        <w:rPr>
          <w:color w:val="auto"/>
          <w:sz w:val="24"/>
        </w:rPr>
        <mc:AlternateContent>
          <mc:Choice Requires="wps">
            <w:drawing>
              <wp:anchor distT="0" distB="0" distL="114300" distR="114300" simplePos="0" relativeHeight="251761664" behindDoc="0" locked="0" layoutInCell="1" allowOverlap="1">
                <wp:simplePos x="0" y="0"/>
                <wp:positionH relativeFrom="column">
                  <wp:posOffset>3521710</wp:posOffset>
                </wp:positionH>
                <wp:positionV relativeFrom="paragraph">
                  <wp:posOffset>2323465</wp:posOffset>
                </wp:positionV>
                <wp:extent cx="1757680" cy="367030"/>
                <wp:effectExtent l="4445" t="4445" r="47625" b="676275"/>
                <wp:wrapNone/>
                <wp:docPr id="144" name="圆角矩形标注 144"/>
                <wp:cNvGraphicFramePr/>
                <a:graphic xmlns:a="http://schemas.openxmlformats.org/drawingml/2006/main">
                  <a:graphicData uri="http://schemas.microsoft.com/office/word/2010/wordprocessingShape">
                    <wps:wsp>
                      <wps:cNvSpPr/>
                      <wps:spPr>
                        <a:xfrm>
                          <a:off x="5167630" y="2870200"/>
                          <a:ext cx="1757680" cy="367030"/>
                        </a:xfrm>
                        <a:prstGeom prst="wedgeRoundRectCallout">
                          <a:avLst>
                            <a:gd name="adj1" fmla="val 51697"/>
                            <a:gd name="adj2" fmla="val 229411"/>
                            <a:gd name="adj3" fmla="val 16667"/>
                          </a:avLst>
                        </a:prstGeom>
                        <a:ln w="3175"/>
                      </wps:spPr>
                      <wps:style>
                        <a:lnRef idx="2">
                          <a:schemeClr val="accent1">
                            <a:lumMod val="75000"/>
                          </a:schemeClr>
                        </a:lnRef>
                        <a:fillRef idx="1">
                          <a:schemeClr val="accent1"/>
                        </a:fillRef>
                        <a:effectRef idx="0">
                          <a:srgbClr val="FFFFFF"/>
                        </a:effectRef>
                        <a:fontRef idx="minor">
                          <a:schemeClr val="lt1"/>
                        </a:fontRef>
                      </wps:style>
                      <wps:txbx>
                        <w:txbxContent>
                          <w:p w14:paraId="6FE2ECC2">
                            <w:pPr>
                              <w:jc w:val="center"/>
                              <w:rPr>
                                <w:b/>
                                <w:bCs/>
                                <w:color w:val="FFFFFF" w:themeColor="background1"/>
                                <w:sz w:val="24"/>
                                <w:szCs w:val="32"/>
                                <w14:textFill>
                                  <w14:solidFill>
                                    <w14:schemeClr w14:val="bg1"/>
                                  </w14:solidFill>
                                </w14:textFill>
                              </w:rPr>
                            </w:pPr>
                            <w:r>
                              <w:rPr>
                                <w:rFonts w:hint="default" w:ascii="Times New Roman" w:hAnsi="Times New Roman" w:cs="Times New Roman"/>
                                <w:b/>
                                <w:bCs/>
                                <w:color w:val="FFFFFF" w:themeColor="background1"/>
                                <w:sz w:val="24"/>
                                <w:szCs w:val="24"/>
                                <w14:textFill>
                                  <w14:solidFill>
                                    <w14:schemeClr w14:val="bg1"/>
                                  </w14:solidFill>
                                </w14:textFill>
                              </w:rPr>
                              <w:t>濉溪县第二污水处理厂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77.3pt;margin-top:182.95pt;height:28.9pt;width:138.4pt;z-index:251761664;v-text-anchor:middle;mso-width-relative:page;mso-height-relative:page;" fillcolor="#4F81BD [3204]" filled="t" stroked="t" coordsize="21600,21600" o:gfxdata="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GXkT9TaAAAACwEAAA8AAAAAAAAAAQAgAAAAIgAAAGRycy9kb3ducmV2&#10;LnhtbFBLAQIUABQAAAAIAIdO4kDW96Uh3gIAAKwFAAAOAAAAAAAAAAEAIAAAACkBAABkcnMvZTJv&#10;RG9jLnhtbFBLBQYAAAAABgAGAFkBAAB5BgAAAAA=&#10;" adj="21967,60353,14400">
                <v:fill on="t" focussize="0,0"/>
                <v:stroke weight="0.25pt" color="#376092 [2404]" joinstyle="round"/>
                <v:imagedata o:title=""/>
                <o:lock v:ext="edit" aspectratio="f"/>
                <v:textbox>
                  <w:txbxContent>
                    <w:p w14:paraId="6FE2ECC2">
                      <w:pPr>
                        <w:jc w:val="center"/>
                        <w:rPr>
                          <w:b/>
                          <w:bCs/>
                          <w:color w:val="FFFFFF" w:themeColor="background1"/>
                          <w:sz w:val="24"/>
                          <w:szCs w:val="32"/>
                          <w14:textFill>
                            <w14:solidFill>
                              <w14:schemeClr w14:val="bg1"/>
                            </w14:solidFill>
                          </w14:textFill>
                        </w:rPr>
                      </w:pPr>
                      <w:r>
                        <w:rPr>
                          <w:rFonts w:hint="default" w:ascii="Times New Roman" w:hAnsi="Times New Roman" w:cs="Times New Roman"/>
                          <w:b/>
                          <w:bCs/>
                          <w:color w:val="FFFFFF" w:themeColor="background1"/>
                          <w:sz w:val="24"/>
                          <w:szCs w:val="24"/>
                          <w14:textFill>
                            <w14:solidFill>
                              <w14:schemeClr w14:val="bg1"/>
                            </w14:solidFill>
                          </w14:textFill>
                        </w:rPr>
                        <w:t>濉溪县第二污水处理厂</w:t>
                      </w:r>
                    </w:p>
                  </w:txbxContent>
                </v:textbox>
              </v:shape>
            </w:pict>
          </mc:Fallback>
        </mc:AlternateContent>
      </w:r>
      <w:r>
        <w:rPr>
          <w:color w:val="auto"/>
          <w:sz w:val="24"/>
        </w:rPr>
        <mc:AlternateContent>
          <mc:Choice Requires="wps">
            <w:drawing>
              <wp:anchor distT="0" distB="0" distL="114300" distR="114300" simplePos="0" relativeHeight="251760640" behindDoc="0" locked="0" layoutInCell="1" allowOverlap="1">
                <wp:simplePos x="0" y="0"/>
                <wp:positionH relativeFrom="column">
                  <wp:posOffset>5224145</wp:posOffset>
                </wp:positionH>
                <wp:positionV relativeFrom="paragraph">
                  <wp:posOffset>3275965</wp:posOffset>
                </wp:positionV>
                <wp:extent cx="197485" cy="168910"/>
                <wp:effectExtent l="4445" t="4445" r="7620" b="17145"/>
                <wp:wrapNone/>
                <wp:docPr id="142" name="等腰三角形 142"/>
                <wp:cNvGraphicFramePr/>
                <a:graphic xmlns:a="http://schemas.openxmlformats.org/drawingml/2006/main">
                  <a:graphicData uri="http://schemas.microsoft.com/office/word/2010/wordprocessingShape">
                    <wps:wsp>
                      <wps:cNvSpPr/>
                      <wps:spPr>
                        <a:xfrm>
                          <a:off x="6215380" y="3968750"/>
                          <a:ext cx="197485" cy="168910"/>
                        </a:xfrm>
                        <a:prstGeom prst="triangle">
                          <a:avLst/>
                        </a:prstGeom>
                        <a:solidFill>
                          <a:schemeClr val="accent5"/>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11.35pt;margin-top:257.95pt;height:13.3pt;width:15.55pt;z-index:251760640;v-text-anchor:middle;mso-width-relative:page;mso-height-relative:page;" fillcolor="#4BACC6 [3208]" filled="t" stroked="t" coordsize="21600,21600" o:gfxdata="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AJIsLg2gAAAAsBAAAPAAAAAAAAAAEAIAAAACIAAABkcnMvZG93bnJldi54bWxQSwECFAAU&#10;AAAACACHTuJA8UQruZoCAAAaBQAADgAAAAAAAAABACAAAAApAQAAZHJzL2Uyb0RvYy54bWxQSwUG&#10;AAAAAAYABgBZAQAANQYAAAAA&#10;" adj="1080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51424" behindDoc="0" locked="0" layoutInCell="1" allowOverlap="1">
                <wp:simplePos x="0" y="0"/>
                <wp:positionH relativeFrom="column">
                  <wp:posOffset>4715510</wp:posOffset>
                </wp:positionH>
                <wp:positionV relativeFrom="paragraph">
                  <wp:posOffset>3647440</wp:posOffset>
                </wp:positionV>
                <wp:extent cx="424815" cy="307975"/>
                <wp:effectExtent l="0" t="0" r="0" b="0"/>
                <wp:wrapNone/>
                <wp:docPr id="133" name="文本框 133"/>
                <wp:cNvGraphicFramePr/>
                <a:graphic xmlns:a="http://schemas.openxmlformats.org/drawingml/2006/main">
                  <a:graphicData uri="http://schemas.microsoft.com/office/word/2010/wordprocessingShape">
                    <wps:wsp>
                      <wps:cNvSpPr txBox="1"/>
                      <wps:spPr>
                        <a:xfrm>
                          <a:off x="5365115" y="4364355"/>
                          <a:ext cx="424815"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B06E59">
                            <w:pPr>
                              <w:rPr>
                                <w:rFonts w:hint="default" w:eastAsia="宋体"/>
                                <w:b/>
                                <w:bCs/>
                                <w:color w:val="FFFF00"/>
                                <w:sz w:val="22"/>
                                <w:szCs w:val="28"/>
                                <w:lang w:val="en-US" w:eastAsia="zh-CN"/>
                              </w:rPr>
                            </w:pPr>
                            <w:r>
                              <w:rPr>
                                <w:rFonts w:hint="eastAsia"/>
                                <w:b/>
                                <w:bCs/>
                                <w:color w:val="FFFF00"/>
                                <w:sz w:val="22"/>
                                <w:szCs w:val="28"/>
                                <w:lang w:val="en-US" w:eastAsia="zh-CN"/>
                              </w:rPr>
                              <w:t>W1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3pt;margin-top:287.2pt;height:24.25pt;width:33.45pt;z-index:251751424;mso-width-relative:page;mso-height-relative:page;" filled="f" stroked="f" coordsize="21600,21600" o:gfxdata="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R+ILC90AAAALAQAADwAA&#10;AAAAAAABACAAAAAiAAAAZHJzL2Rvd25yZXYueG1sUEsBAhQAFAAAAAgAh07iQIQNCeNKAgAAdQQA&#10;AA4AAAAAAAAAAQAgAAAALAEAAGRycy9lMm9Eb2MueG1sUEsFBgAAAAAGAAYAWQEAAOgFAAAAAA==&#10;">
                <v:fill on="f" focussize="0,0"/>
                <v:stroke on="f" weight="0.5pt"/>
                <v:imagedata o:title=""/>
                <o:lock v:ext="edit" aspectratio="f"/>
                <v:textbox>
                  <w:txbxContent>
                    <w:p w14:paraId="2FB06E59">
                      <w:pPr>
                        <w:rPr>
                          <w:rFonts w:hint="default" w:eastAsia="宋体"/>
                          <w:b/>
                          <w:bCs/>
                          <w:color w:val="FFFF00"/>
                          <w:sz w:val="22"/>
                          <w:szCs w:val="28"/>
                          <w:lang w:val="en-US" w:eastAsia="zh-CN"/>
                        </w:rPr>
                      </w:pPr>
                      <w:r>
                        <w:rPr>
                          <w:rFonts w:hint="eastAsia"/>
                          <w:b/>
                          <w:bCs/>
                          <w:color w:val="FFFF00"/>
                          <w:sz w:val="22"/>
                          <w:szCs w:val="28"/>
                          <w:lang w:val="en-US" w:eastAsia="zh-CN"/>
                        </w:rPr>
                        <w:t>W1</w:t>
                      </w:r>
                    </w:p>
                  </w:txbxContent>
                </v:textbox>
              </v:shape>
            </w:pict>
          </mc:Fallback>
        </mc:AlternateContent>
      </w:r>
      <w:r>
        <w:rPr>
          <w:color w:val="auto"/>
          <w:sz w:val="24"/>
        </w:rPr>
        <mc:AlternateContent>
          <mc:Choice Requires="wps">
            <w:drawing>
              <wp:anchor distT="0" distB="0" distL="114300" distR="114300" simplePos="0" relativeHeight="251750400" behindDoc="0" locked="0" layoutInCell="1" allowOverlap="1">
                <wp:simplePos x="0" y="0"/>
                <wp:positionH relativeFrom="column">
                  <wp:posOffset>4824730</wp:posOffset>
                </wp:positionH>
                <wp:positionV relativeFrom="paragraph">
                  <wp:posOffset>3105150</wp:posOffset>
                </wp:positionV>
                <wp:extent cx="189865" cy="610235"/>
                <wp:effectExtent l="13970" t="0" r="24765" b="18415"/>
                <wp:wrapNone/>
                <wp:docPr id="132" name="直接箭头连接符 132"/>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379.9pt;margin-top:244.5pt;height:48.05pt;width:14.95pt;z-index:251750400;mso-width-relative:page;mso-height-relative:page;" filled="f" stroked="t" coordsize="21600,21600" o:gfxdata="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q5oT9kAAAAL&#10;AQAADwAAAAAAAAABACAAAAAiAAAAZHJzL2Rvd25yZXYueG1sUEsBAhQAFAAAAAgAh07iQPuP4rUb&#10;AgAAHQQAAA4AAAAAAAAAAQAgAAAAKAEAAGRycy9lMm9Eb2MueG1sUEsFBgAAAAAGAAYAWQEAALUF&#10;AAAAAA==&#10;">
                <v:fill on="f" focussize="0,0"/>
                <v:stroke weight="2pt" color="#FFFF00 [3204]" joinstyle="round" startarrow="block" endarrow="block"/>
                <v:imagedata o:title=""/>
                <o:lock v:ext="edit" aspectratio="f"/>
              </v:shape>
            </w:pict>
          </mc:Fallback>
        </mc:AlternateContent>
      </w:r>
      <w:r>
        <w:rPr>
          <w:rFonts w:hint="eastAsia" w:eastAsia="宋体"/>
          <w:color w:val="auto"/>
          <w:sz w:val="24"/>
          <w:szCs w:val="32"/>
          <w:lang w:eastAsia="zh-CN"/>
        </w:rPr>
        <w:drawing>
          <wp:inline distT="0" distB="0" distL="114300" distR="114300">
            <wp:extent cx="8711565" cy="5843905"/>
            <wp:effectExtent l="0" t="0" r="13335" b="4445"/>
            <wp:docPr id="114" name="图片 1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1"/>
                    <pic:cNvPicPr>
                      <a:picLocks noChangeAspect="1"/>
                    </pic:cNvPicPr>
                  </pic:nvPicPr>
                  <pic:blipFill>
                    <a:blip r:embed="rId19"/>
                    <a:srcRect t="5504"/>
                    <a:stretch>
                      <a:fillRect/>
                    </a:stretch>
                  </pic:blipFill>
                  <pic:spPr>
                    <a:xfrm>
                      <a:off x="0" y="0"/>
                      <a:ext cx="8711565" cy="5843905"/>
                    </a:xfrm>
                    <a:prstGeom prst="rect">
                      <a:avLst/>
                    </a:prstGeom>
                  </pic:spPr>
                </pic:pic>
              </a:graphicData>
            </a:graphic>
          </wp:inline>
        </w:drawing>
      </w:r>
      <w:r>
        <w:rPr>
          <w:b/>
          <w:bCs/>
          <w:color w:val="auto"/>
          <w:sz w:val="24"/>
        </w:rPr>
        <mc:AlternateContent>
          <mc:Choice Requires="wps">
            <w:drawing>
              <wp:anchor distT="0" distB="0" distL="114300" distR="114300" simplePos="0" relativeHeight="251749376" behindDoc="0" locked="0" layoutInCell="1" allowOverlap="1">
                <wp:simplePos x="0" y="0"/>
                <wp:positionH relativeFrom="column">
                  <wp:posOffset>274955</wp:posOffset>
                </wp:positionH>
                <wp:positionV relativeFrom="paragraph">
                  <wp:posOffset>5422265</wp:posOffset>
                </wp:positionV>
                <wp:extent cx="358775" cy="0"/>
                <wp:effectExtent l="0" t="38100" r="3175" b="38100"/>
                <wp:wrapNone/>
                <wp:docPr id="131" name="直接箭头连接符 131"/>
                <wp:cNvGraphicFramePr/>
                <a:graphic xmlns:a="http://schemas.openxmlformats.org/drawingml/2006/main">
                  <a:graphicData uri="http://schemas.microsoft.com/office/word/2010/wordprocessingShape">
                    <wps:wsp>
                      <wps:cNvCnPr/>
                      <wps:spPr>
                        <a:xfrm>
                          <a:off x="1225550" y="6115685"/>
                          <a:ext cx="358775" cy="0"/>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1.65pt;margin-top:426.95pt;height:0pt;width:28.25pt;z-index:251749376;mso-width-relative:page;mso-height-relative:page;" filled="f" stroked="t" coordsize="21600,21600" o:gfxdata="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ZhaFTVAAAACQEA&#10;AA8AAAAAAAAAAQAgAAAAIgAAAGRycy9kb3ducmV2LnhtbFBLAQIUABQAAAAIAIdO4kB7gFIxHQIA&#10;ABoEAAAOAAAAAAAAAAEAIAAAACQBAABkcnMvZTJvRG9jLnhtbFBLBQYAAAAABgAGAFkBAACzBQAA&#10;AAA=&#10;">
                <v:fill on="f" focussize="0,0"/>
                <v:stroke weight="2pt" color="#FFFF00 [3204]" joinstyle="round" startarrow="block" endarrow="block"/>
                <v:imagedata o:title=""/>
                <o:lock v:ext="edit" aspectratio="f"/>
              </v:shape>
            </w:pict>
          </mc:Fallback>
        </mc:AlternateContent>
      </w:r>
      <w:r>
        <w:rPr>
          <w:b/>
          <w:bCs/>
          <w:color w:val="auto"/>
          <w:sz w:val="24"/>
        </w:rPr>
        <mc:AlternateContent>
          <mc:Choice Requires="wps">
            <w:drawing>
              <wp:anchor distT="0" distB="0" distL="114300" distR="114300" simplePos="0" relativeHeight="251748352" behindDoc="0" locked="0" layoutInCell="1" allowOverlap="1">
                <wp:simplePos x="0" y="0"/>
                <wp:positionH relativeFrom="column">
                  <wp:posOffset>303530</wp:posOffset>
                </wp:positionH>
                <wp:positionV relativeFrom="paragraph">
                  <wp:posOffset>5027930</wp:posOffset>
                </wp:positionV>
                <wp:extent cx="278765" cy="175895"/>
                <wp:effectExtent l="6350" t="6350" r="19685" b="8255"/>
                <wp:wrapNone/>
                <wp:docPr id="116" name="矩形 116"/>
                <wp:cNvGraphicFramePr/>
                <a:graphic xmlns:a="http://schemas.openxmlformats.org/drawingml/2006/main">
                  <a:graphicData uri="http://schemas.microsoft.com/office/word/2010/wordprocessingShape">
                    <wps:wsp>
                      <wps:cNvSpPr/>
                      <wps:spPr>
                        <a:xfrm>
                          <a:off x="1217930" y="5734685"/>
                          <a:ext cx="278765" cy="175895"/>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9pt;margin-top:395.9pt;height:13.85pt;width:21.95pt;z-index:251748352;v-text-anchor:middle;mso-width-relative:page;mso-height-relative:page;" filled="f" stroked="t" coordsize="21600,21600" o:gfxdata="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drCVPWAAAACQEAAA8AAAAAAAAAAQAgAAAAIgAAAGRycy9kb3ducmV2Lnht&#10;bFBLAQIUABQAAAAIAIdO4kBUqlyCbQIAAMMEAAAOAAAAAAAAAAEAIAAAACUBAABkcnMvZTJvRG9j&#10;LnhtbFBLBQYAAAAABgAGAFkBAAAEBgAAAAA=&#10;">
                <v:fill on="f" focussize="0,0"/>
                <v:stroke weight="1pt" color="#FF0000 [2404]" joinstyle="round"/>
                <v:imagedata o:title=""/>
                <o:lock v:ext="edit" aspectratio="f"/>
              </v:rect>
            </w:pict>
          </mc:Fallback>
        </mc:AlternateContent>
      </w:r>
      <w:r>
        <w:rPr>
          <w:b/>
          <w:bCs/>
          <w:color w:val="auto"/>
          <w:sz w:val="24"/>
        </w:rPr>
        <mc:AlternateContent>
          <mc:Choice Requires="wps">
            <w:drawing>
              <wp:anchor distT="0" distB="0" distL="114300" distR="114300" simplePos="0" relativeHeight="251747328" behindDoc="0" locked="0" layoutInCell="1" allowOverlap="1">
                <wp:simplePos x="0" y="0"/>
                <wp:positionH relativeFrom="column">
                  <wp:posOffset>106045</wp:posOffset>
                </wp:positionH>
                <wp:positionV relativeFrom="paragraph">
                  <wp:posOffset>4675505</wp:posOffset>
                </wp:positionV>
                <wp:extent cx="1480820" cy="886460"/>
                <wp:effectExtent l="4445" t="4445" r="19685" b="23495"/>
                <wp:wrapNone/>
                <wp:docPr id="115" name="文本框 115"/>
                <wp:cNvGraphicFramePr/>
                <a:graphic xmlns:a="http://schemas.openxmlformats.org/drawingml/2006/main">
                  <a:graphicData uri="http://schemas.microsoft.com/office/word/2010/wordprocessingShape">
                    <wps:wsp>
                      <wps:cNvSpPr txBox="1"/>
                      <wps:spPr>
                        <a:xfrm>
                          <a:off x="962025" y="4628515"/>
                          <a:ext cx="1480820" cy="8864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18A4056">
                            <w:pPr>
                              <w:spacing w:line="360" w:lineRule="auto"/>
                              <w:jc w:val="center"/>
                              <w:rPr>
                                <w:rFonts w:hint="eastAsia"/>
                                <w:b/>
                                <w:bCs/>
                                <w:sz w:val="24"/>
                                <w:szCs w:val="32"/>
                                <w:lang w:val="en-US" w:eastAsia="zh-CN"/>
                              </w:rPr>
                            </w:pPr>
                            <w:r>
                              <w:rPr>
                                <w:rFonts w:hint="eastAsia"/>
                                <w:b/>
                                <w:bCs/>
                                <w:sz w:val="24"/>
                                <w:szCs w:val="32"/>
                                <w:lang w:val="en-US" w:eastAsia="zh-CN"/>
                              </w:rPr>
                              <w:t>图例</w:t>
                            </w:r>
                          </w:p>
                          <w:p w14:paraId="430882C4">
                            <w:pPr>
                              <w:spacing w:line="360" w:lineRule="auto"/>
                              <w:jc w:val="right"/>
                              <w:rPr>
                                <w:rFonts w:hint="eastAsia"/>
                                <w:b/>
                                <w:bCs/>
                                <w:sz w:val="24"/>
                                <w:szCs w:val="32"/>
                                <w:lang w:val="en-US" w:eastAsia="zh-CN"/>
                              </w:rPr>
                            </w:pPr>
                            <w:r>
                              <w:rPr>
                                <w:rFonts w:hint="eastAsia"/>
                                <w:b/>
                                <w:bCs/>
                                <w:sz w:val="24"/>
                                <w:szCs w:val="32"/>
                                <w:lang w:val="en-US" w:eastAsia="zh-CN"/>
                              </w:rPr>
                              <w:t>项目厂址</w:t>
                            </w:r>
                          </w:p>
                          <w:p w14:paraId="2F80F013">
                            <w:pPr>
                              <w:spacing w:line="360" w:lineRule="auto"/>
                              <w:jc w:val="right"/>
                              <w:rPr>
                                <w:rFonts w:hint="default"/>
                                <w:b/>
                                <w:bCs/>
                                <w:sz w:val="24"/>
                                <w:szCs w:val="32"/>
                                <w:lang w:val="en-US" w:eastAsia="zh-CN"/>
                              </w:rPr>
                            </w:pPr>
                            <w:r>
                              <w:rPr>
                                <w:rFonts w:hint="eastAsia"/>
                                <w:b/>
                                <w:bCs/>
                                <w:sz w:val="24"/>
                                <w:szCs w:val="32"/>
                                <w:lang w:val="en-US" w:eastAsia="zh-CN"/>
                              </w:rPr>
                              <w:t>监测断面</w:t>
                            </w:r>
                          </w:p>
                          <w:p w14:paraId="20A61093">
                            <w:pPr>
                              <w:spacing w:line="360" w:lineRule="auto"/>
                              <w:jc w:val="center"/>
                              <w:rPr>
                                <w:rFonts w:hint="default"/>
                                <w:b/>
                                <w:bCs/>
                                <w:sz w:val="24"/>
                                <w:szCs w:val="32"/>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5pt;margin-top:368.15pt;height:69.8pt;width:116.6pt;z-index:251747328;mso-width-relative:page;mso-height-relative:page;" fillcolor="#FFFFFF [3201]" filled="t" stroked="t" coordsize="21600,21600" o:gfxdata="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eO6Gw1wAAAAoBAAAPAAAAAAAAAAEAIAAAACIAAABkcnMvZG93bnJldi54bWxQSwEC&#10;FAAUAAAACACHTuJA/cynlGcCAADGBAAADgAAAAAAAAABACAAAAAmAQAAZHJzL2Uyb0RvYy54bWxQ&#10;SwUGAAAAAAYABgBZAQAA/wUAAAAA&#10;">
                <v:fill on="t" focussize="0,0"/>
                <v:stroke weight="0.5pt" color="#000000 [3204]" joinstyle="round"/>
                <v:imagedata o:title=""/>
                <o:lock v:ext="edit" aspectratio="f"/>
                <v:textbox>
                  <w:txbxContent>
                    <w:p w14:paraId="718A4056">
                      <w:pPr>
                        <w:spacing w:line="360" w:lineRule="auto"/>
                        <w:jc w:val="center"/>
                        <w:rPr>
                          <w:rFonts w:hint="eastAsia"/>
                          <w:b/>
                          <w:bCs/>
                          <w:sz w:val="24"/>
                          <w:szCs w:val="32"/>
                          <w:lang w:val="en-US" w:eastAsia="zh-CN"/>
                        </w:rPr>
                      </w:pPr>
                      <w:r>
                        <w:rPr>
                          <w:rFonts w:hint="eastAsia"/>
                          <w:b/>
                          <w:bCs/>
                          <w:sz w:val="24"/>
                          <w:szCs w:val="32"/>
                          <w:lang w:val="en-US" w:eastAsia="zh-CN"/>
                        </w:rPr>
                        <w:t>图例</w:t>
                      </w:r>
                    </w:p>
                    <w:p w14:paraId="430882C4">
                      <w:pPr>
                        <w:spacing w:line="360" w:lineRule="auto"/>
                        <w:jc w:val="right"/>
                        <w:rPr>
                          <w:rFonts w:hint="eastAsia"/>
                          <w:b/>
                          <w:bCs/>
                          <w:sz w:val="24"/>
                          <w:szCs w:val="32"/>
                          <w:lang w:val="en-US" w:eastAsia="zh-CN"/>
                        </w:rPr>
                      </w:pPr>
                      <w:r>
                        <w:rPr>
                          <w:rFonts w:hint="eastAsia"/>
                          <w:b/>
                          <w:bCs/>
                          <w:sz w:val="24"/>
                          <w:szCs w:val="32"/>
                          <w:lang w:val="en-US" w:eastAsia="zh-CN"/>
                        </w:rPr>
                        <w:t>项目厂址</w:t>
                      </w:r>
                    </w:p>
                    <w:p w14:paraId="2F80F013">
                      <w:pPr>
                        <w:spacing w:line="360" w:lineRule="auto"/>
                        <w:jc w:val="right"/>
                        <w:rPr>
                          <w:rFonts w:hint="default"/>
                          <w:b/>
                          <w:bCs/>
                          <w:sz w:val="24"/>
                          <w:szCs w:val="32"/>
                          <w:lang w:val="en-US" w:eastAsia="zh-CN"/>
                        </w:rPr>
                      </w:pPr>
                      <w:r>
                        <w:rPr>
                          <w:rFonts w:hint="eastAsia"/>
                          <w:b/>
                          <w:bCs/>
                          <w:sz w:val="24"/>
                          <w:szCs w:val="32"/>
                          <w:lang w:val="en-US" w:eastAsia="zh-CN"/>
                        </w:rPr>
                        <w:t>监测断面</w:t>
                      </w:r>
                    </w:p>
                    <w:p w14:paraId="20A61093">
                      <w:pPr>
                        <w:spacing w:line="360" w:lineRule="auto"/>
                        <w:jc w:val="center"/>
                        <w:rPr>
                          <w:rFonts w:hint="default"/>
                          <w:b/>
                          <w:bCs/>
                          <w:sz w:val="24"/>
                          <w:szCs w:val="32"/>
                          <w:lang w:val="en-US" w:eastAsia="zh-CN"/>
                        </w:rPr>
                      </w:pPr>
                    </w:p>
                  </w:txbxContent>
                </v:textbox>
              </v:shape>
            </w:pict>
          </mc:Fallback>
        </mc:AlternateContent>
      </w:r>
      <w:r>
        <w:rPr>
          <w:rFonts w:hint="eastAsia"/>
          <w:b/>
          <w:bCs/>
          <w:color w:val="auto"/>
          <w:sz w:val="24"/>
          <w:szCs w:val="32"/>
          <w:lang w:val="en-US" w:eastAsia="zh-CN"/>
        </w:rPr>
        <w:t>图2-1 地表水环境质量现状监测点位布设示意图</w:t>
      </w:r>
    </w:p>
    <w:p w14:paraId="709DD79F">
      <w:pPr>
        <w:spacing w:line="360" w:lineRule="auto"/>
        <w:ind w:firstLine="480" w:firstLineChars="200"/>
        <w:jc w:val="left"/>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2</w:t>
      </w:r>
      <w:r>
        <w:rPr>
          <w:rFonts w:hint="eastAsia"/>
          <w:b w:val="0"/>
          <w:bCs w:val="0"/>
          <w:color w:val="auto"/>
          <w:sz w:val="24"/>
          <w:szCs w:val="32"/>
          <w:lang w:eastAsia="zh-CN"/>
        </w:rPr>
        <w:t>）</w:t>
      </w:r>
      <w:r>
        <w:rPr>
          <w:rFonts w:hint="eastAsia"/>
          <w:b w:val="0"/>
          <w:bCs w:val="0"/>
          <w:color w:val="auto"/>
          <w:sz w:val="24"/>
          <w:szCs w:val="32"/>
          <w:lang w:val="en-US" w:eastAsia="zh-CN"/>
        </w:rPr>
        <w:t>评价标准</w:t>
      </w:r>
    </w:p>
    <w:p w14:paraId="241FB049">
      <w:pPr>
        <w:spacing w:line="360" w:lineRule="auto"/>
        <w:ind w:firstLine="480" w:firstLineChars="200"/>
        <w:jc w:val="left"/>
        <w:rPr>
          <w:rFonts w:hint="eastAsia"/>
          <w:b w:val="0"/>
          <w:bCs w:val="0"/>
          <w:color w:val="auto"/>
          <w:sz w:val="24"/>
          <w:szCs w:val="32"/>
          <w:lang w:val="en-US" w:eastAsia="zh-CN"/>
        </w:rPr>
      </w:pPr>
      <w:r>
        <w:rPr>
          <w:rFonts w:hint="eastAsia"/>
          <w:b w:val="0"/>
          <w:bCs w:val="0"/>
          <w:color w:val="auto"/>
          <w:sz w:val="24"/>
          <w:szCs w:val="32"/>
          <w:lang w:val="en-US" w:eastAsia="zh-CN"/>
        </w:rPr>
        <w:t>王引河地表水环境质量执行《地表水环境质量标准》（GB3838-2002）中IV类；巴河地表水环境质量执行《地表水环境质量标准》（GB3838-2002）中V类。具体标准值见下表所示。</w:t>
      </w:r>
    </w:p>
    <w:p w14:paraId="62C40AD3">
      <w:pPr>
        <w:spacing w:line="360" w:lineRule="auto"/>
        <w:jc w:val="center"/>
        <w:rPr>
          <w:rFonts w:hint="default"/>
          <w:b w:val="0"/>
          <w:bCs w:val="0"/>
          <w:color w:val="auto"/>
          <w:sz w:val="24"/>
          <w:szCs w:val="32"/>
          <w:lang w:val="en-US" w:eastAsia="zh-CN"/>
        </w:rPr>
      </w:pPr>
      <w:r>
        <w:rPr>
          <w:rFonts w:hint="eastAsia"/>
          <w:b/>
          <w:bCs/>
          <w:color w:val="auto"/>
          <w:sz w:val="24"/>
          <w:szCs w:val="32"/>
          <w:lang w:val="en-US" w:eastAsia="zh-CN"/>
        </w:rPr>
        <w:t>表2-4 地表水环境质量标准（单位：mg/L，pH无量纲）</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458"/>
        <w:gridCol w:w="2656"/>
        <w:gridCol w:w="2415"/>
        <w:gridCol w:w="2415"/>
      </w:tblGrid>
      <w:tr w14:paraId="3E35C7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restart"/>
            <w:noWrap w:val="0"/>
            <w:vAlign w:val="center"/>
          </w:tcPr>
          <w:p w14:paraId="1FE7BE6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标准类别</w:t>
            </w:r>
          </w:p>
        </w:tc>
        <w:tc>
          <w:tcPr>
            <w:tcW w:w="1335" w:type="pct"/>
            <w:vMerge w:val="restart"/>
            <w:noWrap w:val="0"/>
            <w:vAlign w:val="center"/>
          </w:tcPr>
          <w:p w14:paraId="6EBDE777">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项目</w:t>
            </w:r>
          </w:p>
        </w:tc>
        <w:tc>
          <w:tcPr>
            <w:tcW w:w="2428" w:type="pct"/>
            <w:gridSpan w:val="2"/>
            <w:noWrap w:val="0"/>
            <w:vAlign w:val="center"/>
          </w:tcPr>
          <w:p w14:paraId="6EDF109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标准值（mg/L）</w:t>
            </w:r>
          </w:p>
        </w:tc>
      </w:tr>
      <w:tr w14:paraId="5468CAF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05D53B0F">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vMerge w:val="continue"/>
            <w:noWrap w:val="0"/>
            <w:vAlign w:val="center"/>
          </w:tcPr>
          <w:p w14:paraId="7E6A5FAE">
            <w:pPr>
              <w:widowControl/>
              <w:spacing w:line="240" w:lineRule="auto"/>
              <w:ind w:firstLine="0" w:firstLineChars="0"/>
              <w:jc w:val="center"/>
              <w:rPr>
                <w:rFonts w:hint="default" w:ascii="Times New Roman" w:hAnsi="Times New Roman" w:cs="Times New Roman"/>
                <w:color w:val="auto"/>
                <w:kern w:val="0"/>
                <w:sz w:val="21"/>
                <w:szCs w:val="21"/>
              </w:rPr>
            </w:pPr>
          </w:p>
        </w:tc>
        <w:tc>
          <w:tcPr>
            <w:tcW w:w="1214" w:type="pct"/>
            <w:tcBorders>
              <w:right w:val="single" w:color="auto" w:sz="4" w:space="0"/>
            </w:tcBorders>
            <w:noWrap w:val="0"/>
            <w:vAlign w:val="center"/>
          </w:tcPr>
          <w:p w14:paraId="4A7271A4">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lang w:val="en-US" w:eastAsia="zh-CN"/>
              </w:rPr>
              <w:t>IV</w:t>
            </w:r>
            <w:r>
              <w:rPr>
                <w:rFonts w:hint="default" w:ascii="Times New Roman" w:hAnsi="Times New Roman" w:cs="Times New Roman"/>
                <w:color w:val="auto"/>
                <w:kern w:val="0"/>
                <w:sz w:val="21"/>
                <w:szCs w:val="21"/>
              </w:rPr>
              <w:t>类</w:t>
            </w:r>
          </w:p>
        </w:tc>
        <w:tc>
          <w:tcPr>
            <w:tcW w:w="1214" w:type="pct"/>
            <w:tcBorders>
              <w:left w:val="single" w:color="auto" w:sz="4" w:space="0"/>
            </w:tcBorders>
            <w:noWrap w:val="0"/>
            <w:vAlign w:val="center"/>
          </w:tcPr>
          <w:p w14:paraId="034050A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V类</w:t>
            </w:r>
          </w:p>
        </w:tc>
      </w:tr>
      <w:tr w14:paraId="4766FB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restart"/>
            <w:noWrap w:val="0"/>
            <w:vAlign w:val="center"/>
          </w:tcPr>
          <w:p w14:paraId="297DF619">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《地表水环境质量标准》</w:t>
            </w:r>
          </w:p>
          <w:p w14:paraId="755D6AC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（GB3838-2002）</w:t>
            </w:r>
          </w:p>
        </w:tc>
        <w:tc>
          <w:tcPr>
            <w:tcW w:w="1335" w:type="pct"/>
            <w:noWrap w:val="0"/>
            <w:vAlign w:val="center"/>
          </w:tcPr>
          <w:p w14:paraId="4AE7CDE1">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pH</w:t>
            </w:r>
          </w:p>
        </w:tc>
        <w:tc>
          <w:tcPr>
            <w:tcW w:w="1214" w:type="pct"/>
            <w:tcBorders>
              <w:right w:val="single" w:color="auto" w:sz="4" w:space="0"/>
            </w:tcBorders>
            <w:noWrap w:val="0"/>
            <w:vAlign w:val="center"/>
          </w:tcPr>
          <w:p w14:paraId="3535546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c>
          <w:tcPr>
            <w:tcW w:w="1214" w:type="pct"/>
            <w:tcBorders>
              <w:left w:val="single" w:color="auto" w:sz="4" w:space="0"/>
            </w:tcBorders>
            <w:noWrap w:val="0"/>
            <w:vAlign w:val="center"/>
          </w:tcPr>
          <w:p w14:paraId="21FA4F90">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r>
      <w:tr w14:paraId="31DCF4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149D7C75">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6E27EFF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COD</w:t>
            </w:r>
          </w:p>
        </w:tc>
        <w:tc>
          <w:tcPr>
            <w:tcW w:w="1214" w:type="pct"/>
            <w:tcBorders>
              <w:right w:val="single" w:color="auto" w:sz="4" w:space="0"/>
            </w:tcBorders>
            <w:noWrap w:val="0"/>
            <w:vAlign w:val="center"/>
          </w:tcPr>
          <w:p w14:paraId="1962682D">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30</w:t>
            </w:r>
          </w:p>
        </w:tc>
        <w:tc>
          <w:tcPr>
            <w:tcW w:w="1214" w:type="pct"/>
            <w:tcBorders>
              <w:left w:val="single" w:color="auto" w:sz="4" w:space="0"/>
            </w:tcBorders>
            <w:noWrap w:val="0"/>
            <w:vAlign w:val="center"/>
          </w:tcPr>
          <w:p w14:paraId="32021870">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40</w:t>
            </w:r>
          </w:p>
        </w:tc>
      </w:tr>
      <w:tr w14:paraId="691711D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2926BB7E">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1DD800C9">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BOD</w:t>
            </w:r>
            <w:r>
              <w:rPr>
                <w:rFonts w:hint="default" w:ascii="Times New Roman" w:hAnsi="Times New Roman" w:cs="Times New Roman"/>
                <w:color w:val="auto"/>
                <w:kern w:val="0"/>
                <w:sz w:val="21"/>
                <w:szCs w:val="21"/>
                <w:vertAlign w:val="subscript"/>
              </w:rPr>
              <w:t>5</w:t>
            </w:r>
          </w:p>
        </w:tc>
        <w:tc>
          <w:tcPr>
            <w:tcW w:w="1214" w:type="pct"/>
            <w:tcBorders>
              <w:right w:val="single" w:color="auto" w:sz="4" w:space="0"/>
            </w:tcBorders>
            <w:noWrap w:val="0"/>
            <w:vAlign w:val="center"/>
          </w:tcPr>
          <w:p w14:paraId="3202B451">
            <w:pPr>
              <w:widowControl/>
              <w:spacing w:line="240" w:lineRule="auto"/>
              <w:ind w:firstLine="0" w:firstLineChars="0"/>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val="en-US" w:eastAsia="zh-CN"/>
              </w:rPr>
              <w:t>6</w:t>
            </w:r>
          </w:p>
        </w:tc>
        <w:tc>
          <w:tcPr>
            <w:tcW w:w="1214" w:type="pct"/>
            <w:tcBorders>
              <w:left w:val="single" w:color="auto" w:sz="4" w:space="0"/>
            </w:tcBorders>
            <w:noWrap w:val="0"/>
            <w:vAlign w:val="center"/>
          </w:tcPr>
          <w:p w14:paraId="044342D8">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10</w:t>
            </w:r>
          </w:p>
        </w:tc>
      </w:tr>
      <w:tr w14:paraId="5513C4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24D7EFBA">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5DA2C4B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溶解氧</w:t>
            </w:r>
          </w:p>
        </w:tc>
        <w:tc>
          <w:tcPr>
            <w:tcW w:w="1214" w:type="pct"/>
            <w:tcBorders>
              <w:right w:val="single" w:color="auto" w:sz="4" w:space="0"/>
            </w:tcBorders>
            <w:noWrap w:val="0"/>
            <w:vAlign w:val="center"/>
          </w:tcPr>
          <w:p w14:paraId="481322D0">
            <w:pPr>
              <w:widowControl/>
              <w:spacing w:line="240" w:lineRule="auto"/>
              <w:ind w:firstLine="0" w:firstLineChars="0"/>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val="en-US" w:eastAsia="zh-CN"/>
              </w:rPr>
              <w:t>3</w:t>
            </w:r>
          </w:p>
        </w:tc>
        <w:tc>
          <w:tcPr>
            <w:tcW w:w="1214" w:type="pct"/>
            <w:tcBorders>
              <w:left w:val="single" w:color="auto" w:sz="4" w:space="0"/>
            </w:tcBorders>
            <w:noWrap w:val="0"/>
            <w:vAlign w:val="center"/>
          </w:tcPr>
          <w:p w14:paraId="7F9E2B34">
            <w:pPr>
              <w:widowControl/>
              <w:spacing w:line="240" w:lineRule="auto"/>
              <w:ind w:firstLine="0" w:firstLineChars="0"/>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val="en-US" w:eastAsia="zh-CN"/>
              </w:rPr>
              <w:t>2</w:t>
            </w:r>
          </w:p>
        </w:tc>
      </w:tr>
      <w:tr w14:paraId="2174C2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14A0105E">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311494B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氨氮</w:t>
            </w:r>
          </w:p>
        </w:tc>
        <w:tc>
          <w:tcPr>
            <w:tcW w:w="1214" w:type="pct"/>
            <w:tcBorders>
              <w:right w:val="single" w:color="auto" w:sz="4" w:space="0"/>
            </w:tcBorders>
            <w:noWrap w:val="0"/>
            <w:vAlign w:val="center"/>
          </w:tcPr>
          <w:p w14:paraId="4DFB543F">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1.5</w:t>
            </w:r>
          </w:p>
        </w:tc>
        <w:tc>
          <w:tcPr>
            <w:tcW w:w="1214" w:type="pct"/>
            <w:tcBorders>
              <w:left w:val="single" w:color="auto" w:sz="4" w:space="0"/>
            </w:tcBorders>
            <w:noWrap w:val="0"/>
            <w:vAlign w:val="center"/>
          </w:tcPr>
          <w:p w14:paraId="1E3AF446">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2.0</w:t>
            </w:r>
          </w:p>
        </w:tc>
      </w:tr>
      <w:tr w14:paraId="53CBEA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22268A55">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367BFD60">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总磷</w:t>
            </w:r>
          </w:p>
        </w:tc>
        <w:tc>
          <w:tcPr>
            <w:tcW w:w="1214" w:type="pct"/>
            <w:tcBorders>
              <w:right w:val="single" w:color="auto" w:sz="4" w:space="0"/>
            </w:tcBorders>
            <w:noWrap w:val="0"/>
            <w:vAlign w:val="center"/>
          </w:tcPr>
          <w:p w14:paraId="24A70D7C">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0.3</w:t>
            </w:r>
          </w:p>
        </w:tc>
        <w:tc>
          <w:tcPr>
            <w:tcW w:w="1214" w:type="pct"/>
            <w:tcBorders>
              <w:left w:val="single" w:color="auto" w:sz="4" w:space="0"/>
            </w:tcBorders>
            <w:noWrap w:val="0"/>
            <w:vAlign w:val="center"/>
          </w:tcPr>
          <w:p w14:paraId="60188861">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0.4</w:t>
            </w:r>
          </w:p>
        </w:tc>
      </w:tr>
    </w:tbl>
    <w:p w14:paraId="0B6AEAB0">
      <w:pPr>
        <w:spacing w:line="360" w:lineRule="auto"/>
        <w:jc w:val="left"/>
        <w:rPr>
          <w:rFonts w:hint="eastAsia"/>
          <w:b w:val="0"/>
          <w:bCs w:val="0"/>
          <w:color w:val="auto"/>
          <w:sz w:val="24"/>
          <w:szCs w:val="32"/>
          <w:lang w:val="en-US" w:eastAsia="zh-CN"/>
        </w:rPr>
      </w:pPr>
    </w:p>
    <w:p w14:paraId="27A462F5">
      <w:pPr>
        <w:spacing w:line="360" w:lineRule="auto"/>
        <w:ind w:firstLine="480" w:firstLineChars="200"/>
        <w:jc w:val="left"/>
        <w:rPr>
          <w:rFonts w:hint="eastAsia" w:ascii="Times New Roman" w:hAnsi="Times New Roman" w:cs="Times New Roman"/>
          <w:b w:val="0"/>
          <w:bCs w:val="0"/>
          <w:color w:val="auto"/>
          <w:sz w:val="24"/>
          <w:szCs w:val="32"/>
          <w:lang w:val="en-US" w:eastAsia="zh-CN"/>
        </w:rPr>
      </w:pPr>
      <w:r>
        <w:rPr>
          <w:rFonts w:hint="default" w:ascii="Times New Roman" w:hAnsi="Times New Roman" w:cs="Times New Roman"/>
          <w:b w:val="0"/>
          <w:bCs w:val="0"/>
          <w:color w:val="auto"/>
          <w:sz w:val="24"/>
          <w:szCs w:val="32"/>
          <w:lang w:val="en-US" w:eastAsia="zh-CN"/>
        </w:rPr>
        <w:t>（3）</w:t>
      </w:r>
      <w:r>
        <w:rPr>
          <w:rFonts w:hint="eastAsia" w:ascii="Times New Roman" w:hAnsi="Times New Roman" w:cs="Times New Roman"/>
          <w:b w:val="0"/>
          <w:bCs w:val="0"/>
          <w:color w:val="auto"/>
          <w:sz w:val="24"/>
          <w:szCs w:val="32"/>
          <w:lang w:val="en-US" w:eastAsia="zh-CN"/>
        </w:rPr>
        <w:t>监测结果</w:t>
      </w:r>
    </w:p>
    <w:p w14:paraId="41E30C5B">
      <w:pPr>
        <w:spacing w:line="360" w:lineRule="auto"/>
        <w:ind w:firstLine="480" w:firstLineChars="200"/>
        <w:jc w:val="left"/>
        <w:rPr>
          <w:rFonts w:hint="default" w:ascii="Times New Roman" w:hAnsi="Times New Roman" w:eastAsia="宋体"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环评阶段王引河、巴河水质监测结果如下。</w:t>
      </w:r>
    </w:p>
    <w:p w14:paraId="1E9DD453">
      <w:pPr>
        <w:spacing w:line="360" w:lineRule="auto"/>
        <w:jc w:val="center"/>
        <w:rPr>
          <w:rFonts w:hint="eastAsia" w:eastAsia="宋体"/>
          <w:b/>
          <w:bCs/>
          <w:color w:val="auto"/>
          <w:sz w:val="24"/>
          <w:szCs w:val="32"/>
          <w:lang w:eastAsia="zh-CN"/>
        </w:rPr>
      </w:pPr>
      <w:r>
        <w:rPr>
          <w:b/>
          <w:bCs/>
          <w:color w:val="auto"/>
          <w:sz w:val="24"/>
          <w:szCs w:val="32"/>
        </w:rPr>
        <w:t>表2-</w:t>
      </w:r>
      <w:r>
        <w:rPr>
          <w:rFonts w:hint="eastAsia"/>
          <w:b/>
          <w:bCs/>
          <w:color w:val="auto"/>
          <w:sz w:val="24"/>
          <w:szCs w:val="32"/>
          <w:lang w:val="en-US" w:eastAsia="zh-CN"/>
        </w:rPr>
        <w:t>5</w:t>
      </w:r>
      <w:r>
        <w:rPr>
          <w:b/>
          <w:bCs/>
          <w:color w:val="auto"/>
          <w:sz w:val="24"/>
          <w:szCs w:val="32"/>
        </w:rPr>
        <w:t xml:space="preserve"> </w:t>
      </w:r>
      <w:r>
        <w:rPr>
          <w:rFonts w:hint="eastAsia"/>
          <w:b/>
          <w:bCs/>
          <w:color w:val="auto"/>
          <w:sz w:val="24"/>
          <w:szCs w:val="32"/>
          <w:lang w:val="en-US" w:eastAsia="zh-CN"/>
        </w:rPr>
        <w:t>地表水环境质量现状监测结果及评价结果一览表（单位：mg/L；pH无量纲）</w:t>
      </w:r>
    </w:p>
    <w:tbl>
      <w:tblPr>
        <w:tblStyle w:val="31"/>
        <w:tblW w:w="498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2"/>
        <w:gridCol w:w="1393"/>
        <w:gridCol w:w="1721"/>
        <w:gridCol w:w="1010"/>
        <w:gridCol w:w="1010"/>
        <w:gridCol w:w="1010"/>
        <w:gridCol w:w="1010"/>
        <w:gridCol w:w="1010"/>
        <w:gridCol w:w="1010"/>
      </w:tblGrid>
      <w:tr w14:paraId="6798DA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79" w:type="pct"/>
            <w:noWrap w:val="0"/>
            <w:vAlign w:val="center"/>
          </w:tcPr>
          <w:p w14:paraId="00343561">
            <w:pPr>
              <w:bidi w:val="0"/>
              <w:jc w:val="center"/>
              <w:rPr>
                <w:rFonts w:hint="default" w:ascii="Times New Roman" w:hAnsi="Times New Roman" w:eastAsia="宋体" w:cs="Times New Roman"/>
                <w:b/>
                <w:bCs/>
                <w:color w:val="auto"/>
                <w:sz w:val="21"/>
                <w:szCs w:val="21"/>
              </w:rPr>
            </w:pPr>
            <w:bookmarkStart w:id="259" w:name="OLE_LINK100" w:colFirst="4" w:colLast="5"/>
            <w:r>
              <w:rPr>
                <w:rFonts w:hint="default" w:ascii="Times New Roman" w:hAnsi="Times New Roman" w:eastAsia="宋体" w:cs="Times New Roman"/>
                <w:b/>
                <w:bCs/>
                <w:color w:val="auto"/>
                <w:sz w:val="21"/>
                <w:szCs w:val="21"/>
              </w:rPr>
              <w:t>检测点位</w:t>
            </w:r>
          </w:p>
        </w:tc>
        <w:tc>
          <w:tcPr>
            <w:tcW w:w="701" w:type="pct"/>
            <w:noWrap w:val="0"/>
            <w:vAlign w:val="center"/>
          </w:tcPr>
          <w:p w14:paraId="16184ABA">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监测断面名称和位置</w:t>
            </w:r>
          </w:p>
        </w:tc>
        <w:tc>
          <w:tcPr>
            <w:tcW w:w="866" w:type="pct"/>
            <w:noWrap w:val="0"/>
            <w:vAlign w:val="center"/>
          </w:tcPr>
          <w:p w14:paraId="00F161A4">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监测时间</w:t>
            </w:r>
          </w:p>
        </w:tc>
        <w:tc>
          <w:tcPr>
            <w:tcW w:w="508" w:type="pct"/>
            <w:noWrap w:val="0"/>
            <w:vAlign w:val="center"/>
          </w:tcPr>
          <w:p w14:paraId="21079358">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pH</w:t>
            </w:r>
          </w:p>
        </w:tc>
        <w:tc>
          <w:tcPr>
            <w:tcW w:w="508" w:type="pct"/>
            <w:noWrap w:val="0"/>
            <w:vAlign w:val="center"/>
          </w:tcPr>
          <w:p w14:paraId="68A99C48">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COD</w:t>
            </w:r>
          </w:p>
        </w:tc>
        <w:tc>
          <w:tcPr>
            <w:tcW w:w="508" w:type="pct"/>
            <w:noWrap w:val="0"/>
            <w:vAlign w:val="center"/>
          </w:tcPr>
          <w:p w14:paraId="368D2247">
            <w:pPr>
              <w:bidi w:val="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BOD</w:t>
            </w:r>
            <w:r>
              <w:rPr>
                <w:rFonts w:hint="eastAsia" w:ascii="Times New Roman" w:hAnsi="Times New Roman" w:eastAsia="宋体" w:cs="Times New Roman"/>
                <w:b/>
                <w:bCs/>
                <w:color w:val="auto"/>
                <w:sz w:val="21"/>
                <w:szCs w:val="21"/>
                <w:vertAlign w:val="subscript"/>
                <w:lang w:val="en-US" w:eastAsia="zh-CN"/>
              </w:rPr>
              <w:t>5</w:t>
            </w:r>
          </w:p>
        </w:tc>
        <w:tc>
          <w:tcPr>
            <w:tcW w:w="508" w:type="pct"/>
            <w:noWrap w:val="0"/>
            <w:vAlign w:val="center"/>
          </w:tcPr>
          <w:p w14:paraId="0F62AE5F">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溶解氧</w:t>
            </w:r>
          </w:p>
        </w:tc>
        <w:tc>
          <w:tcPr>
            <w:tcW w:w="508" w:type="pct"/>
            <w:noWrap w:val="0"/>
            <w:vAlign w:val="center"/>
          </w:tcPr>
          <w:p w14:paraId="548D4C80">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氨氮</w:t>
            </w:r>
          </w:p>
        </w:tc>
        <w:tc>
          <w:tcPr>
            <w:tcW w:w="508" w:type="pct"/>
            <w:noWrap w:val="0"/>
            <w:vAlign w:val="center"/>
          </w:tcPr>
          <w:p w14:paraId="7D626059">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总磷</w:t>
            </w:r>
          </w:p>
        </w:tc>
      </w:tr>
      <w:bookmarkEnd w:id="259"/>
      <w:tr w14:paraId="60D1BB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restart"/>
            <w:noWrap w:val="0"/>
            <w:vAlign w:val="center"/>
          </w:tcPr>
          <w:p w14:paraId="13EA610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W1</w:t>
            </w:r>
          </w:p>
        </w:tc>
        <w:tc>
          <w:tcPr>
            <w:tcW w:w="701" w:type="pct"/>
            <w:vMerge w:val="restart"/>
            <w:noWrap w:val="0"/>
            <w:vAlign w:val="center"/>
          </w:tcPr>
          <w:p w14:paraId="7849D9D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濉溪县第二污水处理厂入巴河排污口上游200米</w:t>
            </w:r>
          </w:p>
        </w:tc>
        <w:tc>
          <w:tcPr>
            <w:tcW w:w="866" w:type="pct"/>
            <w:noWrap w:val="0"/>
            <w:vAlign w:val="center"/>
          </w:tcPr>
          <w:p w14:paraId="7D95FDC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2014.7.9</w:t>
            </w:r>
          </w:p>
        </w:tc>
        <w:tc>
          <w:tcPr>
            <w:tcW w:w="508" w:type="pct"/>
            <w:noWrap w:val="0"/>
            <w:vAlign w:val="center"/>
          </w:tcPr>
          <w:p w14:paraId="4C1196E9">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7.34</w:t>
            </w:r>
          </w:p>
        </w:tc>
        <w:tc>
          <w:tcPr>
            <w:tcW w:w="508" w:type="pct"/>
            <w:noWrap w:val="0"/>
            <w:vAlign w:val="center"/>
          </w:tcPr>
          <w:p w14:paraId="79671A14">
            <w:pPr>
              <w:jc w:val="center"/>
              <w:rPr>
                <w:rFonts w:hint="default" w:ascii="Times New Roman" w:hAnsi="Times New Roman" w:eastAsia="宋体" w:cs="Times New Roman"/>
                <w:color w:val="auto"/>
                <w:sz w:val="21"/>
                <w:szCs w:val="21"/>
              </w:rPr>
            </w:pPr>
            <w:r>
              <w:rPr>
                <w:color w:val="auto"/>
                <w:sz w:val="21"/>
                <w:szCs w:val="21"/>
              </w:rPr>
              <w:t>16</w:t>
            </w:r>
          </w:p>
        </w:tc>
        <w:tc>
          <w:tcPr>
            <w:tcW w:w="508" w:type="pct"/>
            <w:noWrap w:val="0"/>
            <w:vAlign w:val="center"/>
          </w:tcPr>
          <w:p w14:paraId="52C721FD">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2.6</w:t>
            </w:r>
          </w:p>
        </w:tc>
        <w:tc>
          <w:tcPr>
            <w:tcW w:w="508" w:type="pct"/>
            <w:noWrap w:val="0"/>
            <w:vAlign w:val="center"/>
          </w:tcPr>
          <w:p w14:paraId="753A6C0E">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7.8</w:t>
            </w:r>
          </w:p>
        </w:tc>
        <w:tc>
          <w:tcPr>
            <w:tcW w:w="508" w:type="pct"/>
            <w:noWrap w:val="0"/>
            <w:vAlign w:val="center"/>
          </w:tcPr>
          <w:p w14:paraId="5E082EAC">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0.283</w:t>
            </w:r>
          </w:p>
        </w:tc>
        <w:tc>
          <w:tcPr>
            <w:tcW w:w="508" w:type="pct"/>
            <w:noWrap w:val="0"/>
            <w:vAlign w:val="center"/>
          </w:tcPr>
          <w:p w14:paraId="30796FD3">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0.14</w:t>
            </w:r>
          </w:p>
        </w:tc>
      </w:tr>
      <w:tr w14:paraId="09FB6E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379" w:type="pct"/>
            <w:vMerge w:val="continue"/>
            <w:noWrap w:val="0"/>
            <w:vAlign w:val="center"/>
          </w:tcPr>
          <w:p w14:paraId="7EA3AB83">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00C2FC8">
            <w:pPr>
              <w:bidi w:val="0"/>
              <w:jc w:val="center"/>
              <w:rPr>
                <w:rFonts w:hint="default" w:ascii="Times New Roman" w:hAnsi="Times New Roman" w:eastAsia="宋体" w:cs="Times New Roman"/>
                <w:color w:val="auto"/>
                <w:sz w:val="21"/>
                <w:szCs w:val="21"/>
              </w:rPr>
            </w:pPr>
          </w:p>
        </w:tc>
        <w:tc>
          <w:tcPr>
            <w:tcW w:w="866" w:type="pct"/>
            <w:noWrap w:val="0"/>
            <w:vAlign w:val="center"/>
          </w:tcPr>
          <w:p w14:paraId="1F0BAAFC">
            <w:pPr>
              <w:bidi w:val="0"/>
              <w:jc w:val="center"/>
              <w:rPr>
                <w:rFonts w:hint="default" w:ascii="Times New Roman" w:hAnsi="Times New Roman" w:eastAsia="宋体" w:cs="Times New Roman"/>
                <w:color w:val="auto"/>
                <w:sz w:val="21"/>
                <w:szCs w:val="21"/>
                <w:lang w:val="en-US"/>
              </w:rPr>
            </w:pPr>
            <w:r>
              <w:rPr>
                <w:rFonts w:hint="eastAsia" w:cs="Times New Roman"/>
                <w:color w:val="auto"/>
                <w:sz w:val="21"/>
                <w:szCs w:val="21"/>
                <w:lang w:val="en-US" w:eastAsia="zh-CN"/>
              </w:rPr>
              <w:t>2014.7.10</w:t>
            </w:r>
          </w:p>
        </w:tc>
        <w:tc>
          <w:tcPr>
            <w:tcW w:w="508" w:type="pct"/>
            <w:noWrap w:val="0"/>
            <w:vAlign w:val="center"/>
          </w:tcPr>
          <w:p w14:paraId="5ADA2286">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7.28</w:t>
            </w:r>
          </w:p>
        </w:tc>
        <w:tc>
          <w:tcPr>
            <w:tcW w:w="508" w:type="pct"/>
            <w:noWrap w:val="0"/>
            <w:vAlign w:val="center"/>
          </w:tcPr>
          <w:p w14:paraId="040032B1">
            <w:pPr>
              <w:jc w:val="center"/>
              <w:rPr>
                <w:rFonts w:hint="default" w:ascii="Times New Roman" w:hAnsi="Times New Roman" w:eastAsia="宋体" w:cs="Times New Roman"/>
                <w:color w:val="auto"/>
                <w:sz w:val="21"/>
                <w:szCs w:val="21"/>
              </w:rPr>
            </w:pPr>
            <w:r>
              <w:rPr>
                <w:color w:val="auto"/>
                <w:sz w:val="21"/>
                <w:szCs w:val="21"/>
              </w:rPr>
              <w:t>15</w:t>
            </w:r>
          </w:p>
        </w:tc>
        <w:tc>
          <w:tcPr>
            <w:tcW w:w="508" w:type="pct"/>
            <w:noWrap w:val="0"/>
            <w:vAlign w:val="center"/>
          </w:tcPr>
          <w:p w14:paraId="31BE13EF">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2.4</w:t>
            </w:r>
          </w:p>
        </w:tc>
        <w:tc>
          <w:tcPr>
            <w:tcW w:w="508" w:type="pct"/>
            <w:noWrap w:val="0"/>
            <w:vAlign w:val="center"/>
          </w:tcPr>
          <w:p w14:paraId="56C8F851">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7.6</w:t>
            </w:r>
          </w:p>
        </w:tc>
        <w:tc>
          <w:tcPr>
            <w:tcW w:w="508" w:type="pct"/>
            <w:noWrap w:val="0"/>
            <w:vAlign w:val="center"/>
          </w:tcPr>
          <w:p w14:paraId="5B78787D">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0.265</w:t>
            </w:r>
          </w:p>
        </w:tc>
        <w:tc>
          <w:tcPr>
            <w:tcW w:w="508" w:type="pct"/>
            <w:noWrap w:val="0"/>
            <w:vAlign w:val="center"/>
          </w:tcPr>
          <w:p w14:paraId="7C2FB2F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0.15</w:t>
            </w:r>
          </w:p>
        </w:tc>
      </w:tr>
      <w:tr w14:paraId="1C52FB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379" w:type="pct"/>
            <w:vMerge w:val="continue"/>
            <w:noWrap w:val="0"/>
            <w:vAlign w:val="center"/>
          </w:tcPr>
          <w:p w14:paraId="6BC6E20C">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7BD43D94">
            <w:pPr>
              <w:bidi w:val="0"/>
              <w:jc w:val="center"/>
              <w:rPr>
                <w:rFonts w:hint="default" w:ascii="Times New Roman" w:hAnsi="Times New Roman" w:eastAsia="宋体" w:cs="Times New Roman"/>
                <w:color w:val="auto"/>
                <w:sz w:val="21"/>
                <w:szCs w:val="21"/>
              </w:rPr>
            </w:pPr>
          </w:p>
        </w:tc>
        <w:tc>
          <w:tcPr>
            <w:tcW w:w="866" w:type="pct"/>
            <w:noWrap w:val="0"/>
            <w:vAlign w:val="center"/>
          </w:tcPr>
          <w:p w14:paraId="486C3887">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GB3838中V类</w:t>
            </w:r>
            <w:r>
              <w:rPr>
                <w:rFonts w:hint="eastAsia" w:cs="Times New Roman"/>
                <w:color w:val="auto"/>
                <w:sz w:val="21"/>
                <w:szCs w:val="21"/>
                <w:lang w:val="en-US" w:eastAsia="zh-CN"/>
              </w:rPr>
              <w:t>）</w:t>
            </w:r>
          </w:p>
        </w:tc>
        <w:tc>
          <w:tcPr>
            <w:tcW w:w="508" w:type="pct"/>
            <w:noWrap w:val="0"/>
            <w:vAlign w:val="center"/>
          </w:tcPr>
          <w:p w14:paraId="6FD654C8">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6~9</w:t>
            </w:r>
          </w:p>
        </w:tc>
        <w:tc>
          <w:tcPr>
            <w:tcW w:w="508" w:type="pct"/>
            <w:noWrap w:val="0"/>
            <w:vAlign w:val="center"/>
          </w:tcPr>
          <w:p w14:paraId="7EA82676">
            <w:pPr>
              <w:jc w:val="center"/>
              <w:rPr>
                <w:rFonts w:hint="default" w:eastAsia="宋体"/>
                <w:color w:val="auto"/>
                <w:sz w:val="21"/>
                <w:szCs w:val="21"/>
                <w:lang w:val="en-US" w:eastAsia="zh-CN"/>
              </w:rPr>
            </w:pPr>
            <w:r>
              <w:rPr>
                <w:rFonts w:hint="eastAsia"/>
                <w:color w:val="auto"/>
                <w:sz w:val="21"/>
                <w:szCs w:val="21"/>
                <w:lang w:val="en-US" w:eastAsia="zh-CN"/>
              </w:rPr>
              <w:t>≤40</w:t>
            </w:r>
          </w:p>
        </w:tc>
        <w:tc>
          <w:tcPr>
            <w:tcW w:w="508" w:type="pct"/>
            <w:noWrap w:val="0"/>
            <w:vAlign w:val="center"/>
          </w:tcPr>
          <w:p w14:paraId="7BDCB3CB">
            <w:pPr>
              <w:bidi w:val="0"/>
              <w:jc w:val="center"/>
              <w:rPr>
                <w:rFonts w:hint="default" w:cs="Times New Roman"/>
                <w:color w:val="auto"/>
                <w:sz w:val="21"/>
                <w:szCs w:val="21"/>
                <w:lang w:val="en-US" w:eastAsia="zh-CN"/>
              </w:rPr>
            </w:pPr>
            <w:r>
              <w:rPr>
                <w:rFonts w:hint="eastAsia"/>
                <w:color w:val="auto"/>
                <w:sz w:val="21"/>
                <w:szCs w:val="21"/>
                <w:lang w:val="en-US" w:eastAsia="zh-CN"/>
              </w:rPr>
              <w:t>≤</w:t>
            </w:r>
            <w:r>
              <w:rPr>
                <w:rFonts w:hint="eastAsia" w:cs="Times New Roman"/>
                <w:color w:val="auto"/>
                <w:sz w:val="21"/>
                <w:szCs w:val="21"/>
                <w:lang w:val="en-US" w:eastAsia="zh-CN"/>
              </w:rPr>
              <w:t>10</w:t>
            </w:r>
          </w:p>
        </w:tc>
        <w:tc>
          <w:tcPr>
            <w:tcW w:w="508" w:type="pct"/>
            <w:noWrap w:val="0"/>
            <w:vAlign w:val="center"/>
          </w:tcPr>
          <w:p w14:paraId="13982BF2">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≥2</w:t>
            </w:r>
          </w:p>
        </w:tc>
        <w:tc>
          <w:tcPr>
            <w:tcW w:w="508" w:type="pct"/>
            <w:noWrap w:val="0"/>
            <w:vAlign w:val="center"/>
          </w:tcPr>
          <w:p w14:paraId="0AED80D3">
            <w:pPr>
              <w:bidi w:val="0"/>
              <w:jc w:val="center"/>
              <w:rPr>
                <w:rFonts w:hint="default" w:cs="Times New Roman"/>
                <w:color w:val="auto"/>
                <w:sz w:val="21"/>
                <w:szCs w:val="21"/>
                <w:lang w:val="en-US" w:eastAsia="zh-CN"/>
              </w:rPr>
            </w:pPr>
            <w:r>
              <w:rPr>
                <w:rFonts w:hint="eastAsia"/>
                <w:color w:val="auto"/>
                <w:sz w:val="21"/>
                <w:szCs w:val="21"/>
                <w:lang w:val="en-US" w:eastAsia="zh-CN"/>
              </w:rPr>
              <w:t>≤2.0</w:t>
            </w:r>
          </w:p>
        </w:tc>
        <w:tc>
          <w:tcPr>
            <w:tcW w:w="508" w:type="pct"/>
            <w:noWrap w:val="0"/>
            <w:vAlign w:val="center"/>
          </w:tcPr>
          <w:p w14:paraId="23B8A19B">
            <w:pPr>
              <w:bidi w:val="0"/>
              <w:jc w:val="center"/>
              <w:rPr>
                <w:rFonts w:hint="default" w:cs="Times New Roman"/>
                <w:color w:val="auto"/>
                <w:sz w:val="21"/>
                <w:szCs w:val="21"/>
                <w:lang w:val="en-US" w:eastAsia="zh-CN"/>
              </w:rPr>
            </w:pPr>
            <w:r>
              <w:rPr>
                <w:rFonts w:hint="eastAsia"/>
                <w:color w:val="auto"/>
                <w:sz w:val="21"/>
                <w:szCs w:val="21"/>
                <w:lang w:val="en-US" w:eastAsia="zh-CN"/>
              </w:rPr>
              <w:t>≤0.4</w:t>
            </w:r>
          </w:p>
        </w:tc>
      </w:tr>
      <w:tr w14:paraId="4B3512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379" w:type="pct"/>
            <w:vMerge w:val="continue"/>
            <w:noWrap w:val="0"/>
            <w:vAlign w:val="center"/>
          </w:tcPr>
          <w:p w14:paraId="7556D65E">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09084BAD">
            <w:pPr>
              <w:bidi w:val="0"/>
              <w:jc w:val="center"/>
              <w:rPr>
                <w:rFonts w:hint="default" w:ascii="Times New Roman" w:hAnsi="Times New Roman" w:eastAsia="宋体" w:cs="Times New Roman"/>
                <w:color w:val="auto"/>
                <w:sz w:val="21"/>
                <w:szCs w:val="21"/>
              </w:rPr>
            </w:pPr>
          </w:p>
        </w:tc>
        <w:tc>
          <w:tcPr>
            <w:tcW w:w="866" w:type="pct"/>
            <w:noWrap w:val="0"/>
            <w:vAlign w:val="center"/>
          </w:tcPr>
          <w:p w14:paraId="10AC5BB2">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40646A7B">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24C4C523">
            <w:pPr>
              <w:jc w:val="center"/>
              <w:rPr>
                <w:rFonts w:hint="eastAsia" w:eastAsia="宋体"/>
                <w:color w:val="auto"/>
                <w:sz w:val="21"/>
                <w:szCs w:val="21"/>
                <w:lang w:val="en-US" w:eastAsia="zh-CN"/>
              </w:rPr>
            </w:pPr>
            <w:r>
              <w:rPr>
                <w:rFonts w:hint="eastAsia"/>
                <w:color w:val="auto"/>
                <w:sz w:val="21"/>
                <w:szCs w:val="21"/>
                <w:lang w:val="en-US" w:eastAsia="zh-CN"/>
              </w:rPr>
              <w:t>是</w:t>
            </w:r>
          </w:p>
        </w:tc>
        <w:tc>
          <w:tcPr>
            <w:tcW w:w="508" w:type="pct"/>
            <w:noWrap w:val="0"/>
            <w:vAlign w:val="center"/>
          </w:tcPr>
          <w:p w14:paraId="73D8FA16">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4D37A9FC">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143FA5C5">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0D291226">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r>
      <w:tr w14:paraId="01851C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restart"/>
            <w:noWrap w:val="0"/>
            <w:vAlign w:val="center"/>
          </w:tcPr>
          <w:p w14:paraId="7CAC145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W2</w:t>
            </w:r>
          </w:p>
        </w:tc>
        <w:tc>
          <w:tcPr>
            <w:tcW w:w="701" w:type="pct"/>
            <w:vMerge w:val="restart"/>
            <w:noWrap w:val="0"/>
            <w:vAlign w:val="center"/>
          </w:tcPr>
          <w:p w14:paraId="6C6D4EDF">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濉溪县第二污水处理厂入巴河处</w:t>
            </w:r>
          </w:p>
        </w:tc>
        <w:tc>
          <w:tcPr>
            <w:tcW w:w="866" w:type="pct"/>
            <w:noWrap w:val="0"/>
            <w:vAlign w:val="center"/>
          </w:tcPr>
          <w:p w14:paraId="0BEC41F8">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66B05240">
            <w:pPr>
              <w:jc w:val="center"/>
              <w:rPr>
                <w:rFonts w:hint="default" w:ascii="Times New Roman" w:hAnsi="Times New Roman" w:eastAsia="宋体" w:cs="Times New Roman"/>
                <w:color w:val="auto"/>
                <w:sz w:val="21"/>
                <w:szCs w:val="21"/>
              </w:rPr>
            </w:pPr>
            <w:r>
              <w:rPr>
                <w:color w:val="auto"/>
                <w:sz w:val="21"/>
                <w:szCs w:val="21"/>
              </w:rPr>
              <w:t>7.28</w:t>
            </w:r>
          </w:p>
        </w:tc>
        <w:tc>
          <w:tcPr>
            <w:tcW w:w="508" w:type="pct"/>
            <w:noWrap w:val="0"/>
            <w:vAlign w:val="center"/>
          </w:tcPr>
          <w:p w14:paraId="589D3737">
            <w:pPr>
              <w:jc w:val="center"/>
              <w:rPr>
                <w:rFonts w:hint="default" w:ascii="Times New Roman" w:hAnsi="Times New Roman" w:eastAsia="宋体" w:cs="Times New Roman"/>
                <w:color w:val="auto"/>
                <w:sz w:val="21"/>
                <w:szCs w:val="21"/>
              </w:rPr>
            </w:pPr>
            <w:r>
              <w:rPr>
                <w:color w:val="auto"/>
                <w:sz w:val="21"/>
                <w:szCs w:val="21"/>
              </w:rPr>
              <w:t>19</w:t>
            </w:r>
          </w:p>
        </w:tc>
        <w:tc>
          <w:tcPr>
            <w:tcW w:w="508" w:type="pct"/>
            <w:noWrap w:val="0"/>
            <w:vAlign w:val="center"/>
          </w:tcPr>
          <w:p w14:paraId="34FEB1EA">
            <w:pPr>
              <w:jc w:val="center"/>
              <w:rPr>
                <w:rFonts w:hint="default" w:ascii="Times New Roman" w:hAnsi="Times New Roman" w:eastAsia="宋体" w:cs="Times New Roman"/>
                <w:color w:val="auto"/>
                <w:sz w:val="21"/>
                <w:szCs w:val="21"/>
              </w:rPr>
            </w:pPr>
            <w:r>
              <w:rPr>
                <w:color w:val="auto"/>
                <w:sz w:val="21"/>
                <w:szCs w:val="21"/>
              </w:rPr>
              <w:t>3.2</w:t>
            </w:r>
          </w:p>
        </w:tc>
        <w:tc>
          <w:tcPr>
            <w:tcW w:w="508" w:type="pct"/>
            <w:noWrap w:val="0"/>
            <w:vAlign w:val="center"/>
          </w:tcPr>
          <w:p w14:paraId="54E73398">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6.9</w:t>
            </w:r>
          </w:p>
        </w:tc>
        <w:tc>
          <w:tcPr>
            <w:tcW w:w="508" w:type="pct"/>
            <w:noWrap w:val="0"/>
            <w:vAlign w:val="center"/>
          </w:tcPr>
          <w:p w14:paraId="1C375235">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0.461</w:t>
            </w:r>
          </w:p>
        </w:tc>
        <w:tc>
          <w:tcPr>
            <w:tcW w:w="508" w:type="pct"/>
            <w:noWrap w:val="0"/>
            <w:vAlign w:val="center"/>
          </w:tcPr>
          <w:p w14:paraId="14A7117B">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0.18</w:t>
            </w:r>
          </w:p>
        </w:tc>
      </w:tr>
      <w:tr w14:paraId="53D3E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continue"/>
            <w:noWrap w:val="0"/>
            <w:vAlign w:val="center"/>
          </w:tcPr>
          <w:p w14:paraId="208D374E">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39C7A58E">
            <w:pPr>
              <w:bidi w:val="0"/>
              <w:jc w:val="center"/>
              <w:rPr>
                <w:rFonts w:hint="default" w:ascii="Times New Roman" w:hAnsi="Times New Roman" w:eastAsia="宋体" w:cs="Times New Roman"/>
                <w:color w:val="auto"/>
                <w:sz w:val="21"/>
                <w:szCs w:val="21"/>
              </w:rPr>
            </w:pPr>
          </w:p>
        </w:tc>
        <w:tc>
          <w:tcPr>
            <w:tcW w:w="866" w:type="pct"/>
            <w:noWrap w:val="0"/>
            <w:vAlign w:val="center"/>
          </w:tcPr>
          <w:p w14:paraId="1101D8FD">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54172AC4">
            <w:pPr>
              <w:jc w:val="center"/>
              <w:rPr>
                <w:rFonts w:hint="default" w:ascii="Times New Roman" w:hAnsi="Times New Roman" w:eastAsia="宋体" w:cs="Times New Roman"/>
                <w:color w:val="auto"/>
                <w:sz w:val="21"/>
                <w:szCs w:val="21"/>
              </w:rPr>
            </w:pPr>
            <w:r>
              <w:rPr>
                <w:color w:val="auto"/>
                <w:sz w:val="21"/>
                <w:szCs w:val="21"/>
              </w:rPr>
              <w:t>7.31</w:t>
            </w:r>
          </w:p>
        </w:tc>
        <w:tc>
          <w:tcPr>
            <w:tcW w:w="508" w:type="pct"/>
            <w:noWrap w:val="0"/>
            <w:vAlign w:val="center"/>
          </w:tcPr>
          <w:p w14:paraId="46B9B313">
            <w:pPr>
              <w:jc w:val="center"/>
              <w:rPr>
                <w:rFonts w:hint="default" w:ascii="Times New Roman" w:hAnsi="Times New Roman" w:eastAsia="宋体" w:cs="Times New Roman"/>
                <w:color w:val="auto"/>
                <w:sz w:val="21"/>
                <w:szCs w:val="21"/>
              </w:rPr>
            </w:pPr>
            <w:r>
              <w:rPr>
                <w:color w:val="auto"/>
                <w:sz w:val="21"/>
                <w:szCs w:val="21"/>
              </w:rPr>
              <w:t>18</w:t>
            </w:r>
          </w:p>
        </w:tc>
        <w:tc>
          <w:tcPr>
            <w:tcW w:w="508" w:type="pct"/>
            <w:noWrap w:val="0"/>
            <w:vAlign w:val="center"/>
          </w:tcPr>
          <w:p w14:paraId="55E78B54">
            <w:pPr>
              <w:jc w:val="center"/>
              <w:rPr>
                <w:rFonts w:hint="default" w:ascii="Times New Roman" w:hAnsi="Times New Roman" w:eastAsia="宋体" w:cs="Times New Roman"/>
                <w:color w:val="auto"/>
                <w:sz w:val="21"/>
                <w:szCs w:val="21"/>
              </w:rPr>
            </w:pPr>
            <w:r>
              <w:rPr>
                <w:color w:val="auto"/>
                <w:sz w:val="21"/>
                <w:szCs w:val="21"/>
              </w:rPr>
              <w:t>2.8</w:t>
            </w:r>
          </w:p>
        </w:tc>
        <w:tc>
          <w:tcPr>
            <w:tcW w:w="508" w:type="pct"/>
            <w:noWrap w:val="0"/>
            <w:vAlign w:val="center"/>
          </w:tcPr>
          <w:p w14:paraId="014B64D0">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7.2</w:t>
            </w:r>
          </w:p>
        </w:tc>
        <w:tc>
          <w:tcPr>
            <w:tcW w:w="508" w:type="pct"/>
            <w:noWrap w:val="0"/>
            <w:vAlign w:val="center"/>
          </w:tcPr>
          <w:p w14:paraId="77DD8306">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0.411</w:t>
            </w:r>
          </w:p>
        </w:tc>
        <w:tc>
          <w:tcPr>
            <w:tcW w:w="508" w:type="pct"/>
            <w:noWrap w:val="0"/>
            <w:vAlign w:val="center"/>
          </w:tcPr>
          <w:p w14:paraId="6A0CF21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0.18</w:t>
            </w:r>
          </w:p>
        </w:tc>
      </w:tr>
      <w:tr w14:paraId="7D05CD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continue"/>
            <w:noWrap w:val="0"/>
            <w:vAlign w:val="center"/>
          </w:tcPr>
          <w:p w14:paraId="762777E0">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02C69D2A">
            <w:pPr>
              <w:bidi w:val="0"/>
              <w:jc w:val="center"/>
              <w:rPr>
                <w:rFonts w:hint="default" w:ascii="Times New Roman" w:hAnsi="Times New Roman" w:eastAsia="宋体" w:cs="Times New Roman"/>
                <w:color w:val="auto"/>
                <w:sz w:val="21"/>
                <w:szCs w:val="21"/>
              </w:rPr>
            </w:pPr>
          </w:p>
        </w:tc>
        <w:tc>
          <w:tcPr>
            <w:tcW w:w="866" w:type="pct"/>
            <w:noWrap w:val="0"/>
            <w:vAlign w:val="center"/>
          </w:tcPr>
          <w:p w14:paraId="0C89316E">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GB3838中V类</w:t>
            </w:r>
            <w:r>
              <w:rPr>
                <w:rFonts w:hint="eastAsia" w:cs="Times New Roman"/>
                <w:color w:val="auto"/>
                <w:sz w:val="21"/>
                <w:szCs w:val="21"/>
                <w:lang w:val="en-US" w:eastAsia="zh-CN"/>
              </w:rPr>
              <w:t>）</w:t>
            </w:r>
          </w:p>
        </w:tc>
        <w:tc>
          <w:tcPr>
            <w:tcW w:w="508" w:type="pct"/>
            <w:noWrap w:val="0"/>
            <w:vAlign w:val="center"/>
          </w:tcPr>
          <w:p w14:paraId="3C8E4B04">
            <w:pPr>
              <w:bidi w:val="0"/>
              <w:jc w:val="center"/>
              <w:rPr>
                <w:color w:val="auto"/>
                <w:sz w:val="21"/>
                <w:szCs w:val="21"/>
              </w:rPr>
            </w:pPr>
            <w:r>
              <w:rPr>
                <w:rFonts w:hint="eastAsia" w:cs="Times New Roman"/>
                <w:color w:val="auto"/>
                <w:sz w:val="21"/>
                <w:szCs w:val="21"/>
                <w:lang w:val="en-US" w:eastAsia="zh-CN"/>
              </w:rPr>
              <w:t>6~9</w:t>
            </w:r>
          </w:p>
        </w:tc>
        <w:tc>
          <w:tcPr>
            <w:tcW w:w="508" w:type="pct"/>
            <w:noWrap w:val="0"/>
            <w:vAlign w:val="center"/>
          </w:tcPr>
          <w:p w14:paraId="43949866">
            <w:pPr>
              <w:jc w:val="center"/>
              <w:rPr>
                <w:color w:val="auto"/>
                <w:sz w:val="21"/>
                <w:szCs w:val="21"/>
              </w:rPr>
            </w:pPr>
            <w:r>
              <w:rPr>
                <w:rFonts w:hint="eastAsia"/>
                <w:color w:val="auto"/>
                <w:sz w:val="21"/>
                <w:szCs w:val="21"/>
                <w:lang w:val="en-US" w:eastAsia="zh-CN"/>
              </w:rPr>
              <w:t>≤40</w:t>
            </w:r>
          </w:p>
        </w:tc>
        <w:tc>
          <w:tcPr>
            <w:tcW w:w="508" w:type="pct"/>
            <w:noWrap w:val="0"/>
            <w:vAlign w:val="center"/>
          </w:tcPr>
          <w:p w14:paraId="6F5324C7">
            <w:pPr>
              <w:bidi w:val="0"/>
              <w:jc w:val="center"/>
              <w:rPr>
                <w:color w:val="auto"/>
                <w:sz w:val="21"/>
                <w:szCs w:val="21"/>
              </w:rPr>
            </w:pPr>
            <w:r>
              <w:rPr>
                <w:rFonts w:hint="eastAsia"/>
                <w:color w:val="auto"/>
                <w:sz w:val="21"/>
                <w:szCs w:val="21"/>
                <w:lang w:val="en-US" w:eastAsia="zh-CN"/>
              </w:rPr>
              <w:t>≤</w:t>
            </w:r>
            <w:r>
              <w:rPr>
                <w:rFonts w:hint="eastAsia" w:cs="Times New Roman"/>
                <w:color w:val="auto"/>
                <w:sz w:val="21"/>
                <w:szCs w:val="21"/>
                <w:lang w:val="en-US" w:eastAsia="zh-CN"/>
              </w:rPr>
              <w:t>10</w:t>
            </w:r>
          </w:p>
        </w:tc>
        <w:tc>
          <w:tcPr>
            <w:tcW w:w="508" w:type="pct"/>
            <w:noWrap w:val="0"/>
            <w:vAlign w:val="center"/>
          </w:tcPr>
          <w:p w14:paraId="6B3B8147">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≥2</w:t>
            </w:r>
          </w:p>
        </w:tc>
        <w:tc>
          <w:tcPr>
            <w:tcW w:w="508" w:type="pct"/>
            <w:noWrap w:val="0"/>
            <w:vAlign w:val="center"/>
          </w:tcPr>
          <w:p w14:paraId="2C0F796E">
            <w:pPr>
              <w:bidi w:val="0"/>
              <w:jc w:val="center"/>
              <w:rPr>
                <w:rFonts w:hint="default" w:ascii="Times New Roman" w:hAnsi="Times New Roman" w:cs="Times New Roman"/>
                <w:color w:val="auto"/>
                <w:sz w:val="21"/>
                <w:szCs w:val="21"/>
              </w:rPr>
            </w:pPr>
            <w:r>
              <w:rPr>
                <w:rFonts w:hint="eastAsia"/>
                <w:color w:val="auto"/>
                <w:sz w:val="21"/>
                <w:szCs w:val="21"/>
                <w:lang w:val="en-US" w:eastAsia="zh-CN"/>
              </w:rPr>
              <w:t>≤2.0</w:t>
            </w:r>
          </w:p>
        </w:tc>
        <w:tc>
          <w:tcPr>
            <w:tcW w:w="508" w:type="pct"/>
            <w:noWrap w:val="0"/>
            <w:vAlign w:val="center"/>
          </w:tcPr>
          <w:p w14:paraId="2059EFAC">
            <w:pPr>
              <w:bidi w:val="0"/>
              <w:jc w:val="center"/>
              <w:rPr>
                <w:rFonts w:hint="eastAsia" w:cs="Times New Roman"/>
                <w:color w:val="auto"/>
                <w:sz w:val="21"/>
                <w:szCs w:val="21"/>
                <w:lang w:val="en-US" w:eastAsia="zh-CN"/>
              </w:rPr>
            </w:pPr>
            <w:r>
              <w:rPr>
                <w:rFonts w:hint="eastAsia"/>
                <w:color w:val="auto"/>
                <w:sz w:val="21"/>
                <w:szCs w:val="21"/>
                <w:lang w:val="en-US" w:eastAsia="zh-CN"/>
              </w:rPr>
              <w:t>≤0.4</w:t>
            </w:r>
          </w:p>
        </w:tc>
      </w:tr>
      <w:tr w14:paraId="2FB10F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continue"/>
            <w:noWrap w:val="0"/>
            <w:vAlign w:val="center"/>
          </w:tcPr>
          <w:p w14:paraId="2EECD786">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3B70FD88">
            <w:pPr>
              <w:bidi w:val="0"/>
              <w:jc w:val="center"/>
              <w:rPr>
                <w:rFonts w:hint="default" w:ascii="Times New Roman" w:hAnsi="Times New Roman" w:eastAsia="宋体" w:cs="Times New Roman"/>
                <w:color w:val="auto"/>
                <w:sz w:val="21"/>
                <w:szCs w:val="21"/>
              </w:rPr>
            </w:pPr>
          </w:p>
        </w:tc>
        <w:tc>
          <w:tcPr>
            <w:tcW w:w="866" w:type="pct"/>
            <w:noWrap w:val="0"/>
            <w:vAlign w:val="center"/>
          </w:tcPr>
          <w:p w14:paraId="3FA672C5">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39B63153">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60E6B18D">
            <w:pPr>
              <w:jc w:val="center"/>
              <w:rPr>
                <w:color w:val="auto"/>
                <w:sz w:val="21"/>
                <w:szCs w:val="21"/>
              </w:rPr>
            </w:pPr>
            <w:r>
              <w:rPr>
                <w:rFonts w:hint="eastAsia"/>
                <w:color w:val="auto"/>
                <w:sz w:val="21"/>
                <w:szCs w:val="21"/>
                <w:lang w:val="en-US" w:eastAsia="zh-CN"/>
              </w:rPr>
              <w:t>是</w:t>
            </w:r>
          </w:p>
        </w:tc>
        <w:tc>
          <w:tcPr>
            <w:tcW w:w="508" w:type="pct"/>
            <w:noWrap w:val="0"/>
            <w:vAlign w:val="center"/>
          </w:tcPr>
          <w:p w14:paraId="1082A1C9">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27278911">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161BD79A">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508" w:type="pct"/>
            <w:noWrap w:val="0"/>
            <w:vAlign w:val="center"/>
          </w:tcPr>
          <w:p w14:paraId="3D55A905">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r w14:paraId="536F5D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379" w:type="pct"/>
            <w:vMerge w:val="restart"/>
            <w:noWrap w:val="0"/>
            <w:vAlign w:val="center"/>
          </w:tcPr>
          <w:p w14:paraId="70D3C9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W3</w:t>
            </w:r>
          </w:p>
        </w:tc>
        <w:tc>
          <w:tcPr>
            <w:tcW w:w="701" w:type="pct"/>
            <w:vMerge w:val="restart"/>
            <w:noWrap w:val="0"/>
            <w:vAlign w:val="center"/>
          </w:tcPr>
          <w:p w14:paraId="4E0F58DC">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濉溪县第二污水处理厂入王引河排污口下游500米</w:t>
            </w:r>
          </w:p>
        </w:tc>
        <w:tc>
          <w:tcPr>
            <w:tcW w:w="866" w:type="pct"/>
            <w:noWrap w:val="0"/>
            <w:vAlign w:val="center"/>
          </w:tcPr>
          <w:p w14:paraId="7EF10F6C">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6D7E0354">
            <w:pPr>
              <w:jc w:val="center"/>
              <w:rPr>
                <w:rFonts w:hint="default" w:ascii="Times New Roman" w:hAnsi="Times New Roman" w:eastAsia="宋体" w:cs="Times New Roman"/>
                <w:color w:val="auto"/>
                <w:sz w:val="21"/>
                <w:szCs w:val="21"/>
              </w:rPr>
            </w:pPr>
            <w:r>
              <w:rPr>
                <w:color w:val="auto"/>
                <w:sz w:val="21"/>
                <w:szCs w:val="21"/>
              </w:rPr>
              <w:t>7.48</w:t>
            </w:r>
          </w:p>
        </w:tc>
        <w:tc>
          <w:tcPr>
            <w:tcW w:w="508" w:type="pct"/>
            <w:noWrap w:val="0"/>
            <w:vAlign w:val="center"/>
          </w:tcPr>
          <w:p w14:paraId="501D1E2F">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w:t>
            </w:r>
          </w:p>
        </w:tc>
        <w:tc>
          <w:tcPr>
            <w:tcW w:w="508" w:type="pct"/>
            <w:noWrap w:val="0"/>
            <w:vAlign w:val="center"/>
          </w:tcPr>
          <w:p w14:paraId="5BD182E8">
            <w:pPr>
              <w:jc w:val="center"/>
              <w:rPr>
                <w:rFonts w:hint="default" w:ascii="Times New Roman" w:hAnsi="Times New Roman" w:eastAsia="宋体" w:cs="Times New Roman"/>
                <w:color w:val="auto"/>
                <w:sz w:val="21"/>
                <w:szCs w:val="21"/>
                <w:lang w:val="en-US" w:eastAsia="zh-CN"/>
              </w:rPr>
            </w:pPr>
            <w:r>
              <w:rPr>
                <w:color w:val="auto"/>
                <w:sz w:val="21"/>
                <w:szCs w:val="21"/>
              </w:rPr>
              <w:t>3</w:t>
            </w:r>
            <w:r>
              <w:rPr>
                <w:rFonts w:hint="eastAsia"/>
                <w:color w:val="auto"/>
                <w:sz w:val="21"/>
                <w:szCs w:val="21"/>
                <w:lang w:val="en-US" w:eastAsia="zh-CN"/>
              </w:rPr>
              <w:t>.0</w:t>
            </w:r>
          </w:p>
        </w:tc>
        <w:tc>
          <w:tcPr>
            <w:tcW w:w="508" w:type="pct"/>
            <w:noWrap w:val="0"/>
            <w:vAlign w:val="center"/>
          </w:tcPr>
          <w:p w14:paraId="2E0A6E80">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7.2</w:t>
            </w:r>
          </w:p>
        </w:tc>
        <w:tc>
          <w:tcPr>
            <w:tcW w:w="508" w:type="pct"/>
            <w:noWrap w:val="0"/>
            <w:vAlign w:val="center"/>
          </w:tcPr>
          <w:p w14:paraId="6F199368">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0.389</w:t>
            </w:r>
          </w:p>
        </w:tc>
        <w:tc>
          <w:tcPr>
            <w:tcW w:w="508" w:type="pct"/>
            <w:noWrap w:val="0"/>
            <w:vAlign w:val="center"/>
          </w:tcPr>
          <w:p w14:paraId="01BCC356">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0.16</w:t>
            </w:r>
          </w:p>
        </w:tc>
      </w:tr>
      <w:tr w14:paraId="269300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379" w:type="pct"/>
            <w:vMerge w:val="continue"/>
            <w:noWrap w:val="0"/>
            <w:vAlign w:val="center"/>
          </w:tcPr>
          <w:p w14:paraId="0D11C86A">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917A1C5">
            <w:pPr>
              <w:bidi w:val="0"/>
              <w:jc w:val="center"/>
              <w:rPr>
                <w:rFonts w:hint="default" w:ascii="Times New Roman" w:hAnsi="Times New Roman" w:eastAsia="宋体" w:cs="Times New Roman"/>
                <w:color w:val="auto"/>
                <w:sz w:val="21"/>
                <w:szCs w:val="21"/>
              </w:rPr>
            </w:pPr>
          </w:p>
        </w:tc>
        <w:tc>
          <w:tcPr>
            <w:tcW w:w="866" w:type="pct"/>
            <w:noWrap w:val="0"/>
            <w:vAlign w:val="center"/>
          </w:tcPr>
          <w:p w14:paraId="2FDC6CD9">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3457593D">
            <w:pPr>
              <w:jc w:val="center"/>
              <w:rPr>
                <w:rFonts w:hint="default" w:ascii="Times New Roman" w:hAnsi="Times New Roman" w:eastAsia="宋体" w:cs="Times New Roman"/>
                <w:color w:val="auto"/>
                <w:sz w:val="21"/>
                <w:szCs w:val="21"/>
              </w:rPr>
            </w:pPr>
            <w:r>
              <w:rPr>
                <w:color w:val="auto"/>
                <w:sz w:val="21"/>
                <w:szCs w:val="21"/>
              </w:rPr>
              <w:t>7.26</w:t>
            </w:r>
          </w:p>
        </w:tc>
        <w:tc>
          <w:tcPr>
            <w:tcW w:w="508" w:type="pct"/>
            <w:noWrap w:val="0"/>
            <w:vAlign w:val="center"/>
          </w:tcPr>
          <w:p w14:paraId="722DE26D">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w:t>
            </w:r>
          </w:p>
        </w:tc>
        <w:tc>
          <w:tcPr>
            <w:tcW w:w="508" w:type="pct"/>
            <w:noWrap w:val="0"/>
            <w:vAlign w:val="center"/>
          </w:tcPr>
          <w:p w14:paraId="0410E881">
            <w:pPr>
              <w:jc w:val="center"/>
              <w:rPr>
                <w:rFonts w:hint="default" w:ascii="Times New Roman" w:hAnsi="Times New Roman" w:eastAsia="宋体" w:cs="Times New Roman"/>
                <w:color w:val="auto"/>
                <w:sz w:val="21"/>
                <w:szCs w:val="21"/>
              </w:rPr>
            </w:pPr>
            <w:r>
              <w:rPr>
                <w:color w:val="auto"/>
                <w:sz w:val="21"/>
                <w:szCs w:val="21"/>
              </w:rPr>
              <w:t>3.1</w:t>
            </w:r>
          </w:p>
        </w:tc>
        <w:tc>
          <w:tcPr>
            <w:tcW w:w="508" w:type="pct"/>
            <w:noWrap w:val="0"/>
            <w:vAlign w:val="center"/>
          </w:tcPr>
          <w:p w14:paraId="174943CF">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7.4</w:t>
            </w:r>
          </w:p>
        </w:tc>
        <w:tc>
          <w:tcPr>
            <w:tcW w:w="508" w:type="pct"/>
            <w:noWrap w:val="0"/>
            <w:vAlign w:val="center"/>
          </w:tcPr>
          <w:p w14:paraId="195E9B66">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w:t>
            </w:r>
            <w:r>
              <w:rPr>
                <w:rFonts w:hint="default" w:ascii="Times New Roman" w:hAnsi="Times New Roman" w:cs="Times New Roman"/>
                <w:color w:val="auto"/>
                <w:sz w:val="21"/>
                <w:szCs w:val="21"/>
                <w:lang w:val="en-US" w:eastAsia="zh-CN"/>
              </w:rPr>
              <w:t>432</w:t>
            </w:r>
          </w:p>
        </w:tc>
        <w:tc>
          <w:tcPr>
            <w:tcW w:w="508" w:type="pct"/>
            <w:noWrap w:val="0"/>
            <w:vAlign w:val="center"/>
          </w:tcPr>
          <w:p w14:paraId="6FA6C2C3">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0.17</w:t>
            </w:r>
          </w:p>
        </w:tc>
      </w:tr>
      <w:tr w14:paraId="174E2C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379" w:type="pct"/>
            <w:vMerge w:val="continue"/>
            <w:noWrap w:val="0"/>
            <w:vAlign w:val="center"/>
          </w:tcPr>
          <w:p w14:paraId="7A9DC629">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6F43E91D">
            <w:pPr>
              <w:bidi w:val="0"/>
              <w:jc w:val="center"/>
              <w:rPr>
                <w:rFonts w:hint="default" w:ascii="Times New Roman" w:hAnsi="Times New Roman" w:eastAsia="宋体" w:cs="Times New Roman"/>
                <w:color w:val="auto"/>
                <w:sz w:val="21"/>
                <w:szCs w:val="21"/>
              </w:rPr>
            </w:pPr>
          </w:p>
        </w:tc>
        <w:tc>
          <w:tcPr>
            <w:tcW w:w="866" w:type="pct"/>
            <w:noWrap w:val="0"/>
            <w:vAlign w:val="center"/>
          </w:tcPr>
          <w:p w14:paraId="13CA432F">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GB3838中IV类</w:t>
            </w:r>
            <w:r>
              <w:rPr>
                <w:rFonts w:hint="eastAsia" w:cs="Times New Roman"/>
                <w:color w:val="auto"/>
                <w:sz w:val="21"/>
                <w:szCs w:val="21"/>
                <w:lang w:val="en-US" w:eastAsia="zh-CN"/>
              </w:rPr>
              <w:t>）</w:t>
            </w:r>
          </w:p>
        </w:tc>
        <w:tc>
          <w:tcPr>
            <w:tcW w:w="508" w:type="pct"/>
            <w:noWrap w:val="0"/>
            <w:vAlign w:val="center"/>
          </w:tcPr>
          <w:p w14:paraId="4E89CFF4">
            <w:pPr>
              <w:bidi w:val="0"/>
              <w:jc w:val="center"/>
              <w:rPr>
                <w:color w:val="auto"/>
                <w:sz w:val="21"/>
                <w:szCs w:val="21"/>
              </w:rPr>
            </w:pPr>
            <w:r>
              <w:rPr>
                <w:rFonts w:hint="eastAsia" w:cs="Times New Roman"/>
                <w:color w:val="auto"/>
                <w:sz w:val="21"/>
                <w:szCs w:val="21"/>
                <w:lang w:val="en-US" w:eastAsia="zh-CN"/>
              </w:rPr>
              <w:t>6~9</w:t>
            </w:r>
          </w:p>
        </w:tc>
        <w:tc>
          <w:tcPr>
            <w:tcW w:w="508" w:type="pct"/>
            <w:noWrap w:val="0"/>
            <w:vAlign w:val="center"/>
          </w:tcPr>
          <w:p w14:paraId="19F6688F">
            <w:pPr>
              <w:jc w:val="center"/>
              <w:rPr>
                <w:rFonts w:hint="eastAsia" w:cs="Times New Roman"/>
                <w:color w:val="auto"/>
                <w:sz w:val="21"/>
                <w:szCs w:val="21"/>
                <w:lang w:val="en-US" w:eastAsia="zh-CN"/>
              </w:rPr>
            </w:pPr>
            <w:r>
              <w:rPr>
                <w:rFonts w:hint="eastAsia"/>
                <w:color w:val="auto"/>
                <w:sz w:val="21"/>
                <w:szCs w:val="21"/>
                <w:lang w:val="en-US" w:eastAsia="zh-CN"/>
              </w:rPr>
              <w:t>≤30</w:t>
            </w:r>
          </w:p>
        </w:tc>
        <w:tc>
          <w:tcPr>
            <w:tcW w:w="508" w:type="pct"/>
            <w:noWrap w:val="0"/>
            <w:vAlign w:val="center"/>
          </w:tcPr>
          <w:p w14:paraId="094BFE97">
            <w:pPr>
              <w:bidi w:val="0"/>
              <w:jc w:val="center"/>
              <w:rPr>
                <w:color w:val="auto"/>
                <w:sz w:val="21"/>
                <w:szCs w:val="21"/>
              </w:rPr>
            </w:pPr>
            <w:r>
              <w:rPr>
                <w:rFonts w:hint="eastAsia"/>
                <w:color w:val="auto"/>
                <w:sz w:val="21"/>
                <w:szCs w:val="21"/>
                <w:lang w:val="en-US" w:eastAsia="zh-CN"/>
              </w:rPr>
              <w:t>≤</w:t>
            </w:r>
            <w:r>
              <w:rPr>
                <w:rFonts w:hint="eastAsia" w:cs="Times New Roman"/>
                <w:color w:val="auto"/>
                <w:sz w:val="21"/>
                <w:szCs w:val="21"/>
                <w:lang w:val="en-US" w:eastAsia="zh-CN"/>
              </w:rPr>
              <w:t>6</w:t>
            </w:r>
          </w:p>
        </w:tc>
        <w:tc>
          <w:tcPr>
            <w:tcW w:w="508" w:type="pct"/>
            <w:noWrap w:val="0"/>
            <w:vAlign w:val="center"/>
          </w:tcPr>
          <w:p w14:paraId="65D21AE0">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≥3</w:t>
            </w:r>
          </w:p>
        </w:tc>
        <w:tc>
          <w:tcPr>
            <w:tcW w:w="508" w:type="pct"/>
            <w:noWrap w:val="0"/>
            <w:vAlign w:val="center"/>
          </w:tcPr>
          <w:p w14:paraId="7659B5E4">
            <w:pPr>
              <w:bidi w:val="0"/>
              <w:jc w:val="center"/>
              <w:rPr>
                <w:rFonts w:hint="default" w:ascii="Times New Roman" w:hAnsi="Times New Roman" w:cs="Times New Roman"/>
                <w:color w:val="auto"/>
                <w:sz w:val="21"/>
                <w:szCs w:val="21"/>
                <w:lang w:val="en-US"/>
              </w:rPr>
            </w:pPr>
            <w:r>
              <w:rPr>
                <w:rFonts w:hint="eastAsia"/>
                <w:color w:val="auto"/>
                <w:sz w:val="21"/>
                <w:szCs w:val="21"/>
                <w:lang w:val="en-US" w:eastAsia="zh-CN"/>
              </w:rPr>
              <w:t>≤1.5</w:t>
            </w:r>
          </w:p>
        </w:tc>
        <w:tc>
          <w:tcPr>
            <w:tcW w:w="508" w:type="pct"/>
            <w:noWrap w:val="0"/>
            <w:vAlign w:val="center"/>
          </w:tcPr>
          <w:p w14:paraId="4838F6A2">
            <w:pPr>
              <w:bidi w:val="0"/>
              <w:jc w:val="center"/>
              <w:rPr>
                <w:rFonts w:hint="eastAsia" w:cs="Times New Roman"/>
                <w:color w:val="auto"/>
                <w:sz w:val="21"/>
                <w:szCs w:val="21"/>
                <w:lang w:val="en-US" w:eastAsia="zh-CN"/>
              </w:rPr>
            </w:pPr>
            <w:r>
              <w:rPr>
                <w:rFonts w:hint="eastAsia"/>
                <w:color w:val="auto"/>
                <w:sz w:val="21"/>
                <w:szCs w:val="21"/>
                <w:lang w:val="en-US" w:eastAsia="zh-CN"/>
              </w:rPr>
              <w:t>≤0.3</w:t>
            </w:r>
          </w:p>
        </w:tc>
      </w:tr>
      <w:tr w14:paraId="45B27C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379" w:type="pct"/>
            <w:vMerge w:val="continue"/>
            <w:noWrap w:val="0"/>
            <w:vAlign w:val="center"/>
          </w:tcPr>
          <w:p w14:paraId="52752D0C">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06CD007">
            <w:pPr>
              <w:bidi w:val="0"/>
              <w:jc w:val="center"/>
              <w:rPr>
                <w:rFonts w:hint="default" w:ascii="Times New Roman" w:hAnsi="Times New Roman" w:eastAsia="宋体" w:cs="Times New Roman"/>
                <w:color w:val="auto"/>
                <w:sz w:val="21"/>
                <w:szCs w:val="21"/>
              </w:rPr>
            </w:pPr>
          </w:p>
        </w:tc>
        <w:tc>
          <w:tcPr>
            <w:tcW w:w="866" w:type="pct"/>
            <w:noWrap w:val="0"/>
            <w:vAlign w:val="center"/>
          </w:tcPr>
          <w:p w14:paraId="7C4752C0">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46B67749">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0DC0E5A9">
            <w:pPr>
              <w:jc w:val="center"/>
              <w:rPr>
                <w:rFonts w:hint="eastAsia" w:cs="Times New Roman"/>
                <w:color w:val="auto"/>
                <w:sz w:val="21"/>
                <w:szCs w:val="21"/>
                <w:lang w:val="en-US" w:eastAsia="zh-CN"/>
              </w:rPr>
            </w:pPr>
            <w:r>
              <w:rPr>
                <w:rFonts w:hint="eastAsia"/>
                <w:color w:val="auto"/>
                <w:sz w:val="21"/>
                <w:szCs w:val="21"/>
                <w:lang w:val="en-US" w:eastAsia="zh-CN"/>
              </w:rPr>
              <w:t>是</w:t>
            </w:r>
          </w:p>
        </w:tc>
        <w:tc>
          <w:tcPr>
            <w:tcW w:w="508" w:type="pct"/>
            <w:noWrap w:val="0"/>
            <w:vAlign w:val="center"/>
          </w:tcPr>
          <w:p w14:paraId="45AB05B3">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67FEB022">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275061B3">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508" w:type="pct"/>
            <w:noWrap w:val="0"/>
            <w:vAlign w:val="center"/>
          </w:tcPr>
          <w:p w14:paraId="3096DB8A">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r w14:paraId="3DB187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restart"/>
            <w:noWrap w:val="0"/>
            <w:vAlign w:val="center"/>
          </w:tcPr>
          <w:p w14:paraId="300BE27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W4</w:t>
            </w:r>
          </w:p>
        </w:tc>
        <w:tc>
          <w:tcPr>
            <w:tcW w:w="701" w:type="pct"/>
            <w:vMerge w:val="restart"/>
            <w:noWrap w:val="0"/>
            <w:vAlign w:val="center"/>
          </w:tcPr>
          <w:p w14:paraId="4CDFAA51">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濉溪县第二污水处理厂入王引河排污口下游1000米</w:t>
            </w:r>
          </w:p>
        </w:tc>
        <w:tc>
          <w:tcPr>
            <w:tcW w:w="866" w:type="pct"/>
            <w:noWrap w:val="0"/>
            <w:vAlign w:val="center"/>
          </w:tcPr>
          <w:p w14:paraId="3882E63B">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464BC4AA">
            <w:pPr>
              <w:jc w:val="center"/>
              <w:rPr>
                <w:rFonts w:hint="default" w:ascii="Times New Roman" w:hAnsi="Times New Roman" w:eastAsia="宋体" w:cs="Times New Roman"/>
                <w:color w:val="auto"/>
                <w:sz w:val="21"/>
                <w:szCs w:val="21"/>
              </w:rPr>
            </w:pPr>
            <w:r>
              <w:rPr>
                <w:color w:val="auto"/>
                <w:sz w:val="21"/>
                <w:szCs w:val="21"/>
              </w:rPr>
              <w:t>7.34</w:t>
            </w:r>
          </w:p>
        </w:tc>
        <w:tc>
          <w:tcPr>
            <w:tcW w:w="508" w:type="pct"/>
            <w:noWrap w:val="0"/>
            <w:vAlign w:val="center"/>
          </w:tcPr>
          <w:p w14:paraId="4FF90CA7">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16</w:t>
            </w:r>
          </w:p>
        </w:tc>
        <w:tc>
          <w:tcPr>
            <w:tcW w:w="508" w:type="pct"/>
            <w:noWrap w:val="0"/>
            <w:vAlign w:val="center"/>
          </w:tcPr>
          <w:p w14:paraId="7EF35F7E">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2.6</w:t>
            </w:r>
          </w:p>
        </w:tc>
        <w:tc>
          <w:tcPr>
            <w:tcW w:w="508" w:type="pct"/>
            <w:noWrap w:val="0"/>
            <w:vAlign w:val="center"/>
          </w:tcPr>
          <w:p w14:paraId="5C131C0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7.8</w:t>
            </w:r>
          </w:p>
        </w:tc>
        <w:tc>
          <w:tcPr>
            <w:tcW w:w="508" w:type="pct"/>
            <w:noWrap w:val="0"/>
            <w:vAlign w:val="center"/>
          </w:tcPr>
          <w:p w14:paraId="47E20D7A">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0.283</w:t>
            </w:r>
          </w:p>
        </w:tc>
        <w:tc>
          <w:tcPr>
            <w:tcW w:w="508" w:type="pct"/>
            <w:noWrap w:val="0"/>
            <w:vAlign w:val="center"/>
          </w:tcPr>
          <w:p w14:paraId="71364319">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0.14</w:t>
            </w:r>
          </w:p>
        </w:tc>
      </w:tr>
      <w:tr w14:paraId="32DB27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79" w:type="pct"/>
            <w:vMerge w:val="continue"/>
            <w:noWrap w:val="0"/>
            <w:vAlign w:val="center"/>
          </w:tcPr>
          <w:p w14:paraId="51C09E95">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1961354">
            <w:pPr>
              <w:bidi w:val="0"/>
              <w:jc w:val="center"/>
              <w:rPr>
                <w:rFonts w:hint="default" w:ascii="Times New Roman" w:hAnsi="Times New Roman" w:eastAsia="宋体" w:cs="Times New Roman"/>
                <w:color w:val="auto"/>
                <w:sz w:val="21"/>
                <w:szCs w:val="21"/>
              </w:rPr>
            </w:pPr>
          </w:p>
        </w:tc>
        <w:tc>
          <w:tcPr>
            <w:tcW w:w="866" w:type="pct"/>
            <w:noWrap w:val="0"/>
            <w:vAlign w:val="center"/>
          </w:tcPr>
          <w:p w14:paraId="6C46EE99">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06BD9363">
            <w:pPr>
              <w:jc w:val="center"/>
              <w:rPr>
                <w:rFonts w:hint="default" w:ascii="Times New Roman" w:hAnsi="Times New Roman" w:eastAsia="宋体" w:cs="Times New Roman"/>
                <w:color w:val="auto"/>
                <w:sz w:val="21"/>
                <w:szCs w:val="21"/>
              </w:rPr>
            </w:pPr>
            <w:r>
              <w:rPr>
                <w:color w:val="auto"/>
                <w:sz w:val="21"/>
                <w:szCs w:val="21"/>
              </w:rPr>
              <w:t>7.45</w:t>
            </w:r>
          </w:p>
        </w:tc>
        <w:tc>
          <w:tcPr>
            <w:tcW w:w="508" w:type="pct"/>
            <w:noWrap w:val="0"/>
            <w:vAlign w:val="center"/>
          </w:tcPr>
          <w:p w14:paraId="570625E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w:t>
            </w:r>
          </w:p>
        </w:tc>
        <w:tc>
          <w:tcPr>
            <w:tcW w:w="508" w:type="pct"/>
            <w:noWrap w:val="0"/>
            <w:vAlign w:val="center"/>
          </w:tcPr>
          <w:p w14:paraId="0904EE45">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2.9</w:t>
            </w:r>
          </w:p>
        </w:tc>
        <w:tc>
          <w:tcPr>
            <w:tcW w:w="508" w:type="pct"/>
            <w:noWrap w:val="0"/>
            <w:vAlign w:val="center"/>
          </w:tcPr>
          <w:p w14:paraId="6F02216E">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7.8</w:t>
            </w:r>
          </w:p>
        </w:tc>
        <w:tc>
          <w:tcPr>
            <w:tcW w:w="508" w:type="pct"/>
            <w:noWrap w:val="0"/>
            <w:vAlign w:val="center"/>
          </w:tcPr>
          <w:p w14:paraId="57EB1849">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0.394</w:t>
            </w:r>
          </w:p>
        </w:tc>
        <w:tc>
          <w:tcPr>
            <w:tcW w:w="508" w:type="pct"/>
            <w:noWrap w:val="0"/>
            <w:vAlign w:val="center"/>
          </w:tcPr>
          <w:p w14:paraId="4EA37F49">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0.16</w:t>
            </w:r>
          </w:p>
        </w:tc>
      </w:tr>
      <w:tr w14:paraId="601B02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79" w:type="pct"/>
            <w:vMerge w:val="continue"/>
            <w:noWrap w:val="0"/>
            <w:vAlign w:val="center"/>
          </w:tcPr>
          <w:p w14:paraId="660400B2">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4024A45D">
            <w:pPr>
              <w:bidi w:val="0"/>
              <w:jc w:val="center"/>
              <w:rPr>
                <w:rFonts w:hint="default" w:ascii="Times New Roman" w:hAnsi="Times New Roman" w:eastAsia="宋体" w:cs="Times New Roman"/>
                <w:color w:val="auto"/>
                <w:sz w:val="21"/>
                <w:szCs w:val="21"/>
              </w:rPr>
            </w:pPr>
          </w:p>
        </w:tc>
        <w:tc>
          <w:tcPr>
            <w:tcW w:w="866" w:type="pct"/>
            <w:noWrap w:val="0"/>
            <w:vAlign w:val="center"/>
          </w:tcPr>
          <w:p w14:paraId="45187217">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GB3838中IV类</w:t>
            </w:r>
            <w:r>
              <w:rPr>
                <w:rFonts w:hint="eastAsia" w:cs="Times New Roman"/>
                <w:color w:val="auto"/>
                <w:sz w:val="21"/>
                <w:szCs w:val="21"/>
                <w:lang w:val="en-US" w:eastAsia="zh-CN"/>
              </w:rPr>
              <w:t>）</w:t>
            </w:r>
          </w:p>
        </w:tc>
        <w:tc>
          <w:tcPr>
            <w:tcW w:w="508" w:type="pct"/>
            <w:noWrap w:val="0"/>
            <w:vAlign w:val="center"/>
          </w:tcPr>
          <w:p w14:paraId="5541066C">
            <w:pPr>
              <w:bidi w:val="0"/>
              <w:jc w:val="center"/>
              <w:rPr>
                <w:color w:val="auto"/>
                <w:sz w:val="21"/>
                <w:szCs w:val="21"/>
              </w:rPr>
            </w:pPr>
            <w:r>
              <w:rPr>
                <w:rFonts w:hint="eastAsia" w:cs="Times New Roman"/>
                <w:color w:val="auto"/>
                <w:sz w:val="21"/>
                <w:szCs w:val="21"/>
                <w:lang w:val="en-US" w:eastAsia="zh-CN"/>
              </w:rPr>
              <w:t>6~9</w:t>
            </w:r>
          </w:p>
        </w:tc>
        <w:tc>
          <w:tcPr>
            <w:tcW w:w="508" w:type="pct"/>
            <w:noWrap w:val="0"/>
            <w:vAlign w:val="center"/>
          </w:tcPr>
          <w:p w14:paraId="76DAB15E">
            <w:pPr>
              <w:jc w:val="center"/>
              <w:rPr>
                <w:rFonts w:hint="eastAsia" w:cs="Times New Roman"/>
                <w:color w:val="auto"/>
                <w:sz w:val="21"/>
                <w:szCs w:val="21"/>
                <w:lang w:val="en-US" w:eastAsia="zh-CN"/>
              </w:rPr>
            </w:pPr>
            <w:r>
              <w:rPr>
                <w:rFonts w:hint="eastAsia"/>
                <w:color w:val="auto"/>
                <w:sz w:val="21"/>
                <w:szCs w:val="21"/>
                <w:lang w:val="en-US" w:eastAsia="zh-CN"/>
              </w:rPr>
              <w:t>≤30</w:t>
            </w:r>
          </w:p>
        </w:tc>
        <w:tc>
          <w:tcPr>
            <w:tcW w:w="508" w:type="pct"/>
            <w:noWrap w:val="0"/>
            <w:vAlign w:val="center"/>
          </w:tcPr>
          <w:p w14:paraId="3BB85E91">
            <w:pPr>
              <w:bidi w:val="0"/>
              <w:jc w:val="center"/>
              <w:rPr>
                <w:rFonts w:hint="eastAsia" w:cs="Times New Roman"/>
                <w:color w:val="auto"/>
                <w:sz w:val="21"/>
                <w:szCs w:val="21"/>
                <w:lang w:val="en-US" w:eastAsia="zh-CN"/>
              </w:rPr>
            </w:pPr>
            <w:r>
              <w:rPr>
                <w:rFonts w:hint="eastAsia"/>
                <w:color w:val="auto"/>
                <w:sz w:val="21"/>
                <w:szCs w:val="21"/>
                <w:lang w:val="en-US" w:eastAsia="zh-CN"/>
              </w:rPr>
              <w:t>≤</w:t>
            </w:r>
            <w:r>
              <w:rPr>
                <w:rFonts w:hint="eastAsia" w:cs="Times New Roman"/>
                <w:color w:val="auto"/>
                <w:sz w:val="21"/>
                <w:szCs w:val="21"/>
                <w:lang w:val="en-US" w:eastAsia="zh-CN"/>
              </w:rPr>
              <w:t>6</w:t>
            </w:r>
          </w:p>
        </w:tc>
        <w:tc>
          <w:tcPr>
            <w:tcW w:w="508" w:type="pct"/>
            <w:noWrap w:val="0"/>
            <w:vAlign w:val="center"/>
          </w:tcPr>
          <w:p w14:paraId="18515623">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≥3</w:t>
            </w:r>
          </w:p>
        </w:tc>
        <w:tc>
          <w:tcPr>
            <w:tcW w:w="508" w:type="pct"/>
            <w:noWrap w:val="0"/>
            <w:vAlign w:val="center"/>
          </w:tcPr>
          <w:p w14:paraId="3A5669E2">
            <w:pPr>
              <w:bidi w:val="0"/>
              <w:jc w:val="center"/>
              <w:rPr>
                <w:rFonts w:hint="default" w:ascii="Times New Roman" w:hAnsi="Times New Roman" w:cs="Times New Roman"/>
                <w:color w:val="auto"/>
                <w:sz w:val="21"/>
                <w:szCs w:val="21"/>
              </w:rPr>
            </w:pPr>
            <w:r>
              <w:rPr>
                <w:rFonts w:hint="eastAsia"/>
                <w:color w:val="auto"/>
                <w:sz w:val="21"/>
                <w:szCs w:val="21"/>
                <w:lang w:val="en-US" w:eastAsia="zh-CN"/>
              </w:rPr>
              <w:t>≤1.5</w:t>
            </w:r>
          </w:p>
        </w:tc>
        <w:tc>
          <w:tcPr>
            <w:tcW w:w="508" w:type="pct"/>
            <w:noWrap w:val="0"/>
            <w:vAlign w:val="center"/>
          </w:tcPr>
          <w:p w14:paraId="25DCD889">
            <w:pPr>
              <w:bidi w:val="0"/>
              <w:jc w:val="center"/>
              <w:rPr>
                <w:rFonts w:hint="eastAsia" w:cs="Times New Roman"/>
                <w:color w:val="auto"/>
                <w:sz w:val="21"/>
                <w:szCs w:val="21"/>
                <w:lang w:val="en-US" w:eastAsia="zh-CN"/>
              </w:rPr>
            </w:pPr>
            <w:r>
              <w:rPr>
                <w:rFonts w:hint="eastAsia"/>
                <w:color w:val="auto"/>
                <w:sz w:val="21"/>
                <w:szCs w:val="21"/>
                <w:lang w:val="en-US" w:eastAsia="zh-CN"/>
              </w:rPr>
              <w:t>≤0.3</w:t>
            </w:r>
          </w:p>
        </w:tc>
      </w:tr>
      <w:tr w14:paraId="1039B2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79" w:type="pct"/>
            <w:vMerge w:val="continue"/>
            <w:noWrap w:val="0"/>
            <w:vAlign w:val="center"/>
          </w:tcPr>
          <w:p w14:paraId="2BE09CC6">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5271118F">
            <w:pPr>
              <w:bidi w:val="0"/>
              <w:jc w:val="center"/>
              <w:rPr>
                <w:rFonts w:hint="default" w:ascii="Times New Roman" w:hAnsi="Times New Roman" w:eastAsia="宋体" w:cs="Times New Roman"/>
                <w:color w:val="auto"/>
                <w:sz w:val="21"/>
                <w:szCs w:val="21"/>
              </w:rPr>
            </w:pPr>
          </w:p>
        </w:tc>
        <w:tc>
          <w:tcPr>
            <w:tcW w:w="866" w:type="pct"/>
            <w:noWrap w:val="0"/>
            <w:vAlign w:val="center"/>
          </w:tcPr>
          <w:p w14:paraId="4DDABF64">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2E4795A9">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6A588BFD">
            <w:pPr>
              <w:jc w:val="center"/>
              <w:rPr>
                <w:rFonts w:hint="eastAsia" w:cs="Times New Roman"/>
                <w:color w:val="auto"/>
                <w:sz w:val="21"/>
                <w:szCs w:val="21"/>
                <w:lang w:val="en-US" w:eastAsia="zh-CN"/>
              </w:rPr>
            </w:pPr>
            <w:r>
              <w:rPr>
                <w:rFonts w:hint="eastAsia"/>
                <w:color w:val="auto"/>
                <w:sz w:val="21"/>
                <w:szCs w:val="21"/>
                <w:lang w:val="en-US" w:eastAsia="zh-CN"/>
              </w:rPr>
              <w:t>是</w:t>
            </w:r>
          </w:p>
        </w:tc>
        <w:tc>
          <w:tcPr>
            <w:tcW w:w="508" w:type="pct"/>
            <w:noWrap w:val="0"/>
            <w:vAlign w:val="center"/>
          </w:tcPr>
          <w:p w14:paraId="6BB5E7E6">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16470C79">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03CABBA7">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508" w:type="pct"/>
            <w:noWrap w:val="0"/>
            <w:vAlign w:val="center"/>
          </w:tcPr>
          <w:p w14:paraId="31DF4964">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r w14:paraId="5E4093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restart"/>
            <w:noWrap w:val="0"/>
            <w:vAlign w:val="center"/>
          </w:tcPr>
          <w:p w14:paraId="1519E41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W5</w:t>
            </w:r>
          </w:p>
        </w:tc>
        <w:tc>
          <w:tcPr>
            <w:tcW w:w="701" w:type="pct"/>
            <w:vMerge w:val="restart"/>
            <w:noWrap w:val="0"/>
            <w:vAlign w:val="center"/>
          </w:tcPr>
          <w:p w14:paraId="18D70CF3">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濉溪县第二污水处理厂入王引河排污口下游1500米</w:t>
            </w:r>
          </w:p>
        </w:tc>
        <w:tc>
          <w:tcPr>
            <w:tcW w:w="866" w:type="pct"/>
            <w:noWrap w:val="0"/>
            <w:vAlign w:val="center"/>
          </w:tcPr>
          <w:p w14:paraId="44BE36E1">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315C68C2">
            <w:pPr>
              <w:jc w:val="center"/>
              <w:rPr>
                <w:rFonts w:hint="default" w:ascii="Times New Roman" w:hAnsi="Times New Roman" w:eastAsia="宋体" w:cs="Times New Roman"/>
                <w:color w:val="auto"/>
                <w:sz w:val="21"/>
                <w:szCs w:val="21"/>
              </w:rPr>
            </w:pPr>
            <w:r>
              <w:rPr>
                <w:color w:val="auto"/>
                <w:sz w:val="21"/>
                <w:szCs w:val="21"/>
              </w:rPr>
              <w:t>7.28</w:t>
            </w:r>
          </w:p>
        </w:tc>
        <w:tc>
          <w:tcPr>
            <w:tcW w:w="508" w:type="pct"/>
            <w:noWrap w:val="0"/>
            <w:vAlign w:val="center"/>
          </w:tcPr>
          <w:p w14:paraId="2EFC3C77">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w:t>
            </w:r>
          </w:p>
        </w:tc>
        <w:tc>
          <w:tcPr>
            <w:tcW w:w="508" w:type="pct"/>
            <w:noWrap w:val="0"/>
            <w:vAlign w:val="center"/>
          </w:tcPr>
          <w:p w14:paraId="3F44DC2C">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3.2</w:t>
            </w:r>
          </w:p>
        </w:tc>
        <w:tc>
          <w:tcPr>
            <w:tcW w:w="508" w:type="pct"/>
            <w:noWrap w:val="0"/>
            <w:vAlign w:val="center"/>
          </w:tcPr>
          <w:p w14:paraId="198E9FB5">
            <w:pPr>
              <w:jc w:val="center"/>
              <w:rPr>
                <w:rFonts w:hint="default" w:ascii="Times New Roman" w:hAnsi="Times New Roman" w:eastAsia="宋体" w:cs="Times New Roman"/>
                <w:color w:val="auto"/>
                <w:sz w:val="21"/>
                <w:szCs w:val="21"/>
              </w:rPr>
            </w:pPr>
            <w:r>
              <w:rPr>
                <w:color w:val="auto"/>
                <w:sz w:val="21"/>
                <w:szCs w:val="21"/>
              </w:rPr>
              <w:t>6.9</w:t>
            </w:r>
          </w:p>
        </w:tc>
        <w:tc>
          <w:tcPr>
            <w:tcW w:w="508" w:type="pct"/>
            <w:noWrap w:val="0"/>
            <w:vAlign w:val="center"/>
          </w:tcPr>
          <w:p w14:paraId="33C5554F">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0.461</w:t>
            </w:r>
          </w:p>
        </w:tc>
        <w:tc>
          <w:tcPr>
            <w:tcW w:w="508" w:type="pct"/>
            <w:noWrap w:val="0"/>
            <w:vAlign w:val="center"/>
          </w:tcPr>
          <w:p w14:paraId="30CF0C77">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0.18</w:t>
            </w:r>
          </w:p>
        </w:tc>
      </w:tr>
      <w:tr w14:paraId="78834A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continue"/>
            <w:noWrap w:val="0"/>
            <w:vAlign w:val="center"/>
          </w:tcPr>
          <w:p w14:paraId="6CCBFC12">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666C7150">
            <w:pPr>
              <w:bidi w:val="0"/>
              <w:jc w:val="center"/>
              <w:rPr>
                <w:rFonts w:hint="default" w:ascii="Times New Roman" w:hAnsi="Times New Roman" w:eastAsia="宋体" w:cs="Times New Roman"/>
                <w:color w:val="auto"/>
                <w:sz w:val="21"/>
                <w:szCs w:val="21"/>
              </w:rPr>
            </w:pPr>
          </w:p>
        </w:tc>
        <w:tc>
          <w:tcPr>
            <w:tcW w:w="866" w:type="pct"/>
            <w:noWrap w:val="0"/>
            <w:vAlign w:val="center"/>
          </w:tcPr>
          <w:p w14:paraId="714AD77F">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4D3962CE">
            <w:pPr>
              <w:jc w:val="center"/>
              <w:rPr>
                <w:rFonts w:hint="default" w:ascii="Times New Roman" w:hAnsi="Times New Roman" w:eastAsia="宋体" w:cs="Times New Roman"/>
                <w:color w:val="auto"/>
                <w:sz w:val="21"/>
                <w:szCs w:val="21"/>
              </w:rPr>
            </w:pPr>
            <w:r>
              <w:rPr>
                <w:color w:val="auto"/>
                <w:sz w:val="21"/>
                <w:szCs w:val="21"/>
              </w:rPr>
              <w:t>7.53</w:t>
            </w:r>
          </w:p>
        </w:tc>
        <w:tc>
          <w:tcPr>
            <w:tcW w:w="508" w:type="pct"/>
            <w:noWrap w:val="0"/>
            <w:vAlign w:val="center"/>
          </w:tcPr>
          <w:p w14:paraId="4E00A695">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w:t>
            </w:r>
          </w:p>
        </w:tc>
        <w:tc>
          <w:tcPr>
            <w:tcW w:w="508" w:type="pct"/>
            <w:noWrap w:val="0"/>
            <w:vAlign w:val="center"/>
          </w:tcPr>
          <w:p w14:paraId="55A81418">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2.7</w:t>
            </w:r>
          </w:p>
        </w:tc>
        <w:tc>
          <w:tcPr>
            <w:tcW w:w="508" w:type="pct"/>
            <w:noWrap w:val="0"/>
            <w:vAlign w:val="center"/>
          </w:tcPr>
          <w:p w14:paraId="07BC916D">
            <w:pPr>
              <w:jc w:val="center"/>
              <w:rPr>
                <w:rFonts w:hint="default" w:ascii="Times New Roman" w:hAnsi="Times New Roman" w:eastAsia="宋体" w:cs="Times New Roman"/>
                <w:color w:val="auto"/>
                <w:sz w:val="21"/>
                <w:szCs w:val="21"/>
              </w:rPr>
            </w:pPr>
            <w:r>
              <w:rPr>
                <w:color w:val="auto"/>
                <w:sz w:val="21"/>
                <w:szCs w:val="21"/>
              </w:rPr>
              <w:t>7.9</w:t>
            </w:r>
          </w:p>
        </w:tc>
        <w:tc>
          <w:tcPr>
            <w:tcW w:w="508" w:type="pct"/>
            <w:noWrap w:val="0"/>
            <w:vAlign w:val="center"/>
          </w:tcPr>
          <w:p w14:paraId="3D7C1351">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0.375</w:t>
            </w:r>
          </w:p>
        </w:tc>
        <w:tc>
          <w:tcPr>
            <w:tcW w:w="508" w:type="pct"/>
            <w:noWrap w:val="0"/>
            <w:vAlign w:val="center"/>
          </w:tcPr>
          <w:p w14:paraId="027D5960">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0.17</w:t>
            </w:r>
          </w:p>
        </w:tc>
      </w:tr>
      <w:tr w14:paraId="76C6DF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continue"/>
            <w:noWrap w:val="0"/>
            <w:vAlign w:val="center"/>
          </w:tcPr>
          <w:p w14:paraId="3D0333A5">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109F5857">
            <w:pPr>
              <w:bidi w:val="0"/>
              <w:jc w:val="center"/>
              <w:rPr>
                <w:rFonts w:hint="default" w:ascii="Times New Roman" w:hAnsi="Times New Roman" w:eastAsia="宋体" w:cs="Times New Roman"/>
                <w:color w:val="auto"/>
                <w:sz w:val="21"/>
                <w:szCs w:val="21"/>
              </w:rPr>
            </w:pPr>
          </w:p>
        </w:tc>
        <w:tc>
          <w:tcPr>
            <w:tcW w:w="1721" w:type="dxa"/>
            <w:noWrap w:val="0"/>
            <w:vAlign w:val="center"/>
          </w:tcPr>
          <w:p w14:paraId="466E5596">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GB3838中IV类</w:t>
            </w:r>
            <w:r>
              <w:rPr>
                <w:rFonts w:hint="eastAsia" w:cs="Times New Roman"/>
                <w:color w:val="auto"/>
                <w:sz w:val="21"/>
                <w:szCs w:val="21"/>
                <w:lang w:val="en-US" w:eastAsia="zh-CN"/>
              </w:rPr>
              <w:t>）</w:t>
            </w:r>
          </w:p>
        </w:tc>
        <w:tc>
          <w:tcPr>
            <w:tcW w:w="1010" w:type="dxa"/>
            <w:noWrap w:val="0"/>
            <w:vAlign w:val="center"/>
          </w:tcPr>
          <w:p w14:paraId="182F765B">
            <w:pPr>
              <w:bidi w:val="0"/>
              <w:jc w:val="center"/>
              <w:rPr>
                <w:color w:val="auto"/>
                <w:sz w:val="21"/>
                <w:szCs w:val="21"/>
              </w:rPr>
            </w:pPr>
            <w:r>
              <w:rPr>
                <w:rFonts w:hint="eastAsia" w:cs="Times New Roman"/>
                <w:color w:val="auto"/>
                <w:sz w:val="21"/>
                <w:szCs w:val="21"/>
                <w:lang w:val="en-US" w:eastAsia="zh-CN"/>
              </w:rPr>
              <w:t>6~9</w:t>
            </w:r>
          </w:p>
        </w:tc>
        <w:tc>
          <w:tcPr>
            <w:tcW w:w="1010" w:type="dxa"/>
            <w:noWrap w:val="0"/>
            <w:vAlign w:val="center"/>
          </w:tcPr>
          <w:p w14:paraId="22C0B6A6">
            <w:pPr>
              <w:jc w:val="center"/>
              <w:rPr>
                <w:rFonts w:hint="eastAsia" w:cs="Times New Roman"/>
                <w:color w:val="auto"/>
                <w:sz w:val="21"/>
                <w:szCs w:val="21"/>
                <w:lang w:val="en-US" w:eastAsia="zh-CN"/>
              </w:rPr>
            </w:pPr>
            <w:r>
              <w:rPr>
                <w:rFonts w:hint="eastAsia"/>
                <w:color w:val="auto"/>
                <w:sz w:val="21"/>
                <w:szCs w:val="21"/>
                <w:lang w:val="en-US" w:eastAsia="zh-CN"/>
              </w:rPr>
              <w:t>≤30</w:t>
            </w:r>
          </w:p>
        </w:tc>
        <w:tc>
          <w:tcPr>
            <w:tcW w:w="1010" w:type="dxa"/>
            <w:noWrap w:val="0"/>
            <w:vAlign w:val="center"/>
          </w:tcPr>
          <w:p w14:paraId="0BC8BF12">
            <w:pPr>
              <w:bidi w:val="0"/>
              <w:jc w:val="center"/>
              <w:rPr>
                <w:rFonts w:hint="eastAsia" w:cs="Times New Roman"/>
                <w:color w:val="auto"/>
                <w:sz w:val="21"/>
                <w:szCs w:val="21"/>
                <w:lang w:val="en-US" w:eastAsia="zh-CN"/>
              </w:rPr>
            </w:pPr>
            <w:r>
              <w:rPr>
                <w:rFonts w:hint="eastAsia"/>
                <w:color w:val="auto"/>
                <w:sz w:val="21"/>
                <w:szCs w:val="21"/>
                <w:lang w:val="en-US" w:eastAsia="zh-CN"/>
              </w:rPr>
              <w:t>≤</w:t>
            </w:r>
            <w:r>
              <w:rPr>
                <w:rFonts w:hint="eastAsia" w:cs="Times New Roman"/>
                <w:color w:val="auto"/>
                <w:sz w:val="21"/>
                <w:szCs w:val="21"/>
                <w:lang w:val="en-US" w:eastAsia="zh-CN"/>
              </w:rPr>
              <w:t>6</w:t>
            </w:r>
          </w:p>
        </w:tc>
        <w:tc>
          <w:tcPr>
            <w:tcW w:w="1010" w:type="dxa"/>
            <w:noWrap w:val="0"/>
            <w:vAlign w:val="center"/>
          </w:tcPr>
          <w:p w14:paraId="51F25B8D">
            <w:pPr>
              <w:bidi w:val="0"/>
              <w:jc w:val="center"/>
              <w:rPr>
                <w:color w:val="auto"/>
                <w:sz w:val="21"/>
                <w:szCs w:val="21"/>
              </w:rPr>
            </w:pPr>
            <w:r>
              <w:rPr>
                <w:rFonts w:hint="eastAsia" w:cs="Times New Roman"/>
                <w:color w:val="auto"/>
                <w:sz w:val="21"/>
                <w:szCs w:val="21"/>
                <w:lang w:val="en-US" w:eastAsia="zh-CN"/>
              </w:rPr>
              <w:t>≥3</w:t>
            </w:r>
          </w:p>
        </w:tc>
        <w:tc>
          <w:tcPr>
            <w:tcW w:w="1010" w:type="dxa"/>
            <w:noWrap w:val="0"/>
            <w:vAlign w:val="center"/>
          </w:tcPr>
          <w:p w14:paraId="0768AAF8">
            <w:pPr>
              <w:bidi w:val="0"/>
              <w:jc w:val="center"/>
              <w:rPr>
                <w:rFonts w:hint="default" w:ascii="Times New Roman" w:hAnsi="Times New Roman" w:cs="Times New Roman"/>
                <w:color w:val="auto"/>
                <w:sz w:val="21"/>
                <w:szCs w:val="21"/>
              </w:rPr>
            </w:pPr>
            <w:r>
              <w:rPr>
                <w:rFonts w:hint="eastAsia"/>
                <w:color w:val="auto"/>
                <w:sz w:val="21"/>
                <w:szCs w:val="21"/>
                <w:lang w:val="en-US" w:eastAsia="zh-CN"/>
              </w:rPr>
              <w:t>≤1.5</w:t>
            </w:r>
          </w:p>
        </w:tc>
        <w:tc>
          <w:tcPr>
            <w:tcW w:w="1010" w:type="dxa"/>
            <w:noWrap w:val="0"/>
            <w:vAlign w:val="center"/>
          </w:tcPr>
          <w:p w14:paraId="11CF0A40">
            <w:pPr>
              <w:bidi w:val="0"/>
              <w:jc w:val="center"/>
              <w:rPr>
                <w:rFonts w:hint="eastAsia" w:cs="Times New Roman"/>
                <w:color w:val="auto"/>
                <w:sz w:val="21"/>
                <w:szCs w:val="21"/>
                <w:lang w:val="en-US" w:eastAsia="zh-CN"/>
              </w:rPr>
            </w:pPr>
            <w:r>
              <w:rPr>
                <w:rFonts w:hint="eastAsia"/>
                <w:color w:val="auto"/>
                <w:sz w:val="21"/>
                <w:szCs w:val="21"/>
                <w:lang w:val="en-US" w:eastAsia="zh-CN"/>
              </w:rPr>
              <w:t>≤0.3</w:t>
            </w:r>
          </w:p>
        </w:tc>
      </w:tr>
      <w:tr w14:paraId="6A40F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continue"/>
            <w:noWrap w:val="0"/>
            <w:vAlign w:val="center"/>
          </w:tcPr>
          <w:p w14:paraId="34563601">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35F8AE75">
            <w:pPr>
              <w:bidi w:val="0"/>
              <w:jc w:val="center"/>
              <w:rPr>
                <w:rFonts w:hint="default" w:ascii="Times New Roman" w:hAnsi="Times New Roman" w:eastAsia="宋体" w:cs="Times New Roman"/>
                <w:color w:val="auto"/>
                <w:sz w:val="21"/>
                <w:szCs w:val="21"/>
              </w:rPr>
            </w:pPr>
          </w:p>
        </w:tc>
        <w:tc>
          <w:tcPr>
            <w:tcW w:w="1721" w:type="dxa"/>
            <w:noWrap w:val="0"/>
            <w:vAlign w:val="center"/>
          </w:tcPr>
          <w:p w14:paraId="12A27E64">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1010" w:type="dxa"/>
            <w:noWrap w:val="0"/>
            <w:vAlign w:val="center"/>
          </w:tcPr>
          <w:p w14:paraId="6701839B">
            <w:pPr>
              <w:bidi w:val="0"/>
              <w:jc w:val="center"/>
              <w:rPr>
                <w:color w:val="auto"/>
                <w:sz w:val="21"/>
                <w:szCs w:val="21"/>
              </w:rPr>
            </w:pPr>
            <w:r>
              <w:rPr>
                <w:rFonts w:hint="eastAsia" w:cs="Times New Roman"/>
                <w:color w:val="auto"/>
                <w:sz w:val="21"/>
                <w:szCs w:val="21"/>
                <w:lang w:val="en-US" w:eastAsia="zh-CN"/>
              </w:rPr>
              <w:t>是</w:t>
            </w:r>
          </w:p>
        </w:tc>
        <w:tc>
          <w:tcPr>
            <w:tcW w:w="1010" w:type="dxa"/>
            <w:noWrap w:val="0"/>
            <w:vAlign w:val="center"/>
          </w:tcPr>
          <w:p w14:paraId="0C6D9D02">
            <w:pPr>
              <w:jc w:val="center"/>
              <w:rPr>
                <w:rFonts w:hint="eastAsia" w:cs="Times New Roman"/>
                <w:color w:val="auto"/>
                <w:sz w:val="21"/>
                <w:szCs w:val="21"/>
                <w:lang w:val="en-US" w:eastAsia="zh-CN"/>
              </w:rPr>
            </w:pPr>
            <w:r>
              <w:rPr>
                <w:rFonts w:hint="eastAsia"/>
                <w:color w:val="auto"/>
                <w:sz w:val="21"/>
                <w:szCs w:val="21"/>
                <w:lang w:val="en-US" w:eastAsia="zh-CN"/>
              </w:rPr>
              <w:t>是</w:t>
            </w:r>
          </w:p>
        </w:tc>
        <w:tc>
          <w:tcPr>
            <w:tcW w:w="1010" w:type="dxa"/>
            <w:noWrap w:val="0"/>
            <w:vAlign w:val="center"/>
          </w:tcPr>
          <w:p w14:paraId="33F749B0">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1010" w:type="dxa"/>
            <w:noWrap w:val="0"/>
            <w:vAlign w:val="center"/>
          </w:tcPr>
          <w:p w14:paraId="067A7FCC">
            <w:pPr>
              <w:bidi w:val="0"/>
              <w:jc w:val="center"/>
              <w:rPr>
                <w:color w:val="auto"/>
                <w:sz w:val="21"/>
                <w:szCs w:val="21"/>
              </w:rPr>
            </w:pPr>
            <w:r>
              <w:rPr>
                <w:rFonts w:hint="eastAsia" w:cs="Times New Roman"/>
                <w:color w:val="auto"/>
                <w:sz w:val="21"/>
                <w:szCs w:val="21"/>
                <w:lang w:val="en-US" w:eastAsia="zh-CN"/>
              </w:rPr>
              <w:t>是</w:t>
            </w:r>
          </w:p>
        </w:tc>
        <w:tc>
          <w:tcPr>
            <w:tcW w:w="1010" w:type="dxa"/>
            <w:noWrap w:val="0"/>
            <w:vAlign w:val="center"/>
          </w:tcPr>
          <w:p w14:paraId="6D6ABDD2">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1010" w:type="dxa"/>
            <w:noWrap w:val="0"/>
            <w:vAlign w:val="center"/>
          </w:tcPr>
          <w:p w14:paraId="561D66C5">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bl>
    <w:p w14:paraId="4569C475">
      <w:pPr>
        <w:spacing w:line="360" w:lineRule="auto"/>
        <w:rPr>
          <w:color w:val="auto"/>
          <w:sz w:val="24"/>
          <w:szCs w:val="32"/>
        </w:rPr>
      </w:pPr>
    </w:p>
    <w:p w14:paraId="4E952A88">
      <w:pPr>
        <w:spacing w:line="360" w:lineRule="auto"/>
        <w:ind w:firstLine="480" w:firstLineChars="200"/>
        <w:rPr>
          <w:color w:val="auto"/>
          <w:sz w:val="24"/>
          <w:szCs w:val="32"/>
        </w:rPr>
      </w:pPr>
      <w:r>
        <w:rPr>
          <w:color w:val="auto"/>
          <w:sz w:val="24"/>
          <w:szCs w:val="32"/>
        </w:rPr>
        <w:t>由上表可知，环评阶段</w:t>
      </w:r>
      <w:r>
        <w:rPr>
          <w:rFonts w:hint="eastAsia"/>
          <w:color w:val="auto"/>
          <w:sz w:val="24"/>
          <w:szCs w:val="32"/>
          <w:lang w:val="en-US" w:eastAsia="zh-CN"/>
        </w:rPr>
        <w:t>巴河</w:t>
      </w:r>
      <w:r>
        <w:rPr>
          <w:color w:val="auto"/>
          <w:sz w:val="24"/>
          <w:szCs w:val="32"/>
        </w:rPr>
        <w:t>满足《地表水环境质量标准》（GB3838-2002）中Ⅴ类水域标准限值</w:t>
      </w:r>
      <w:r>
        <w:rPr>
          <w:rFonts w:hint="eastAsia"/>
          <w:color w:val="auto"/>
          <w:sz w:val="24"/>
          <w:szCs w:val="32"/>
          <w:lang w:eastAsia="zh-CN"/>
        </w:rPr>
        <w:t>；</w:t>
      </w:r>
      <w:r>
        <w:rPr>
          <w:rFonts w:hint="eastAsia"/>
          <w:color w:val="auto"/>
          <w:sz w:val="24"/>
          <w:szCs w:val="32"/>
          <w:lang w:val="en-US" w:eastAsia="zh-CN"/>
        </w:rPr>
        <w:t>王引河</w:t>
      </w:r>
      <w:r>
        <w:rPr>
          <w:color w:val="auto"/>
          <w:sz w:val="24"/>
          <w:szCs w:val="32"/>
        </w:rPr>
        <w:t>满足《地表水环境质量标准》（GB3838-2002）中</w:t>
      </w:r>
      <w:r>
        <w:rPr>
          <w:rFonts w:hint="eastAsia"/>
          <w:color w:val="auto"/>
          <w:sz w:val="24"/>
          <w:szCs w:val="32"/>
          <w:lang w:val="en-US" w:eastAsia="zh-CN"/>
        </w:rPr>
        <w:t>I</w:t>
      </w:r>
      <w:r>
        <w:rPr>
          <w:color w:val="auto"/>
          <w:sz w:val="24"/>
          <w:szCs w:val="32"/>
        </w:rPr>
        <w:t>Ⅴ类水域标准限值</w:t>
      </w:r>
      <w:r>
        <w:rPr>
          <w:rFonts w:hint="eastAsia"/>
          <w:color w:val="auto"/>
          <w:sz w:val="24"/>
          <w:szCs w:val="32"/>
          <w:lang w:eastAsia="zh-CN"/>
        </w:rPr>
        <w:t>。</w:t>
      </w:r>
    </w:p>
    <w:p w14:paraId="01F17D50">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rFonts w:hint="default" w:eastAsia="宋体"/>
          <w:b/>
          <w:bCs/>
          <w:color w:val="auto"/>
          <w:sz w:val="24"/>
          <w:szCs w:val="32"/>
          <w:lang w:val="en-US" w:eastAsia="zh-CN"/>
        </w:rPr>
      </w:pPr>
      <w:bookmarkStart w:id="260" w:name="_Toc15301"/>
      <w:bookmarkStart w:id="261" w:name="_Toc31507"/>
      <w:bookmarkStart w:id="262" w:name="_Toc26733"/>
      <w:r>
        <w:rPr>
          <w:b/>
          <w:bCs/>
          <w:color w:val="auto"/>
          <w:sz w:val="24"/>
          <w:szCs w:val="32"/>
        </w:rPr>
        <w:t>2.</w:t>
      </w:r>
      <w:r>
        <w:rPr>
          <w:rFonts w:hint="eastAsia"/>
          <w:b/>
          <w:bCs/>
          <w:color w:val="auto"/>
          <w:sz w:val="24"/>
          <w:szCs w:val="32"/>
          <w:lang w:val="en-US" w:eastAsia="zh-CN"/>
        </w:rPr>
        <w:t>3</w:t>
      </w:r>
      <w:r>
        <w:rPr>
          <w:b/>
          <w:bCs/>
          <w:color w:val="auto"/>
          <w:sz w:val="24"/>
          <w:szCs w:val="32"/>
        </w:rPr>
        <w:t>.1.2</w:t>
      </w:r>
      <w:r>
        <w:rPr>
          <w:rFonts w:hint="eastAsia"/>
          <w:b/>
          <w:bCs/>
          <w:color w:val="auto"/>
          <w:sz w:val="24"/>
          <w:szCs w:val="32"/>
          <w:lang w:val="en-US" w:eastAsia="zh-CN"/>
        </w:rPr>
        <w:t>环评阶段</w:t>
      </w:r>
      <w:r>
        <w:rPr>
          <w:b/>
          <w:bCs/>
          <w:color w:val="auto"/>
          <w:sz w:val="24"/>
          <w:szCs w:val="32"/>
        </w:rPr>
        <w:t>大气环境</w:t>
      </w:r>
      <w:bookmarkEnd w:id="260"/>
      <w:bookmarkEnd w:id="261"/>
      <w:bookmarkEnd w:id="262"/>
      <w:r>
        <w:rPr>
          <w:rFonts w:hint="eastAsia"/>
          <w:b/>
          <w:bCs/>
          <w:color w:val="auto"/>
          <w:sz w:val="24"/>
          <w:szCs w:val="32"/>
          <w:lang w:val="en-US" w:eastAsia="zh-CN"/>
        </w:rPr>
        <w:t>质量监测情况</w:t>
      </w:r>
    </w:p>
    <w:p w14:paraId="580513B4">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lang w:val="en-US" w:eastAsia="zh-CN"/>
        </w:rPr>
        <w:t>监测项目及监测点位</w:t>
      </w:r>
    </w:p>
    <w:p w14:paraId="2B859217">
      <w:pPr>
        <w:spacing w:line="336" w:lineRule="auto"/>
        <w:ind w:firstLine="480" w:firstLineChars="200"/>
        <w:rPr>
          <w:color w:val="auto"/>
          <w:sz w:val="24"/>
          <w:szCs w:val="32"/>
        </w:rPr>
      </w:pPr>
      <w:r>
        <w:rPr>
          <w:color w:val="auto"/>
          <w:sz w:val="24"/>
          <w:szCs w:val="32"/>
        </w:rPr>
        <w:t>环评阶段大气环境监测项目：</w:t>
      </w:r>
      <w:r>
        <w:rPr>
          <w:color w:val="auto"/>
          <w:sz w:val="24"/>
          <w:szCs w:val="21"/>
        </w:rPr>
        <w:t>SO</w:t>
      </w:r>
      <w:r>
        <w:rPr>
          <w:color w:val="auto"/>
          <w:sz w:val="24"/>
          <w:szCs w:val="21"/>
          <w:vertAlign w:val="subscript"/>
        </w:rPr>
        <w:t>2</w:t>
      </w:r>
      <w:r>
        <w:rPr>
          <w:color w:val="auto"/>
          <w:sz w:val="24"/>
          <w:szCs w:val="21"/>
        </w:rPr>
        <w:t>、NO</w:t>
      </w:r>
      <w:r>
        <w:rPr>
          <w:color w:val="auto"/>
          <w:sz w:val="24"/>
          <w:szCs w:val="21"/>
          <w:vertAlign w:val="subscript"/>
        </w:rPr>
        <w:t>2</w:t>
      </w:r>
      <w:r>
        <w:rPr>
          <w:color w:val="auto"/>
          <w:sz w:val="24"/>
          <w:szCs w:val="21"/>
        </w:rPr>
        <w:t xml:space="preserve"> 、PM</w:t>
      </w:r>
      <w:r>
        <w:rPr>
          <w:color w:val="auto"/>
          <w:sz w:val="24"/>
          <w:szCs w:val="21"/>
          <w:vertAlign w:val="subscript"/>
        </w:rPr>
        <w:t>10</w:t>
      </w:r>
      <w:r>
        <w:rPr>
          <w:color w:val="auto"/>
          <w:sz w:val="24"/>
          <w:szCs w:val="21"/>
        </w:rPr>
        <w:t>、氟化物、HCl、二噁英类</w:t>
      </w:r>
      <w:r>
        <w:rPr>
          <w:color w:val="auto"/>
          <w:sz w:val="24"/>
          <w:szCs w:val="32"/>
        </w:rPr>
        <w:t>，</w:t>
      </w:r>
      <w:r>
        <w:rPr>
          <w:color w:val="auto"/>
          <w:sz w:val="24"/>
          <w:szCs w:val="21"/>
        </w:rPr>
        <w:t>SO</w:t>
      </w:r>
      <w:r>
        <w:rPr>
          <w:color w:val="auto"/>
          <w:sz w:val="24"/>
          <w:szCs w:val="21"/>
          <w:vertAlign w:val="subscript"/>
        </w:rPr>
        <w:t>2</w:t>
      </w:r>
      <w:r>
        <w:rPr>
          <w:color w:val="auto"/>
          <w:sz w:val="24"/>
          <w:szCs w:val="21"/>
        </w:rPr>
        <w:t>、NO</w:t>
      </w:r>
      <w:r>
        <w:rPr>
          <w:color w:val="auto"/>
          <w:sz w:val="24"/>
          <w:szCs w:val="21"/>
          <w:vertAlign w:val="subscript"/>
        </w:rPr>
        <w:t>2</w:t>
      </w:r>
      <w:r>
        <w:rPr>
          <w:color w:val="auto"/>
          <w:sz w:val="24"/>
          <w:szCs w:val="21"/>
        </w:rPr>
        <w:t xml:space="preserve"> 、PM</w:t>
      </w:r>
      <w:r>
        <w:rPr>
          <w:color w:val="auto"/>
          <w:sz w:val="24"/>
          <w:szCs w:val="21"/>
          <w:vertAlign w:val="subscript"/>
        </w:rPr>
        <w:t>10</w:t>
      </w:r>
      <w:r>
        <w:rPr>
          <w:color w:val="auto"/>
          <w:sz w:val="24"/>
          <w:szCs w:val="21"/>
        </w:rPr>
        <w:t>、氟化物、HCl</w:t>
      </w:r>
      <w:r>
        <w:rPr>
          <w:color w:val="auto"/>
          <w:sz w:val="24"/>
        </w:rPr>
        <w:t>监测时间为2014年7月5日～7月11日，连续采样7天</w:t>
      </w:r>
      <w:r>
        <w:rPr>
          <w:rFonts w:hint="eastAsia"/>
          <w:color w:val="auto"/>
          <w:sz w:val="24"/>
          <w:lang w:eastAsia="zh-CN"/>
        </w:rPr>
        <w:t>；</w:t>
      </w:r>
      <w:r>
        <w:rPr>
          <w:color w:val="auto"/>
          <w:sz w:val="24"/>
        </w:rPr>
        <w:t>二噁英类监测时间为2014年7月22日～7月23日，连续采样1天。</w:t>
      </w:r>
      <w:r>
        <w:rPr>
          <w:color w:val="auto"/>
          <w:sz w:val="24"/>
          <w:szCs w:val="32"/>
        </w:rPr>
        <w:t>监测布点见下表：</w:t>
      </w:r>
    </w:p>
    <w:p w14:paraId="18F9E4EB">
      <w:pPr>
        <w:spacing w:line="360" w:lineRule="auto"/>
        <w:jc w:val="center"/>
        <w:rPr>
          <w:b/>
          <w:bCs/>
          <w:color w:val="auto"/>
          <w:sz w:val="24"/>
          <w:szCs w:val="32"/>
        </w:rPr>
      </w:pPr>
      <w:r>
        <w:rPr>
          <w:b/>
          <w:bCs/>
          <w:color w:val="auto"/>
          <w:sz w:val="24"/>
          <w:szCs w:val="32"/>
        </w:rPr>
        <w:t>表2-</w:t>
      </w:r>
      <w:r>
        <w:rPr>
          <w:rFonts w:hint="eastAsia"/>
          <w:b/>
          <w:bCs/>
          <w:color w:val="auto"/>
          <w:sz w:val="24"/>
          <w:szCs w:val="32"/>
          <w:lang w:val="en-US" w:eastAsia="zh-CN"/>
        </w:rPr>
        <w:t>6</w:t>
      </w:r>
      <w:r>
        <w:rPr>
          <w:b/>
          <w:bCs/>
          <w:color w:val="auto"/>
          <w:sz w:val="24"/>
          <w:szCs w:val="32"/>
        </w:rPr>
        <w:t xml:space="preserve"> </w:t>
      </w:r>
      <w:r>
        <w:rPr>
          <w:rFonts w:hint="eastAsia"/>
          <w:b/>
          <w:bCs/>
          <w:color w:val="auto"/>
          <w:sz w:val="24"/>
          <w:szCs w:val="32"/>
          <w:lang w:val="en-US" w:eastAsia="zh-CN"/>
        </w:rPr>
        <w:t>大气环境监测点位一览表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009"/>
        <w:gridCol w:w="877"/>
        <w:gridCol w:w="2048"/>
        <w:gridCol w:w="1541"/>
        <w:gridCol w:w="1521"/>
        <w:gridCol w:w="1278"/>
        <w:gridCol w:w="1688"/>
      </w:tblGrid>
      <w:tr w14:paraId="3EE3F7D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45CA8DB8">
            <w:pPr>
              <w:spacing w:before="31" w:beforeLines="10" w:line="264" w:lineRule="auto"/>
              <w:jc w:val="center"/>
              <w:rPr>
                <w:b/>
                <w:color w:val="auto"/>
              </w:rPr>
            </w:pPr>
            <w:bookmarkStart w:id="263" w:name="_Toc408478103"/>
            <w:r>
              <w:rPr>
                <w:b/>
                <w:color w:val="auto"/>
              </w:rPr>
              <w:t>序号</w:t>
            </w:r>
          </w:p>
        </w:tc>
        <w:tc>
          <w:tcPr>
            <w:tcW w:w="440" w:type="pct"/>
            <w:tcBorders>
              <w:tl2br w:val="nil"/>
              <w:tr2bl w:val="nil"/>
            </w:tcBorders>
            <w:shd w:val="clear" w:color="auto" w:fill="auto"/>
            <w:noWrap w:val="0"/>
            <w:vAlign w:val="center"/>
          </w:tcPr>
          <w:p w14:paraId="0EAA51D3">
            <w:pPr>
              <w:spacing w:before="31" w:beforeLines="10" w:line="264" w:lineRule="auto"/>
              <w:jc w:val="center"/>
              <w:rPr>
                <w:b/>
                <w:color w:val="auto"/>
              </w:rPr>
            </w:pPr>
            <w:r>
              <w:rPr>
                <w:b/>
                <w:color w:val="auto"/>
              </w:rPr>
              <w:t>编号</w:t>
            </w:r>
          </w:p>
        </w:tc>
        <w:tc>
          <w:tcPr>
            <w:tcW w:w="1027" w:type="pct"/>
            <w:tcBorders>
              <w:tl2br w:val="nil"/>
              <w:tr2bl w:val="nil"/>
            </w:tcBorders>
            <w:shd w:val="clear" w:color="auto" w:fill="auto"/>
            <w:noWrap w:val="0"/>
            <w:vAlign w:val="center"/>
          </w:tcPr>
          <w:p w14:paraId="038CED54">
            <w:pPr>
              <w:spacing w:before="31" w:beforeLines="10" w:line="264" w:lineRule="auto"/>
              <w:jc w:val="center"/>
              <w:rPr>
                <w:b/>
                <w:color w:val="auto"/>
              </w:rPr>
            </w:pPr>
            <w:r>
              <w:rPr>
                <w:b/>
                <w:color w:val="auto"/>
              </w:rPr>
              <w:t>监测点位名称</w:t>
            </w:r>
          </w:p>
        </w:tc>
        <w:tc>
          <w:tcPr>
            <w:tcW w:w="773" w:type="pct"/>
            <w:tcBorders>
              <w:tl2br w:val="nil"/>
              <w:tr2bl w:val="nil"/>
            </w:tcBorders>
            <w:shd w:val="clear" w:color="auto" w:fill="auto"/>
            <w:noWrap w:val="0"/>
            <w:vAlign w:val="center"/>
          </w:tcPr>
          <w:p w14:paraId="432CF4A2">
            <w:pPr>
              <w:spacing w:before="31" w:beforeLines="10" w:line="264" w:lineRule="auto"/>
              <w:jc w:val="center"/>
              <w:rPr>
                <w:b/>
                <w:color w:val="auto"/>
              </w:rPr>
            </w:pPr>
            <w:r>
              <w:rPr>
                <w:rFonts w:hint="eastAsia"/>
                <w:b/>
                <w:color w:val="auto"/>
                <w:lang w:val="en-US" w:eastAsia="zh-CN"/>
              </w:rPr>
              <w:t>相对厂址</w:t>
            </w:r>
            <w:r>
              <w:rPr>
                <w:b/>
                <w:color w:val="auto"/>
              </w:rPr>
              <w:t>方位</w:t>
            </w:r>
          </w:p>
        </w:tc>
        <w:tc>
          <w:tcPr>
            <w:tcW w:w="763" w:type="pct"/>
            <w:tcBorders>
              <w:tl2br w:val="nil"/>
              <w:tr2bl w:val="nil"/>
            </w:tcBorders>
            <w:shd w:val="clear" w:color="auto" w:fill="auto"/>
            <w:noWrap w:val="0"/>
            <w:vAlign w:val="center"/>
          </w:tcPr>
          <w:p w14:paraId="68C307F9">
            <w:pPr>
              <w:spacing w:before="31" w:beforeLines="10" w:line="264" w:lineRule="auto"/>
              <w:jc w:val="center"/>
              <w:rPr>
                <w:b/>
                <w:color w:val="auto"/>
              </w:rPr>
            </w:pPr>
            <w:r>
              <w:rPr>
                <w:rFonts w:hint="eastAsia"/>
                <w:b/>
                <w:color w:val="auto"/>
                <w:lang w:val="en-US" w:eastAsia="zh-CN"/>
              </w:rPr>
              <w:t>相对厂址</w:t>
            </w:r>
            <w:r>
              <w:rPr>
                <w:b/>
                <w:color w:val="auto"/>
              </w:rPr>
              <w:t>距离</w:t>
            </w:r>
          </w:p>
        </w:tc>
        <w:tc>
          <w:tcPr>
            <w:tcW w:w="641" w:type="pct"/>
            <w:tcBorders>
              <w:tl2br w:val="nil"/>
              <w:tr2bl w:val="nil"/>
            </w:tcBorders>
            <w:shd w:val="clear" w:color="auto" w:fill="auto"/>
            <w:noWrap w:val="0"/>
            <w:vAlign w:val="center"/>
          </w:tcPr>
          <w:p w14:paraId="7B855F46">
            <w:pPr>
              <w:spacing w:before="31" w:beforeLines="10" w:line="264" w:lineRule="auto"/>
              <w:jc w:val="center"/>
              <w:rPr>
                <w:b/>
                <w:color w:val="auto"/>
              </w:rPr>
            </w:pPr>
            <w:r>
              <w:rPr>
                <w:b/>
                <w:color w:val="auto"/>
              </w:rPr>
              <w:t>主要功能区</w:t>
            </w:r>
          </w:p>
        </w:tc>
        <w:tc>
          <w:tcPr>
            <w:tcW w:w="846" w:type="pct"/>
            <w:tcBorders>
              <w:tl2br w:val="nil"/>
              <w:tr2bl w:val="nil"/>
            </w:tcBorders>
            <w:shd w:val="clear" w:color="auto" w:fill="auto"/>
            <w:noWrap w:val="0"/>
            <w:vAlign w:val="center"/>
          </w:tcPr>
          <w:p w14:paraId="1AF629C7">
            <w:pPr>
              <w:spacing w:before="31" w:beforeLines="10" w:line="264" w:lineRule="auto"/>
              <w:jc w:val="center"/>
              <w:rPr>
                <w:b/>
                <w:color w:val="auto"/>
              </w:rPr>
            </w:pPr>
            <w:r>
              <w:rPr>
                <w:b/>
                <w:color w:val="auto"/>
              </w:rPr>
              <w:t>备   注</w:t>
            </w:r>
          </w:p>
        </w:tc>
      </w:tr>
      <w:tr w14:paraId="718209A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797F8B81">
            <w:pPr>
              <w:spacing w:before="31" w:beforeLines="10" w:line="264" w:lineRule="auto"/>
              <w:jc w:val="center"/>
              <w:rPr>
                <w:color w:val="auto"/>
              </w:rPr>
            </w:pPr>
            <w:r>
              <w:rPr>
                <w:color w:val="auto"/>
              </w:rPr>
              <w:t>1</w:t>
            </w:r>
          </w:p>
        </w:tc>
        <w:tc>
          <w:tcPr>
            <w:tcW w:w="440" w:type="pct"/>
            <w:tcBorders>
              <w:tl2br w:val="nil"/>
              <w:tr2bl w:val="nil"/>
            </w:tcBorders>
            <w:shd w:val="clear" w:color="auto" w:fill="auto"/>
            <w:noWrap w:val="0"/>
            <w:vAlign w:val="center"/>
          </w:tcPr>
          <w:p w14:paraId="2D73F073">
            <w:pPr>
              <w:spacing w:before="31" w:beforeLines="10" w:line="264" w:lineRule="auto"/>
              <w:jc w:val="center"/>
              <w:rPr>
                <w:color w:val="auto"/>
              </w:rPr>
            </w:pPr>
            <w:r>
              <w:rPr>
                <w:color w:val="auto"/>
              </w:rPr>
              <w:t>G1</w:t>
            </w:r>
          </w:p>
        </w:tc>
        <w:tc>
          <w:tcPr>
            <w:tcW w:w="1027" w:type="pct"/>
            <w:tcBorders>
              <w:tl2br w:val="nil"/>
              <w:tr2bl w:val="nil"/>
            </w:tcBorders>
            <w:shd w:val="clear" w:color="auto" w:fill="auto"/>
            <w:noWrap w:val="0"/>
            <w:vAlign w:val="top"/>
          </w:tcPr>
          <w:p w14:paraId="5FA4CAB4">
            <w:pPr>
              <w:jc w:val="center"/>
              <w:rPr>
                <w:color w:val="auto"/>
              </w:rPr>
            </w:pPr>
            <w:r>
              <w:rPr>
                <w:color w:val="auto"/>
              </w:rPr>
              <w:t>星河花园小区</w:t>
            </w:r>
          </w:p>
        </w:tc>
        <w:tc>
          <w:tcPr>
            <w:tcW w:w="773" w:type="pct"/>
            <w:tcBorders>
              <w:tl2br w:val="nil"/>
              <w:tr2bl w:val="nil"/>
            </w:tcBorders>
            <w:shd w:val="clear" w:color="auto" w:fill="auto"/>
            <w:noWrap w:val="0"/>
            <w:vAlign w:val="center"/>
          </w:tcPr>
          <w:p w14:paraId="46D6F5E2">
            <w:pPr>
              <w:jc w:val="center"/>
              <w:rPr>
                <w:color w:val="auto"/>
                <w:szCs w:val="21"/>
              </w:rPr>
            </w:pPr>
            <w:r>
              <w:rPr>
                <w:color w:val="auto"/>
                <w:szCs w:val="21"/>
              </w:rPr>
              <w:t>NNE</w:t>
            </w:r>
          </w:p>
        </w:tc>
        <w:tc>
          <w:tcPr>
            <w:tcW w:w="763" w:type="pct"/>
            <w:tcBorders>
              <w:tl2br w:val="nil"/>
              <w:tr2bl w:val="nil"/>
            </w:tcBorders>
            <w:shd w:val="clear" w:color="auto" w:fill="auto"/>
            <w:noWrap w:val="0"/>
            <w:vAlign w:val="center"/>
          </w:tcPr>
          <w:p w14:paraId="18AB162F">
            <w:pPr>
              <w:adjustRightInd w:val="0"/>
              <w:snapToGrid w:val="0"/>
              <w:jc w:val="center"/>
              <w:rPr>
                <w:color w:val="auto"/>
                <w:szCs w:val="21"/>
              </w:rPr>
            </w:pPr>
            <w:r>
              <w:rPr>
                <w:color w:val="auto"/>
                <w:szCs w:val="21"/>
              </w:rPr>
              <w:t>1</w:t>
            </w:r>
            <w:r>
              <w:rPr>
                <w:rFonts w:hint="eastAsia"/>
                <w:color w:val="auto"/>
                <w:szCs w:val="21"/>
              </w:rPr>
              <w:t>0</w:t>
            </w:r>
            <w:r>
              <w:rPr>
                <w:color w:val="auto"/>
                <w:szCs w:val="21"/>
              </w:rPr>
              <w:t>00m</w:t>
            </w:r>
          </w:p>
        </w:tc>
        <w:tc>
          <w:tcPr>
            <w:tcW w:w="641" w:type="pct"/>
            <w:tcBorders>
              <w:tl2br w:val="nil"/>
              <w:tr2bl w:val="nil"/>
            </w:tcBorders>
            <w:shd w:val="clear" w:color="auto" w:fill="auto"/>
            <w:noWrap w:val="0"/>
            <w:vAlign w:val="center"/>
          </w:tcPr>
          <w:p w14:paraId="4A795EC8">
            <w:pPr>
              <w:spacing w:before="31" w:beforeLines="10" w:line="264" w:lineRule="auto"/>
              <w:jc w:val="center"/>
              <w:rPr>
                <w:color w:val="auto"/>
              </w:rPr>
            </w:pPr>
            <w:r>
              <w:rPr>
                <w:color w:val="auto"/>
              </w:rPr>
              <w:t>居民区</w:t>
            </w:r>
          </w:p>
        </w:tc>
        <w:tc>
          <w:tcPr>
            <w:tcW w:w="846" w:type="pct"/>
            <w:tcBorders>
              <w:tl2br w:val="nil"/>
              <w:tr2bl w:val="nil"/>
            </w:tcBorders>
            <w:shd w:val="clear" w:color="auto" w:fill="auto"/>
            <w:noWrap w:val="0"/>
            <w:vAlign w:val="center"/>
          </w:tcPr>
          <w:p w14:paraId="5ED6770D">
            <w:pPr>
              <w:jc w:val="center"/>
              <w:rPr>
                <w:color w:val="auto"/>
                <w:szCs w:val="21"/>
              </w:rPr>
            </w:pPr>
            <w:r>
              <w:rPr>
                <w:color w:val="auto"/>
                <w:szCs w:val="21"/>
              </w:rPr>
              <w:t>上风向参照点</w:t>
            </w:r>
          </w:p>
        </w:tc>
      </w:tr>
      <w:tr w14:paraId="10418E0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2AE21E4E">
            <w:pPr>
              <w:spacing w:before="31" w:beforeLines="10" w:line="264" w:lineRule="auto"/>
              <w:jc w:val="center"/>
              <w:rPr>
                <w:color w:val="auto"/>
              </w:rPr>
            </w:pPr>
            <w:r>
              <w:rPr>
                <w:color w:val="auto"/>
              </w:rPr>
              <w:t>2</w:t>
            </w:r>
          </w:p>
        </w:tc>
        <w:tc>
          <w:tcPr>
            <w:tcW w:w="440" w:type="pct"/>
            <w:tcBorders>
              <w:tl2br w:val="nil"/>
              <w:tr2bl w:val="nil"/>
            </w:tcBorders>
            <w:shd w:val="clear" w:color="auto" w:fill="auto"/>
            <w:noWrap w:val="0"/>
            <w:vAlign w:val="center"/>
          </w:tcPr>
          <w:p w14:paraId="6F9C738C">
            <w:pPr>
              <w:spacing w:before="31" w:beforeLines="10" w:line="264" w:lineRule="auto"/>
              <w:jc w:val="center"/>
              <w:rPr>
                <w:color w:val="auto"/>
              </w:rPr>
            </w:pPr>
            <w:r>
              <w:rPr>
                <w:color w:val="auto"/>
              </w:rPr>
              <w:t>G2</w:t>
            </w:r>
          </w:p>
        </w:tc>
        <w:tc>
          <w:tcPr>
            <w:tcW w:w="1027" w:type="pct"/>
            <w:tcBorders>
              <w:tl2br w:val="nil"/>
              <w:tr2bl w:val="nil"/>
            </w:tcBorders>
            <w:shd w:val="clear" w:color="auto" w:fill="auto"/>
            <w:noWrap w:val="0"/>
            <w:vAlign w:val="top"/>
          </w:tcPr>
          <w:p w14:paraId="308A4854">
            <w:pPr>
              <w:jc w:val="center"/>
              <w:rPr>
                <w:rFonts w:hint="eastAsia" w:eastAsia="宋体"/>
                <w:color w:val="auto"/>
                <w:lang w:val="en-US" w:eastAsia="zh-CN"/>
              </w:rPr>
            </w:pPr>
            <w:r>
              <w:rPr>
                <w:color w:val="auto"/>
              </w:rPr>
              <w:t>项目</w:t>
            </w:r>
            <w:r>
              <w:rPr>
                <w:rFonts w:hint="eastAsia"/>
                <w:color w:val="auto"/>
                <w:lang w:val="en-US" w:eastAsia="zh-CN"/>
              </w:rPr>
              <w:t>厂址</w:t>
            </w:r>
          </w:p>
        </w:tc>
        <w:tc>
          <w:tcPr>
            <w:tcW w:w="773" w:type="pct"/>
            <w:tcBorders>
              <w:tl2br w:val="nil"/>
              <w:tr2bl w:val="nil"/>
            </w:tcBorders>
            <w:shd w:val="clear" w:color="auto" w:fill="auto"/>
            <w:noWrap w:val="0"/>
            <w:vAlign w:val="center"/>
          </w:tcPr>
          <w:p w14:paraId="521C2A3C">
            <w:pPr>
              <w:jc w:val="center"/>
              <w:rPr>
                <w:color w:val="auto"/>
                <w:szCs w:val="21"/>
              </w:rPr>
            </w:pPr>
            <w:r>
              <w:rPr>
                <w:color w:val="auto"/>
                <w:szCs w:val="21"/>
              </w:rPr>
              <w:t>/</w:t>
            </w:r>
          </w:p>
        </w:tc>
        <w:tc>
          <w:tcPr>
            <w:tcW w:w="763" w:type="pct"/>
            <w:tcBorders>
              <w:tl2br w:val="nil"/>
              <w:tr2bl w:val="nil"/>
            </w:tcBorders>
            <w:shd w:val="clear" w:color="auto" w:fill="auto"/>
            <w:noWrap w:val="0"/>
            <w:vAlign w:val="center"/>
          </w:tcPr>
          <w:p w14:paraId="51C47848">
            <w:pPr>
              <w:adjustRightInd w:val="0"/>
              <w:snapToGrid w:val="0"/>
              <w:jc w:val="center"/>
              <w:rPr>
                <w:color w:val="auto"/>
                <w:szCs w:val="21"/>
              </w:rPr>
            </w:pPr>
            <w:r>
              <w:rPr>
                <w:color w:val="auto"/>
                <w:szCs w:val="21"/>
              </w:rPr>
              <w:t>/</w:t>
            </w:r>
          </w:p>
        </w:tc>
        <w:tc>
          <w:tcPr>
            <w:tcW w:w="641" w:type="pct"/>
            <w:tcBorders>
              <w:tl2br w:val="nil"/>
              <w:tr2bl w:val="nil"/>
            </w:tcBorders>
            <w:shd w:val="clear" w:color="auto" w:fill="auto"/>
            <w:noWrap w:val="0"/>
            <w:vAlign w:val="center"/>
          </w:tcPr>
          <w:p w14:paraId="2184B8E6">
            <w:pPr>
              <w:spacing w:before="31" w:beforeLines="10" w:line="264" w:lineRule="auto"/>
              <w:jc w:val="center"/>
              <w:rPr>
                <w:color w:val="auto"/>
              </w:rPr>
            </w:pPr>
            <w:r>
              <w:rPr>
                <w:color w:val="auto"/>
              </w:rPr>
              <w:t>/</w:t>
            </w:r>
          </w:p>
        </w:tc>
        <w:tc>
          <w:tcPr>
            <w:tcW w:w="846" w:type="pct"/>
            <w:tcBorders>
              <w:tl2br w:val="nil"/>
              <w:tr2bl w:val="nil"/>
            </w:tcBorders>
            <w:shd w:val="clear" w:color="auto" w:fill="auto"/>
            <w:noWrap w:val="0"/>
            <w:vAlign w:val="center"/>
          </w:tcPr>
          <w:p w14:paraId="6D5AA9E4">
            <w:pPr>
              <w:jc w:val="center"/>
              <w:rPr>
                <w:color w:val="auto"/>
                <w:szCs w:val="21"/>
              </w:rPr>
            </w:pPr>
            <w:r>
              <w:rPr>
                <w:color w:val="auto"/>
                <w:szCs w:val="21"/>
              </w:rPr>
              <w:t>项目地</w:t>
            </w:r>
          </w:p>
        </w:tc>
      </w:tr>
      <w:tr w14:paraId="5FCE57D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77106AAB">
            <w:pPr>
              <w:spacing w:before="31" w:beforeLines="10" w:line="264" w:lineRule="auto"/>
              <w:jc w:val="center"/>
              <w:rPr>
                <w:color w:val="auto"/>
              </w:rPr>
            </w:pPr>
            <w:r>
              <w:rPr>
                <w:color w:val="auto"/>
              </w:rPr>
              <w:t>3</w:t>
            </w:r>
          </w:p>
        </w:tc>
        <w:tc>
          <w:tcPr>
            <w:tcW w:w="440" w:type="pct"/>
            <w:tcBorders>
              <w:tl2br w:val="nil"/>
              <w:tr2bl w:val="nil"/>
            </w:tcBorders>
            <w:shd w:val="clear" w:color="auto" w:fill="auto"/>
            <w:noWrap w:val="0"/>
            <w:vAlign w:val="center"/>
          </w:tcPr>
          <w:p w14:paraId="7CA8F312">
            <w:pPr>
              <w:spacing w:before="31" w:beforeLines="10" w:line="264" w:lineRule="auto"/>
              <w:jc w:val="center"/>
              <w:rPr>
                <w:color w:val="auto"/>
              </w:rPr>
            </w:pPr>
            <w:r>
              <w:rPr>
                <w:color w:val="auto"/>
              </w:rPr>
              <w:t>G3</w:t>
            </w:r>
          </w:p>
        </w:tc>
        <w:tc>
          <w:tcPr>
            <w:tcW w:w="1027" w:type="pct"/>
            <w:tcBorders>
              <w:tl2br w:val="nil"/>
              <w:tr2bl w:val="nil"/>
            </w:tcBorders>
            <w:shd w:val="clear" w:color="auto" w:fill="auto"/>
            <w:noWrap w:val="0"/>
            <w:vAlign w:val="top"/>
          </w:tcPr>
          <w:p w14:paraId="10440F22">
            <w:pPr>
              <w:jc w:val="center"/>
              <w:rPr>
                <w:color w:val="auto"/>
              </w:rPr>
            </w:pPr>
            <w:r>
              <w:rPr>
                <w:color w:val="auto"/>
              </w:rPr>
              <w:t>刘桥镇</w:t>
            </w:r>
          </w:p>
        </w:tc>
        <w:tc>
          <w:tcPr>
            <w:tcW w:w="773" w:type="pct"/>
            <w:tcBorders>
              <w:tl2br w:val="nil"/>
              <w:tr2bl w:val="nil"/>
            </w:tcBorders>
            <w:shd w:val="clear" w:color="auto" w:fill="auto"/>
            <w:noWrap w:val="0"/>
            <w:vAlign w:val="center"/>
          </w:tcPr>
          <w:p w14:paraId="5EA58CF6">
            <w:pPr>
              <w:jc w:val="center"/>
              <w:rPr>
                <w:color w:val="auto"/>
                <w:szCs w:val="21"/>
              </w:rPr>
            </w:pPr>
            <w:r>
              <w:rPr>
                <w:color w:val="auto"/>
                <w:szCs w:val="21"/>
              </w:rPr>
              <w:t>NW</w:t>
            </w:r>
          </w:p>
        </w:tc>
        <w:tc>
          <w:tcPr>
            <w:tcW w:w="763" w:type="pct"/>
            <w:tcBorders>
              <w:tl2br w:val="nil"/>
              <w:tr2bl w:val="nil"/>
            </w:tcBorders>
            <w:shd w:val="clear" w:color="auto" w:fill="auto"/>
            <w:noWrap w:val="0"/>
            <w:vAlign w:val="center"/>
          </w:tcPr>
          <w:p w14:paraId="15AA32FF">
            <w:pPr>
              <w:adjustRightInd w:val="0"/>
              <w:snapToGrid w:val="0"/>
              <w:jc w:val="center"/>
              <w:rPr>
                <w:color w:val="auto"/>
                <w:szCs w:val="21"/>
              </w:rPr>
            </w:pPr>
            <w:r>
              <w:rPr>
                <w:color w:val="auto"/>
                <w:szCs w:val="21"/>
              </w:rPr>
              <w:t>1</w:t>
            </w:r>
            <w:r>
              <w:rPr>
                <w:rFonts w:hint="eastAsia"/>
                <w:color w:val="auto"/>
                <w:szCs w:val="21"/>
              </w:rPr>
              <w:t>65</w:t>
            </w:r>
            <w:r>
              <w:rPr>
                <w:color w:val="auto"/>
                <w:szCs w:val="21"/>
              </w:rPr>
              <w:t>0m</w:t>
            </w:r>
          </w:p>
        </w:tc>
        <w:tc>
          <w:tcPr>
            <w:tcW w:w="641" w:type="pct"/>
            <w:tcBorders>
              <w:tl2br w:val="nil"/>
              <w:tr2bl w:val="nil"/>
            </w:tcBorders>
            <w:shd w:val="clear" w:color="auto" w:fill="auto"/>
            <w:noWrap w:val="0"/>
            <w:vAlign w:val="center"/>
          </w:tcPr>
          <w:p w14:paraId="4646B9C6">
            <w:pPr>
              <w:spacing w:before="31" w:beforeLines="10" w:line="264" w:lineRule="auto"/>
              <w:jc w:val="center"/>
              <w:rPr>
                <w:color w:val="auto"/>
              </w:rPr>
            </w:pPr>
            <w:r>
              <w:rPr>
                <w:color w:val="auto"/>
              </w:rPr>
              <w:t>居民区</w:t>
            </w:r>
          </w:p>
        </w:tc>
        <w:tc>
          <w:tcPr>
            <w:tcW w:w="846" w:type="pct"/>
            <w:tcBorders>
              <w:tl2br w:val="nil"/>
              <w:tr2bl w:val="nil"/>
            </w:tcBorders>
            <w:shd w:val="clear" w:color="auto" w:fill="auto"/>
            <w:noWrap w:val="0"/>
            <w:vAlign w:val="center"/>
          </w:tcPr>
          <w:p w14:paraId="79C35996">
            <w:pPr>
              <w:jc w:val="center"/>
              <w:rPr>
                <w:color w:val="auto"/>
                <w:szCs w:val="21"/>
              </w:rPr>
            </w:pPr>
            <w:r>
              <w:rPr>
                <w:color w:val="auto"/>
                <w:szCs w:val="21"/>
              </w:rPr>
              <w:t>侧风向敏感点</w:t>
            </w:r>
          </w:p>
        </w:tc>
      </w:tr>
      <w:tr w14:paraId="35EDF0C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692E6008">
            <w:pPr>
              <w:spacing w:before="31" w:beforeLines="10" w:line="264" w:lineRule="auto"/>
              <w:jc w:val="center"/>
              <w:rPr>
                <w:color w:val="auto"/>
              </w:rPr>
            </w:pPr>
            <w:r>
              <w:rPr>
                <w:color w:val="auto"/>
              </w:rPr>
              <w:t>4</w:t>
            </w:r>
          </w:p>
        </w:tc>
        <w:tc>
          <w:tcPr>
            <w:tcW w:w="440" w:type="pct"/>
            <w:tcBorders>
              <w:tl2br w:val="nil"/>
              <w:tr2bl w:val="nil"/>
            </w:tcBorders>
            <w:shd w:val="clear" w:color="auto" w:fill="auto"/>
            <w:noWrap w:val="0"/>
            <w:vAlign w:val="center"/>
          </w:tcPr>
          <w:p w14:paraId="01C4F0F7">
            <w:pPr>
              <w:spacing w:before="31" w:beforeLines="10" w:line="264" w:lineRule="auto"/>
              <w:jc w:val="center"/>
              <w:rPr>
                <w:color w:val="auto"/>
              </w:rPr>
            </w:pPr>
            <w:r>
              <w:rPr>
                <w:color w:val="auto"/>
              </w:rPr>
              <w:t>G4</w:t>
            </w:r>
          </w:p>
        </w:tc>
        <w:tc>
          <w:tcPr>
            <w:tcW w:w="1027" w:type="pct"/>
            <w:tcBorders>
              <w:tl2br w:val="nil"/>
              <w:tr2bl w:val="nil"/>
            </w:tcBorders>
            <w:shd w:val="clear" w:color="auto" w:fill="auto"/>
            <w:noWrap w:val="0"/>
            <w:vAlign w:val="top"/>
          </w:tcPr>
          <w:p w14:paraId="3711C2D6">
            <w:pPr>
              <w:jc w:val="center"/>
              <w:rPr>
                <w:color w:val="auto"/>
              </w:rPr>
            </w:pPr>
            <w:r>
              <w:rPr>
                <w:color w:val="auto"/>
              </w:rPr>
              <w:t>公租房区</w:t>
            </w:r>
          </w:p>
          <w:p w14:paraId="5C2652B9">
            <w:pPr>
              <w:jc w:val="center"/>
              <w:rPr>
                <w:rFonts w:hint="eastAsia" w:eastAsia="宋体"/>
                <w:color w:val="auto"/>
                <w:lang w:eastAsia="zh-CN"/>
              </w:rPr>
            </w:pP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773" w:type="pct"/>
            <w:tcBorders>
              <w:tl2br w:val="nil"/>
              <w:tr2bl w:val="nil"/>
            </w:tcBorders>
            <w:shd w:val="clear" w:color="auto" w:fill="auto"/>
            <w:noWrap w:val="0"/>
            <w:vAlign w:val="center"/>
          </w:tcPr>
          <w:p w14:paraId="4C40BF89">
            <w:pPr>
              <w:adjustRightInd w:val="0"/>
              <w:snapToGrid w:val="0"/>
              <w:jc w:val="center"/>
              <w:rPr>
                <w:color w:val="auto"/>
                <w:szCs w:val="21"/>
              </w:rPr>
            </w:pPr>
            <w:r>
              <w:rPr>
                <w:color w:val="auto"/>
                <w:szCs w:val="21"/>
              </w:rPr>
              <w:t>E</w:t>
            </w:r>
          </w:p>
        </w:tc>
        <w:tc>
          <w:tcPr>
            <w:tcW w:w="763" w:type="pct"/>
            <w:tcBorders>
              <w:tl2br w:val="nil"/>
              <w:tr2bl w:val="nil"/>
            </w:tcBorders>
            <w:shd w:val="clear" w:color="auto" w:fill="auto"/>
            <w:noWrap w:val="0"/>
            <w:vAlign w:val="center"/>
          </w:tcPr>
          <w:p w14:paraId="519F87A5">
            <w:pPr>
              <w:adjustRightInd w:val="0"/>
              <w:snapToGrid w:val="0"/>
              <w:jc w:val="center"/>
              <w:rPr>
                <w:color w:val="auto"/>
                <w:szCs w:val="21"/>
              </w:rPr>
            </w:pPr>
            <w:r>
              <w:rPr>
                <w:color w:val="auto"/>
                <w:szCs w:val="21"/>
              </w:rPr>
              <w:t>13</w:t>
            </w:r>
            <w:r>
              <w:rPr>
                <w:rFonts w:hint="eastAsia"/>
                <w:color w:val="auto"/>
                <w:szCs w:val="21"/>
              </w:rPr>
              <w:t>3</w:t>
            </w:r>
            <w:r>
              <w:rPr>
                <w:color w:val="auto"/>
                <w:szCs w:val="21"/>
              </w:rPr>
              <w:t>0m</w:t>
            </w:r>
          </w:p>
        </w:tc>
        <w:tc>
          <w:tcPr>
            <w:tcW w:w="641" w:type="pct"/>
            <w:tcBorders>
              <w:tl2br w:val="nil"/>
              <w:tr2bl w:val="nil"/>
            </w:tcBorders>
            <w:shd w:val="clear" w:color="auto" w:fill="auto"/>
            <w:noWrap w:val="0"/>
            <w:vAlign w:val="center"/>
          </w:tcPr>
          <w:p w14:paraId="5C6B0DD5">
            <w:pPr>
              <w:spacing w:before="31" w:beforeLines="10" w:line="264" w:lineRule="auto"/>
              <w:jc w:val="center"/>
              <w:rPr>
                <w:color w:val="auto"/>
              </w:rPr>
            </w:pPr>
            <w:r>
              <w:rPr>
                <w:color w:val="auto"/>
              </w:rPr>
              <w:t>居民区</w:t>
            </w:r>
          </w:p>
        </w:tc>
        <w:tc>
          <w:tcPr>
            <w:tcW w:w="846" w:type="pct"/>
            <w:tcBorders>
              <w:tl2br w:val="nil"/>
              <w:tr2bl w:val="nil"/>
            </w:tcBorders>
            <w:shd w:val="clear" w:color="auto" w:fill="auto"/>
            <w:noWrap w:val="0"/>
            <w:vAlign w:val="center"/>
          </w:tcPr>
          <w:p w14:paraId="140F1EFE">
            <w:pPr>
              <w:jc w:val="center"/>
              <w:rPr>
                <w:color w:val="auto"/>
                <w:szCs w:val="21"/>
              </w:rPr>
            </w:pPr>
            <w:r>
              <w:rPr>
                <w:color w:val="auto"/>
                <w:szCs w:val="21"/>
              </w:rPr>
              <w:t>侧风向敏感点</w:t>
            </w:r>
          </w:p>
        </w:tc>
      </w:tr>
      <w:tr w14:paraId="390343F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0624EB5C">
            <w:pPr>
              <w:spacing w:before="31" w:beforeLines="10" w:line="264" w:lineRule="auto"/>
              <w:jc w:val="center"/>
              <w:rPr>
                <w:color w:val="auto"/>
              </w:rPr>
            </w:pPr>
            <w:r>
              <w:rPr>
                <w:color w:val="auto"/>
              </w:rPr>
              <w:t>5</w:t>
            </w:r>
          </w:p>
        </w:tc>
        <w:tc>
          <w:tcPr>
            <w:tcW w:w="440" w:type="pct"/>
            <w:tcBorders>
              <w:tl2br w:val="nil"/>
              <w:tr2bl w:val="nil"/>
            </w:tcBorders>
            <w:shd w:val="clear" w:color="auto" w:fill="auto"/>
            <w:noWrap w:val="0"/>
            <w:vAlign w:val="center"/>
          </w:tcPr>
          <w:p w14:paraId="1EB02ECF">
            <w:pPr>
              <w:spacing w:before="31" w:beforeLines="10" w:line="264" w:lineRule="auto"/>
              <w:jc w:val="center"/>
              <w:rPr>
                <w:color w:val="auto"/>
              </w:rPr>
            </w:pPr>
            <w:r>
              <w:rPr>
                <w:color w:val="auto"/>
              </w:rPr>
              <w:t>G5</w:t>
            </w:r>
          </w:p>
        </w:tc>
        <w:tc>
          <w:tcPr>
            <w:tcW w:w="1027" w:type="pct"/>
            <w:tcBorders>
              <w:tl2br w:val="nil"/>
              <w:tr2bl w:val="nil"/>
            </w:tcBorders>
            <w:shd w:val="clear" w:color="auto" w:fill="auto"/>
            <w:noWrap w:val="0"/>
            <w:vAlign w:val="top"/>
          </w:tcPr>
          <w:p w14:paraId="1BEAB009">
            <w:pPr>
              <w:jc w:val="center"/>
              <w:rPr>
                <w:color w:val="auto"/>
              </w:rPr>
            </w:pPr>
            <w:r>
              <w:rPr>
                <w:color w:val="auto"/>
              </w:rPr>
              <w:t>赵楼村</w:t>
            </w:r>
          </w:p>
        </w:tc>
        <w:tc>
          <w:tcPr>
            <w:tcW w:w="773" w:type="pct"/>
            <w:tcBorders>
              <w:tl2br w:val="nil"/>
              <w:tr2bl w:val="nil"/>
            </w:tcBorders>
            <w:shd w:val="clear" w:color="auto" w:fill="auto"/>
            <w:noWrap w:val="0"/>
            <w:vAlign w:val="center"/>
          </w:tcPr>
          <w:p w14:paraId="58C29BEB">
            <w:pPr>
              <w:adjustRightInd w:val="0"/>
              <w:snapToGrid w:val="0"/>
              <w:jc w:val="center"/>
              <w:rPr>
                <w:color w:val="auto"/>
                <w:szCs w:val="21"/>
              </w:rPr>
            </w:pPr>
            <w:r>
              <w:rPr>
                <w:color w:val="auto"/>
                <w:szCs w:val="21"/>
              </w:rPr>
              <w:t>W</w:t>
            </w:r>
          </w:p>
        </w:tc>
        <w:tc>
          <w:tcPr>
            <w:tcW w:w="763" w:type="pct"/>
            <w:tcBorders>
              <w:tl2br w:val="nil"/>
              <w:tr2bl w:val="nil"/>
            </w:tcBorders>
            <w:shd w:val="clear" w:color="auto" w:fill="auto"/>
            <w:noWrap w:val="0"/>
            <w:vAlign w:val="center"/>
          </w:tcPr>
          <w:p w14:paraId="52F86629">
            <w:pPr>
              <w:adjustRightInd w:val="0"/>
              <w:snapToGrid w:val="0"/>
              <w:jc w:val="center"/>
              <w:rPr>
                <w:color w:val="auto"/>
                <w:szCs w:val="21"/>
              </w:rPr>
            </w:pPr>
            <w:r>
              <w:rPr>
                <w:rFonts w:hint="eastAsia"/>
                <w:color w:val="auto"/>
                <w:szCs w:val="21"/>
              </w:rPr>
              <w:t>1000</w:t>
            </w:r>
            <w:r>
              <w:rPr>
                <w:color w:val="auto"/>
                <w:szCs w:val="21"/>
              </w:rPr>
              <w:t>m</w:t>
            </w:r>
          </w:p>
        </w:tc>
        <w:tc>
          <w:tcPr>
            <w:tcW w:w="641" w:type="pct"/>
            <w:tcBorders>
              <w:tl2br w:val="nil"/>
              <w:tr2bl w:val="nil"/>
            </w:tcBorders>
            <w:shd w:val="clear" w:color="auto" w:fill="auto"/>
            <w:noWrap w:val="0"/>
            <w:vAlign w:val="center"/>
          </w:tcPr>
          <w:p w14:paraId="2E47D779">
            <w:pPr>
              <w:spacing w:before="31" w:beforeLines="10" w:line="264" w:lineRule="auto"/>
              <w:jc w:val="center"/>
              <w:rPr>
                <w:color w:val="auto"/>
              </w:rPr>
            </w:pPr>
            <w:r>
              <w:rPr>
                <w:color w:val="auto"/>
              </w:rPr>
              <w:t>村  庄</w:t>
            </w:r>
          </w:p>
        </w:tc>
        <w:tc>
          <w:tcPr>
            <w:tcW w:w="846" w:type="pct"/>
            <w:tcBorders>
              <w:tl2br w:val="nil"/>
              <w:tr2bl w:val="nil"/>
            </w:tcBorders>
            <w:shd w:val="clear" w:color="auto" w:fill="auto"/>
            <w:noWrap w:val="0"/>
            <w:vAlign w:val="center"/>
          </w:tcPr>
          <w:p w14:paraId="3D824790">
            <w:pPr>
              <w:jc w:val="center"/>
              <w:rPr>
                <w:color w:val="auto"/>
                <w:szCs w:val="21"/>
              </w:rPr>
            </w:pPr>
            <w:r>
              <w:rPr>
                <w:color w:val="auto"/>
                <w:szCs w:val="21"/>
              </w:rPr>
              <w:t>下风向参照点</w:t>
            </w:r>
          </w:p>
        </w:tc>
      </w:tr>
      <w:tr w14:paraId="17125F9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2AF744DA">
            <w:pPr>
              <w:spacing w:before="31" w:beforeLines="10" w:line="264" w:lineRule="auto"/>
              <w:jc w:val="center"/>
              <w:rPr>
                <w:color w:val="auto"/>
              </w:rPr>
            </w:pPr>
            <w:r>
              <w:rPr>
                <w:color w:val="auto"/>
              </w:rPr>
              <w:t>6</w:t>
            </w:r>
          </w:p>
        </w:tc>
        <w:tc>
          <w:tcPr>
            <w:tcW w:w="440" w:type="pct"/>
            <w:tcBorders>
              <w:tl2br w:val="nil"/>
              <w:tr2bl w:val="nil"/>
            </w:tcBorders>
            <w:shd w:val="clear" w:color="auto" w:fill="auto"/>
            <w:noWrap w:val="0"/>
            <w:vAlign w:val="center"/>
          </w:tcPr>
          <w:p w14:paraId="36D71CEC">
            <w:pPr>
              <w:spacing w:before="31" w:beforeLines="10" w:line="264" w:lineRule="auto"/>
              <w:jc w:val="center"/>
              <w:rPr>
                <w:color w:val="auto"/>
              </w:rPr>
            </w:pPr>
            <w:r>
              <w:rPr>
                <w:color w:val="auto"/>
              </w:rPr>
              <w:t>G6</w:t>
            </w:r>
          </w:p>
        </w:tc>
        <w:tc>
          <w:tcPr>
            <w:tcW w:w="1027" w:type="pct"/>
            <w:tcBorders>
              <w:tl2br w:val="nil"/>
              <w:tr2bl w:val="nil"/>
            </w:tcBorders>
            <w:shd w:val="clear" w:color="auto" w:fill="auto"/>
            <w:noWrap w:val="0"/>
            <w:vAlign w:val="top"/>
          </w:tcPr>
          <w:p w14:paraId="63E5FD57">
            <w:pPr>
              <w:jc w:val="center"/>
              <w:rPr>
                <w:color w:val="auto"/>
              </w:rPr>
            </w:pPr>
            <w:r>
              <w:rPr>
                <w:color w:val="auto"/>
              </w:rPr>
              <w:t>王埝村</w:t>
            </w:r>
          </w:p>
        </w:tc>
        <w:tc>
          <w:tcPr>
            <w:tcW w:w="773" w:type="pct"/>
            <w:tcBorders>
              <w:tl2br w:val="nil"/>
              <w:tr2bl w:val="nil"/>
            </w:tcBorders>
            <w:shd w:val="clear" w:color="auto" w:fill="auto"/>
            <w:noWrap w:val="0"/>
            <w:vAlign w:val="center"/>
          </w:tcPr>
          <w:p w14:paraId="2AFA035F">
            <w:pPr>
              <w:adjustRightInd w:val="0"/>
              <w:snapToGrid w:val="0"/>
              <w:jc w:val="center"/>
              <w:rPr>
                <w:color w:val="auto"/>
                <w:szCs w:val="21"/>
              </w:rPr>
            </w:pPr>
            <w:r>
              <w:rPr>
                <w:color w:val="auto"/>
                <w:szCs w:val="21"/>
              </w:rPr>
              <w:t>SW</w:t>
            </w:r>
          </w:p>
        </w:tc>
        <w:tc>
          <w:tcPr>
            <w:tcW w:w="763" w:type="pct"/>
            <w:tcBorders>
              <w:tl2br w:val="nil"/>
              <w:tr2bl w:val="nil"/>
            </w:tcBorders>
            <w:shd w:val="clear" w:color="auto" w:fill="auto"/>
            <w:noWrap w:val="0"/>
            <w:vAlign w:val="center"/>
          </w:tcPr>
          <w:p w14:paraId="23F14C03">
            <w:pPr>
              <w:adjustRightInd w:val="0"/>
              <w:snapToGrid w:val="0"/>
              <w:jc w:val="center"/>
              <w:rPr>
                <w:color w:val="auto"/>
                <w:szCs w:val="21"/>
              </w:rPr>
            </w:pPr>
            <w:r>
              <w:rPr>
                <w:color w:val="auto"/>
                <w:szCs w:val="21"/>
              </w:rPr>
              <w:t>1</w:t>
            </w:r>
            <w:r>
              <w:rPr>
                <w:rFonts w:hint="eastAsia"/>
                <w:color w:val="auto"/>
                <w:szCs w:val="21"/>
              </w:rPr>
              <w:t>75</w:t>
            </w:r>
            <w:r>
              <w:rPr>
                <w:color w:val="auto"/>
                <w:szCs w:val="21"/>
              </w:rPr>
              <w:t>0m</w:t>
            </w:r>
          </w:p>
        </w:tc>
        <w:tc>
          <w:tcPr>
            <w:tcW w:w="641" w:type="pct"/>
            <w:tcBorders>
              <w:tl2br w:val="nil"/>
              <w:tr2bl w:val="nil"/>
            </w:tcBorders>
            <w:shd w:val="clear" w:color="auto" w:fill="auto"/>
            <w:noWrap w:val="0"/>
            <w:vAlign w:val="center"/>
          </w:tcPr>
          <w:p w14:paraId="7EE8F2AB">
            <w:pPr>
              <w:spacing w:before="31" w:beforeLines="10" w:line="264" w:lineRule="auto"/>
              <w:jc w:val="center"/>
              <w:rPr>
                <w:color w:val="auto"/>
              </w:rPr>
            </w:pPr>
            <w:r>
              <w:rPr>
                <w:color w:val="auto"/>
              </w:rPr>
              <w:t>村  庄</w:t>
            </w:r>
          </w:p>
        </w:tc>
        <w:tc>
          <w:tcPr>
            <w:tcW w:w="846" w:type="pct"/>
            <w:tcBorders>
              <w:tl2br w:val="nil"/>
              <w:tr2bl w:val="nil"/>
            </w:tcBorders>
            <w:shd w:val="clear" w:color="auto" w:fill="auto"/>
            <w:noWrap w:val="0"/>
            <w:vAlign w:val="center"/>
          </w:tcPr>
          <w:p w14:paraId="1A280A04">
            <w:pPr>
              <w:jc w:val="center"/>
              <w:rPr>
                <w:color w:val="auto"/>
                <w:szCs w:val="21"/>
              </w:rPr>
            </w:pPr>
            <w:r>
              <w:rPr>
                <w:color w:val="auto"/>
                <w:szCs w:val="21"/>
              </w:rPr>
              <w:t>下风向参照点</w:t>
            </w:r>
          </w:p>
        </w:tc>
      </w:tr>
    </w:tbl>
    <w:p w14:paraId="3DECBA4C">
      <w:pPr>
        <w:jc w:val="center"/>
        <w:rPr>
          <w:b/>
          <w:bCs/>
          <w:color w:val="auto"/>
          <w:sz w:val="24"/>
          <w:szCs w:val="32"/>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79CFEBB8">
      <w:pPr>
        <w:jc w:val="center"/>
        <w:rPr>
          <w:rFonts w:hint="eastAsia" w:eastAsia="宋体"/>
          <w:b/>
          <w:bCs/>
          <w:color w:val="auto"/>
          <w:sz w:val="24"/>
          <w:szCs w:val="32"/>
          <w:lang w:eastAsia="zh-CN"/>
        </w:rPr>
      </w:pPr>
      <w:r>
        <w:rPr>
          <w:color w:val="auto"/>
          <w:sz w:val="24"/>
        </w:rPr>
        <mc:AlternateContent>
          <mc:Choice Requires="wps">
            <w:drawing>
              <wp:anchor distT="0" distB="0" distL="114300" distR="114300" simplePos="0" relativeHeight="251768832" behindDoc="0" locked="0" layoutInCell="1" allowOverlap="1">
                <wp:simplePos x="0" y="0"/>
                <wp:positionH relativeFrom="column">
                  <wp:posOffset>5336540</wp:posOffset>
                </wp:positionH>
                <wp:positionV relativeFrom="paragraph">
                  <wp:posOffset>1104900</wp:posOffset>
                </wp:positionV>
                <wp:extent cx="1256030" cy="298450"/>
                <wp:effectExtent l="0" t="0" r="0" b="0"/>
                <wp:wrapNone/>
                <wp:docPr id="152" name="文本框 152"/>
                <wp:cNvGraphicFramePr/>
                <a:graphic xmlns:a="http://schemas.openxmlformats.org/drawingml/2006/main">
                  <a:graphicData uri="http://schemas.microsoft.com/office/word/2010/wordprocessingShape">
                    <wps:wsp>
                      <wps:cNvSpPr txBox="1"/>
                      <wps:spPr>
                        <a:xfrm>
                          <a:off x="6708140" y="157480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0FA6C5">
                            <w:pPr>
                              <w:rPr>
                                <w:rFonts w:hint="default" w:eastAsia="宋体"/>
                                <w:b/>
                                <w:bCs/>
                                <w:color w:val="FFFF00"/>
                                <w:lang w:val="en-US" w:eastAsia="zh-CN"/>
                              </w:rPr>
                            </w:pPr>
                            <w:r>
                              <w:rPr>
                                <w:rFonts w:hint="eastAsia"/>
                                <w:b/>
                                <w:bCs/>
                                <w:color w:val="FFFF00"/>
                                <w:lang w:val="en-US" w:eastAsia="zh-CN"/>
                              </w:rPr>
                              <w:t>G1</w:t>
                            </w:r>
                            <w:r>
                              <w:rPr>
                                <w:b/>
                                <w:bCs/>
                                <w:color w:val="FFFF00"/>
                              </w:rPr>
                              <w:t>星河花园小区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0.2pt;margin-top:87pt;height:23.5pt;width:98.9pt;z-index:251768832;mso-width-relative:page;mso-height-relative:page;" filled="f" stroked="f" coordsize="21600,21600" o:gfxdata="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gMBbGtsAAAAMAQAADwAAAAAAAAAB&#10;ACAAAAAiAAAAZHJzL2Rvd25yZXYueG1sUEsBAhQAFAAAAAgAh07iQKunVeFGAgAAdgQAAA4AAAAA&#10;AAAAAQAgAAAAKgEAAGRycy9lMm9Eb2MueG1sUEsFBgAAAAAGAAYAWQEAAOIFAAAAAA==&#10;">
                <v:fill on="f" focussize="0,0"/>
                <v:stroke on="f" weight="0.5pt"/>
                <v:imagedata o:title=""/>
                <o:lock v:ext="edit" aspectratio="f"/>
                <v:textbox>
                  <w:txbxContent>
                    <w:p w14:paraId="7C0FA6C5">
                      <w:pPr>
                        <w:rPr>
                          <w:rFonts w:hint="default" w:eastAsia="宋体"/>
                          <w:b/>
                          <w:bCs/>
                          <w:color w:val="FFFF00"/>
                          <w:lang w:val="en-US" w:eastAsia="zh-CN"/>
                        </w:rPr>
                      </w:pPr>
                      <w:r>
                        <w:rPr>
                          <w:rFonts w:hint="eastAsia"/>
                          <w:b/>
                          <w:bCs/>
                          <w:color w:val="FFFF00"/>
                          <w:lang w:val="en-US" w:eastAsia="zh-CN"/>
                        </w:rPr>
                        <w:t>G1</w:t>
                      </w:r>
                      <w:r>
                        <w:rPr>
                          <w:b/>
                          <w:bCs/>
                          <w:color w:val="FFFF00"/>
                        </w:rPr>
                        <w:t>星河花园小区</w:t>
                      </w:r>
                    </w:p>
                  </w:txbxContent>
                </v:textbox>
              </v:shape>
            </w:pict>
          </mc:Fallback>
        </mc:AlternateContent>
      </w:r>
      <w:r>
        <w:rPr>
          <w:color w:val="auto"/>
          <w:sz w:val="24"/>
        </w:rPr>
        <mc:AlternateContent>
          <mc:Choice Requires="wps">
            <w:drawing>
              <wp:anchor distT="0" distB="0" distL="114300" distR="114300" simplePos="0" relativeHeight="251770880" behindDoc="0" locked="0" layoutInCell="1" allowOverlap="1">
                <wp:simplePos x="0" y="0"/>
                <wp:positionH relativeFrom="column">
                  <wp:posOffset>4593590</wp:posOffset>
                </wp:positionH>
                <wp:positionV relativeFrom="paragraph">
                  <wp:posOffset>2794000</wp:posOffset>
                </wp:positionV>
                <wp:extent cx="1256030" cy="298450"/>
                <wp:effectExtent l="0" t="0" r="0" b="0"/>
                <wp:wrapNone/>
                <wp:docPr id="154" name="文本框 154"/>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264DE2">
                            <w:pPr>
                              <w:rPr>
                                <w:rFonts w:hint="default" w:eastAsia="宋体"/>
                                <w:b/>
                                <w:bCs/>
                                <w:color w:val="FFFF00"/>
                                <w:lang w:val="en-US" w:eastAsia="zh-CN"/>
                              </w:rPr>
                            </w:pPr>
                            <w:r>
                              <w:rPr>
                                <w:rFonts w:hint="eastAsia"/>
                                <w:b/>
                                <w:bCs/>
                                <w:color w:val="FFFF00"/>
                                <w:lang w:val="en-US" w:eastAsia="zh-CN"/>
                              </w:rPr>
                              <w:t>G2项目厂址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1.7pt;margin-top:220pt;height:23.5pt;width:98.9pt;z-index:251770880;mso-width-relative:page;mso-height-relative:page;" filled="f" stroked="f" coordsize="21600,21600" o:gfxdata="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QUln9wAAAALAQAADwAAAAAAAAABACAAAAAiAAAA&#10;ZHJzL2Rvd25yZXYueG1sUEsBAhQAFAAAAAgAh07iQKF0sGQ8AgAAagQAAA4AAAAAAAAAAQAgAAAA&#10;KwEAAGRycy9lMm9Eb2MueG1sUEsFBgAAAAAGAAYAWQEAANkFAAAAAA==&#10;">
                <v:fill on="f" focussize="0,0"/>
                <v:stroke on="f" weight="0.5pt"/>
                <v:imagedata o:title=""/>
                <o:lock v:ext="edit" aspectratio="f"/>
                <v:textbox>
                  <w:txbxContent>
                    <w:p w14:paraId="1F264DE2">
                      <w:pPr>
                        <w:rPr>
                          <w:rFonts w:hint="default" w:eastAsia="宋体"/>
                          <w:b/>
                          <w:bCs/>
                          <w:color w:val="FFFF00"/>
                          <w:lang w:val="en-US" w:eastAsia="zh-CN"/>
                        </w:rPr>
                      </w:pPr>
                      <w:r>
                        <w:rPr>
                          <w:rFonts w:hint="eastAsia"/>
                          <w:b/>
                          <w:bCs/>
                          <w:color w:val="FFFF00"/>
                          <w:lang w:val="en-US" w:eastAsia="zh-CN"/>
                        </w:rPr>
                        <w:t>G2项目厂址</w:t>
                      </w:r>
                    </w:p>
                  </w:txbxContent>
                </v:textbox>
              </v:shape>
            </w:pict>
          </mc:Fallback>
        </mc:AlternateContent>
      </w:r>
      <w:r>
        <w:rPr>
          <w:color w:val="auto"/>
          <w:sz w:val="24"/>
        </w:rPr>
        <mc:AlternateContent>
          <mc:Choice Requires="wps">
            <w:drawing>
              <wp:anchor distT="0" distB="0" distL="114300" distR="114300" simplePos="0" relativeHeight="251767808" behindDoc="0" locked="0" layoutInCell="1" allowOverlap="1">
                <wp:simplePos x="0" y="0"/>
                <wp:positionH relativeFrom="column">
                  <wp:posOffset>5330190</wp:posOffset>
                </wp:positionH>
                <wp:positionV relativeFrom="paragraph">
                  <wp:posOffset>1024890</wp:posOffset>
                </wp:positionV>
                <wp:extent cx="165100" cy="165100"/>
                <wp:effectExtent l="4445" t="4445" r="20955" b="20955"/>
                <wp:wrapNone/>
                <wp:docPr id="151" name="椭圆 151"/>
                <wp:cNvGraphicFramePr/>
                <a:graphic xmlns:a="http://schemas.openxmlformats.org/drawingml/2006/main">
                  <a:graphicData uri="http://schemas.microsoft.com/office/word/2010/wordprocessingShape">
                    <wps:wsp>
                      <wps:cNvSpPr/>
                      <wps:spPr>
                        <a:xfrm>
                          <a:off x="6625590" y="136144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19.7pt;margin-top:80.7pt;height:13pt;width:13pt;z-index:251767808;v-text-anchor:middle;mso-width-relative:page;mso-height-relative:page;" fillcolor="#FFFF00" filled="t" stroked="t" coordsize="21600,21600" o:gfxdata="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U4wn91gAAAAsBAAAPAAAAAAAAAAEAIAAA&#10;ACIAAABkcnMvZG93bnJldi54bWxQSwECFAAUAAAACACHTuJAp2Jg14ACAAAQBQAADgAAAAAAAAAB&#10;ACAAAAAlAQAAZHJzL2Uyb0RvYy54bWxQSwUGAAAAAAYABgBZAQAAFwYAAAAA&#10;">
                <v:fill on="t" focussize="0,0"/>
                <v:stroke weight="0.25pt" color="#376092 [2404]" joinstyle="round"/>
                <v:imagedata o:title=""/>
                <o:lock v:ext="edit" aspectratio="f"/>
              </v:shape>
            </w:pict>
          </mc:Fallback>
        </mc:AlternateContent>
      </w:r>
      <w:r>
        <w:rPr>
          <w:color w:val="auto"/>
        </w:rPr>
        <w:drawing>
          <wp:anchor distT="0" distB="0" distL="114300" distR="114300" simplePos="0" relativeHeight="251784192" behindDoc="0" locked="0" layoutInCell="1" allowOverlap="1">
            <wp:simplePos x="0" y="0"/>
            <wp:positionH relativeFrom="column">
              <wp:posOffset>7078345</wp:posOffset>
            </wp:positionH>
            <wp:positionV relativeFrom="paragraph">
              <wp:posOffset>9525</wp:posOffset>
            </wp:positionV>
            <wp:extent cx="904875" cy="1220470"/>
            <wp:effectExtent l="0" t="0" r="9525" b="17780"/>
            <wp:wrapNone/>
            <wp:docPr id="171" name="图片 171"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风向标"/>
                    <pic:cNvPicPr>
                      <a:picLocks noChangeAspect="1"/>
                    </pic:cNvPicPr>
                  </pic:nvPicPr>
                  <pic:blipFill>
                    <a:blip r:embed="rId18"/>
                    <a:srcRect l="8090" t="1916" r="5231" b="6034"/>
                    <a:stretch>
                      <a:fillRect/>
                    </a:stretch>
                  </pic:blipFill>
                  <pic:spPr>
                    <a:xfrm>
                      <a:off x="0" y="0"/>
                      <a:ext cx="904875" cy="1220470"/>
                    </a:xfrm>
                    <a:prstGeom prst="rect">
                      <a:avLst/>
                    </a:prstGeom>
                  </pic:spPr>
                </pic:pic>
              </a:graphicData>
            </a:graphic>
          </wp:anchor>
        </w:drawing>
      </w:r>
      <w:r>
        <w:rPr>
          <w:color w:val="auto"/>
          <w:sz w:val="24"/>
        </w:rPr>
        <mc:AlternateContent>
          <mc:Choice Requires="wps">
            <w:drawing>
              <wp:anchor distT="0" distB="0" distL="114300" distR="114300" simplePos="0" relativeHeight="251783168" behindDoc="0" locked="0" layoutInCell="1" allowOverlap="1">
                <wp:simplePos x="0" y="0"/>
                <wp:positionH relativeFrom="column">
                  <wp:posOffset>1139190</wp:posOffset>
                </wp:positionH>
                <wp:positionV relativeFrom="paragraph">
                  <wp:posOffset>5323840</wp:posOffset>
                </wp:positionV>
                <wp:extent cx="165100" cy="165100"/>
                <wp:effectExtent l="4445" t="4445" r="20955" b="20955"/>
                <wp:wrapNone/>
                <wp:docPr id="170" name="椭圆 170"/>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89.7pt;margin-top:419.2pt;height:13pt;width:13pt;z-index:251783168;v-text-anchor:middle;mso-width-relative:page;mso-height-relative:page;" fillcolor="#FFFF00" filled="t" stroked="t" coordsize="21600,21600" o:gfxdata="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En7zFTXAAAACwEAAA8AAAAAAAAAAQAgAAAAIgAAAGRycy9k&#10;b3ducmV2LnhtbFBLAQIUABQAAAAIAIdO4kDACeyvdQIAAAQFAAAOAAAAAAAAAAEAIAAAACYBAABk&#10;cnMvZTJvRG9jLnhtbFBLBQYAAAAABgAGAFkBAAAN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82144" behindDoc="0" locked="0" layoutInCell="1" allowOverlap="1">
                <wp:simplePos x="0" y="0"/>
                <wp:positionH relativeFrom="column">
                  <wp:posOffset>1101090</wp:posOffset>
                </wp:positionH>
                <wp:positionV relativeFrom="paragraph">
                  <wp:posOffset>5161280</wp:posOffset>
                </wp:positionV>
                <wp:extent cx="228600" cy="139700"/>
                <wp:effectExtent l="6350" t="6350" r="12700" b="6350"/>
                <wp:wrapNone/>
                <wp:docPr id="169" name="矩形 169"/>
                <wp:cNvGraphicFramePr/>
                <a:graphic xmlns:a="http://schemas.openxmlformats.org/drawingml/2006/main">
                  <a:graphicData uri="http://schemas.microsoft.com/office/word/2010/wordprocessingShape">
                    <wps:wsp>
                      <wps:cNvSpPr/>
                      <wps:spPr>
                        <a:xfrm>
                          <a:off x="2015490" y="5885180"/>
                          <a:ext cx="228600" cy="1397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6.7pt;margin-top:406.4pt;height:11pt;width:18pt;z-index:251782144;v-text-anchor:middle;mso-width-relative:page;mso-height-relative:page;" filled="f" stroked="t" coordsize="21600,21600" o:gfxdata="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cnyOPVAAAACwEAAA8AAAAAAAAAAQAgAAAAIgAAAGRycy9kb3ducmV2LnhtbFBLAQIU&#10;ABQAAAAIAIdO4kDtva8FaAIAAMMEAAAOAAAAAAAAAAEAIAAAACQBAABkcnMvZTJvRG9jLnhtbFBL&#10;BQYAAAAABgAGAFkBAAD+BQAAAAA=&#10;">
                <v:fill on="f" focussize="0,0"/>
                <v:stroke weight="1pt" color="#FF0000 [2404]" joinstyle="round"/>
                <v:imagedata o:title=""/>
                <o:lock v:ext="edit" aspectratio="f"/>
              </v:rect>
            </w:pict>
          </mc:Fallback>
        </mc:AlternateContent>
      </w:r>
      <w:r>
        <w:rPr>
          <w:color w:val="auto"/>
          <w:sz w:val="24"/>
        </w:rPr>
        <mc:AlternateContent>
          <mc:Choice Requires="wps">
            <w:drawing>
              <wp:anchor distT="0" distB="0" distL="114300" distR="114300" simplePos="0" relativeHeight="251781120" behindDoc="0" locked="0" layoutInCell="1" allowOverlap="1">
                <wp:simplePos x="0" y="0"/>
                <wp:positionH relativeFrom="column">
                  <wp:posOffset>961390</wp:posOffset>
                </wp:positionH>
                <wp:positionV relativeFrom="paragraph">
                  <wp:posOffset>4919980</wp:posOffset>
                </wp:positionV>
                <wp:extent cx="1257300" cy="641350"/>
                <wp:effectExtent l="4445" t="4445" r="14605" b="20955"/>
                <wp:wrapNone/>
                <wp:docPr id="168" name="文本框 168"/>
                <wp:cNvGraphicFramePr/>
                <a:graphic xmlns:a="http://schemas.openxmlformats.org/drawingml/2006/main">
                  <a:graphicData uri="http://schemas.microsoft.com/office/word/2010/wordprocessingShape">
                    <wps:wsp>
                      <wps:cNvSpPr txBox="1"/>
                      <wps:spPr>
                        <a:xfrm>
                          <a:off x="1875790" y="5605780"/>
                          <a:ext cx="1257300" cy="6413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E5F06EB">
                            <w:pPr>
                              <w:jc w:val="center"/>
                              <w:rPr>
                                <w:rFonts w:hint="eastAsia"/>
                                <w:lang w:val="en-US" w:eastAsia="zh-CN"/>
                              </w:rPr>
                            </w:pPr>
                            <w:r>
                              <w:rPr>
                                <w:rFonts w:hint="eastAsia"/>
                                <w:lang w:val="en-US" w:eastAsia="zh-CN"/>
                              </w:rPr>
                              <w:t>图例</w:t>
                            </w:r>
                          </w:p>
                          <w:p w14:paraId="51EAB782">
                            <w:pPr>
                              <w:jc w:val="right"/>
                              <w:rPr>
                                <w:rFonts w:hint="eastAsia"/>
                                <w:lang w:val="en-US" w:eastAsia="zh-CN"/>
                              </w:rPr>
                            </w:pPr>
                            <w:r>
                              <w:rPr>
                                <w:rFonts w:hint="eastAsia"/>
                                <w:lang w:val="en-US" w:eastAsia="zh-CN"/>
                              </w:rPr>
                              <w:t>项目厂址</w:t>
                            </w:r>
                          </w:p>
                          <w:p w14:paraId="21197851">
                            <w:pPr>
                              <w:jc w:val="right"/>
                              <w:rPr>
                                <w:rFonts w:hint="default"/>
                                <w:lang w:val="en-US" w:eastAsia="zh-CN"/>
                              </w:rPr>
                            </w:pPr>
                            <w:r>
                              <w:rPr>
                                <w:rFonts w:hint="eastAsia"/>
                                <w:lang w:val="en-US" w:eastAsia="zh-CN"/>
                              </w:rPr>
                              <w:t>检测点位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7pt;margin-top:387.4pt;height:50.5pt;width:99pt;z-index:251781120;mso-width-relative:page;mso-height-relative:page;" fillcolor="#FFFFFF [3201]" filled="t" stroked="t" coordsize="21600,21600" o:gfxdata="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7A7Xt2AAAAAsBAAAPAAAAAAAAAAEAIAAAACIAAABkcnMvZG93bnJldi54bWxQSwECFAAU&#10;AAAACACHTuJADkl4sGMCAADHBAAADgAAAAAAAAABACAAAAAnAQAAZHJzL2Uyb0RvYy54bWxQSwUG&#10;AAAAAAYABgBZAQAA/AUAAAAA&#10;">
                <v:fill on="t" focussize="0,0"/>
                <v:stroke weight="0.5pt" color="#000000 [3204]" joinstyle="round"/>
                <v:imagedata o:title=""/>
                <o:lock v:ext="edit" aspectratio="f"/>
                <v:textbox>
                  <w:txbxContent>
                    <w:p w14:paraId="5E5F06EB">
                      <w:pPr>
                        <w:jc w:val="center"/>
                        <w:rPr>
                          <w:rFonts w:hint="eastAsia"/>
                          <w:lang w:val="en-US" w:eastAsia="zh-CN"/>
                        </w:rPr>
                      </w:pPr>
                      <w:r>
                        <w:rPr>
                          <w:rFonts w:hint="eastAsia"/>
                          <w:lang w:val="en-US" w:eastAsia="zh-CN"/>
                        </w:rPr>
                        <w:t>图例</w:t>
                      </w:r>
                    </w:p>
                    <w:p w14:paraId="51EAB782">
                      <w:pPr>
                        <w:jc w:val="right"/>
                        <w:rPr>
                          <w:rFonts w:hint="eastAsia"/>
                          <w:lang w:val="en-US" w:eastAsia="zh-CN"/>
                        </w:rPr>
                      </w:pPr>
                      <w:r>
                        <w:rPr>
                          <w:rFonts w:hint="eastAsia"/>
                          <w:lang w:val="en-US" w:eastAsia="zh-CN"/>
                        </w:rPr>
                        <w:t>项目厂址</w:t>
                      </w:r>
                    </w:p>
                    <w:p w14:paraId="21197851">
                      <w:pPr>
                        <w:jc w:val="right"/>
                        <w:rPr>
                          <w:rFonts w:hint="default"/>
                          <w:lang w:val="en-US" w:eastAsia="zh-CN"/>
                        </w:rPr>
                      </w:pPr>
                      <w:r>
                        <w:rPr>
                          <w:rFonts w:hint="eastAsia"/>
                          <w:lang w:val="en-US" w:eastAsia="zh-CN"/>
                        </w:rPr>
                        <w:t>检测点位</w:t>
                      </w:r>
                    </w:p>
                  </w:txbxContent>
                </v:textbox>
              </v:shape>
            </w:pict>
          </mc:Fallback>
        </mc:AlternateContent>
      </w:r>
      <w:r>
        <w:rPr>
          <w:color w:val="auto"/>
          <w:sz w:val="24"/>
        </w:rPr>
        <mc:AlternateContent>
          <mc:Choice Requires="wps">
            <w:drawing>
              <wp:anchor distT="0" distB="0" distL="114300" distR="114300" simplePos="0" relativeHeight="251780096" behindDoc="0" locked="0" layoutInCell="1" allowOverlap="1">
                <wp:simplePos x="0" y="0"/>
                <wp:positionH relativeFrom="column">
                  <wp:posOffset>2205990</wp:posOffset>
                </wp:positionH>
                <wp:positionV relativeFrom="paragraph">
                  <wp:posOffset>4635500</wp:posOffset>
                </wp:positionV>
                <wp:extent cx="1256030" cy="298450"/>
                <wp:effectExtent l="0" t="0" r="0" b="0"/>
                <wp:wrapNone/>
                <wp:docPr id="167" name="文本框 167"/>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1FF4A1">
                            <w:pPr>
                              <w:rPr>
                                <w:rFonts w:hint="default" w:eastAsia="宋体"/>
                                <w:b/>
                                <w:bCs/>
                                <w:color w:val="FFFF00"/>
                                <w:lang w:val="en-US" w:eastAsia="zh-CN"/>
                              </w:rPr>
                            </w:pPr>
                            <w:r>
                              <w:rPr>
                                <w:rFonts w:hint="eastAsia"/>
                                <w:b/>
                                <w:bCs/>
                                <w:color w:val="FFFF00"/>
                                <w:lang w:val="en-US" w:eastAsia="zh-CN"/>
                              </w:rPr>
                              <w:t>G6王埝村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3.7pt;margin-top:365pt;height:23.5pt;width:98.9pt;z-index:251780096;mso-width-relative:page;mso-height-relative:page;" filled="f" stroked="f" coordsize="21600,21600" o:gfxdata="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pl0w9wAAAALAQAADwAAAAAAAAABACAAAAAiAAAA&#10;ZHJzL2Rvd25yZXYueG1sUEsBAhQAFAAAAAgAh07iQMcMNik8AgAAagQAAA4AAAAAAAAAAQAgAAAA&#10;KwEAAGRycy9lMm9Eb2MueG1sUEsFBgAAAAAGAAYAWQEAANkFAAAAAA==&#10;">
                <v:fill on="f" focussize="0,0"/>
                <v:stroke on="f" weight="0.5pt"/>
                <v:imagedata o:title=""/>
                <o:lock v:ext="edit" aspectratio="f"/>
                <v:textbox>
                  <w:txbxContent>
                    <w:p w14:paraId="351FF4A1">
                      <w:pPr>
                        <w:rPr>
                          <w:rFonts w:hint="default" w:eastAsia="宋体"/>
                          <w:b/>
                          <w:bCs/>
                          <w:color w:val="FFFF00"/>
                          <w:lang w:val="en-US" w:eastAsia="zh-CN"/>
                        </w:rPr>
                      </w:pPr>
                      <w:r>
                        <w:rPr>
                          <w:rFonts w:hint="eastAsia"/>
                          <w:b/>
                          <w:bCs/>
                          <w:color w:val="FFFF00"/>
                          <w:lang w:val="en-US" w:eastAsia="zh-CN"/>
                        </w:rPr>
                        <w:t>G6王埝村</w:t>
                      </w:r>
                    </w:p>
                  </w:txbxContent>
                </v:textbox>
              </v:shape>
            </w:pict>
          </mc:Fallback>
        </mc:AlternateContent>
      </w:r>
      <w:r>
        <w:rPr>
          <w:color w:val="auto"/>
          <w:sz w:val="24"/>
        </w:rPr>
        <mc:AlternateContent>
          <mc:Choice Requires="wps">
            <w:drawing>
              <wp:anchor distT="0" distB="0" distL="114300" distR="114300" simplePos="0" relativeHeight="251779072" behindDoc="0" locked="0" layoutInCell="1" allowOverlap="1">
                <wp:simplePos x="0" y="0"/>
                <wp:positionH relativeFrom="column">
                  <wp:posOffset>2123440</wp:posOffset>
                </wp:positionH>
                <wp:positionV relativeFrom="paragraph">
                  <wp:posOffset>4568190</wp:posOffset>
                </wp:positionV>
                <wp:extent cx="165100" cy="165100"/>
                <wp:effectExtent l="4445" t="4445" r="20955" b="20955"/>
                <wp:wrapNone/>
                <wp:docPr id="166" name="椭圆 166"/>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7.2pt;margin-top:359.7pt;height:13pt;width:13pt;z-index:251779072;v-text-anchor:middle;mso-width-relative:page;mso-height-relative:page;" fillcolor="#FFFF00" filled="t" stroked="t" coordsize="21600,21600" o:gfxdata="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M8Qt89gAAAALAQAADwAAAAAAAAABACAAAAAiAAAAZHJz&#10;L2Rvd25yZXYueG1sUEsBAhQAFAAAAAgAh07iQM60he52AgAABAUAAA4AAAAAAAAAAQAgAAAAJwEA&#10;AGRycy9lMm9Eb2MueG1sUEsFBgAAAAAGAAYAWQEAAA8GA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78048" behindDoc="0" locked="0" layoutInCell="1" allowOverlap="1">
                <wp:simplePos x="0" y="0"/>
                <wp:positionH relativeFrom="column">
                  <wp:posOffset>2923540</wp:posOffset>
                </wp:positionH>
                <wp:positionV relativeFrom="paragraph">
                  <wp:posOffset>3162300</wp:posOffset>
                </wp:positionV>
                <wp:extent cx="1256030" cy="29845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F55BA5">
                            <w:pPr>
                              <w:rPr>
                                <w:rFonts w:hint="default" w:eastAsia="宋体"/>
                                <w:b/>
                                <w:bCs/>
                                <w:color w:val="FFFF00"/>
                                <w:lang w:val="en-US" w:eastAsia="zh-CN"/>
                              </w:rPr>
                            </w:pPr>
                            <w:r>
                              <w:rPr>
                                <w:rFonts w:hint="eastAsia"/>
                                <w:b/>
                                <w:bCs/>
                                <w:color w:val="FFFF00"/>
                                <w:lang w:val="en-US" w:eastAsia="zh-CN"/>
                              </w:rPr>
                              <w:t>G5赵楼村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0.2pt;margin-top:249pt;height:23.5pt;width:98.9pt;z-index:251778048;mso-width-relative:page;mso-height-relative:page;" filled="f" stroked="f" coordsize="21600,21600" o:gfxdata="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HJApU2wAAAAsBAAAPAAAAAAAAAAEAIAAAACIAAABk&#10;cnMvZG93bnJldi54bWxQSwECFAAUAAAACACHTuJAosU41DwCAABqBAAADgAAAAAAAAABACAAAAAq&#10;AQAAZHJzL2Uyb0RvYy54bWxQSwUGAAAAAAYABgBZAQAA2AUAAAAA&#10;">
                <v:fill on="f" focussize="0,0"/>
                <v:stroke on="f" weight="0.5pt"/>
                <v:imagedata o:title=""/>
                <o:lock v:ext="edit" aspectratio="f"/>
                <v:textbox>
                  <w:txbxContent>
                    <w:p w14:paraId="75F55BA5">
                      <w:pPr>
                        <w:rPr>
                          <w:rFonts w:hint="default" w:eastAsia="宋体"/>
                          <w:b/>
                          <w:bCs/>
                          <w:color w:val="FFFF00"/>
                          <w:lang w:val="en-US" w:eastAsia="zh-CN"/>
                        </w:rPr>
                      </w:pPr>
                      <w:r>
                        <w:rPr>
                          <w:rFonts w:hint="eastAsia"/>
                          <w:b/>
                          <w:bCs/>
                          <w:color w:val="FFFF00"/>
                          <w:lang w:val="en-US" w:eastAsia="zh-CN"/>
                        </w:rPr>
                        <w:t>G5赵楼村</w:t>
                      </w:r>
                    </w:p>
                  </w:txbxContent>
                </v:textbox>
              </v:shape>
            </w:pict>
          </mc:Fallback>
        </mc:AlternateContent>
      </w:r>
      <w:r>
        <w:rPr>
          <w:color w:val="auto"/>
          <w:sz w:val="24"/>
        </w:rPr>
        <mc:AlternateContent>
          <mc:Choice Requires="wps">
            <w:drawing>
              <wp:anchor distT="0" distB="0" distL="114300" distR="114300" simplePos="0" relativeHeight="251773952" behindDoc="0" locked="0" layoutInCell="1" allowOverlap="1">
                <wp:simplePos x="0" y="0"/>
                <wp:positionH relativeFrom="column">
                  <wp:posOffset>2923540</wp:posOffset>
                </wp:positionH>
                <wp:positionV relativeFrom="paragraph">
                  <wp:posOffset>3088640</wp:posOffset>
                </wp:positionV>
                <wp:extent cx="165100" cy="165100"/>
                <wp:effectExtent l="4445" t="4445" r="20955" b="20955"/>
                <wp:wrapNone/>
                <wp:docPr id="159" name="椭圆 159"/>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30.2pt;margin-top:243.2pt;height:13pt;width:13pt;z-index:251773952;v-text-anchor:middle;mso-width-relative:page;mso-height-relative:page;" fillcolor="#FFFF00" filled="t" stroked="t" coordsize="21600,21600" o:gfxdata="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CGymytUAAAALAQAADwAAAAAAAAABACAAAAAiAAAAZHJzL2Rv&#10;d25yZXYueG1sUEsBAhQAFAAAAAgAh07iQNt28cB2AgAABAUAAA4AAAAAAAAAAQAgAAAAJAEAAGRy&#10;cy9lMm9Eb2MueG1sUEsFBgAAAAAGAAYAWQEAAAwGA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77024" behindDoc="0" locked="0" layoutInCell="1" allowOverlap="1">
                <wp:simplePos x="0" y="0"/>
                <wp:positionH relativeFrom="column">
                  <wp:posOffset>6797675</wp:posOffset>
                </wp:positionH>
                <wp:positionV relativeFrom="paragraph">
                  <wp:posOffset>2717800</wp:posOffset>
                </wp:positionV>
                <wp:extent cx="1027430" cy="501015"/>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1027430" cy="5010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74238D">
                            <w:pPr>
                              <w:jc w:val="both"/>
                              <w:rPr>
                                <w:b/>
                                <w:bCs/>
                                <w:color w:val="FFFF00"/>
                              </w:rPr>
                            </w:pPr>
                            <w:r>
                              <w:rPr>
                                <w:rFonts w:hint="eastAsia"/>
                                <w:b/>
                                <w:bCs/>
                                <w:color w:val="FFFF00"/>
                                <w:lang w:val="en-US" w:eastAsia="zh-CN"/>
                              </w:rPr>
                              <w:t>G4</w:t>
                            </w:r>
                            <w:r>
                              <w:rPr>
                                <w:b/>
                                <w:bCs/>
                                <w:color w:val="FFFF00"/>
                              </w:rPr>
                              <w:t>公租房区</w:t>
                            </w:r>
                          </w:p>
                          <w:p w14:paraId="625C478A">
                            <w:pPr>
                              <w:rPr>
                                <w:rFonts w:hint="default" w:eastAsia="宋体"/>
                                <w:b/>
                                <w:bCs/>
                                <w:color w:val="FFFF00"/>
                                <w:lang w:val="en-US" w:eastAsia="zh-CN"/>
                              </w:rPr>
                            </w:pPr>
                            <w:r>
                              <w:rPr>
                                <w:rFonts w:hint="eastAsia"/>
                                <w:b/>
                                <w:bCs/>
                                <w:color w:val="FFFF00"/>
                                <w:lang w:eastAsia="zh-CN"/>
                              </w:rPr>
                              <w:t>（</w:t>
                            </w:r>
                            <w:r>
                              <w:rPr>
                                <w:rFonts w:hint="eastAsia"/>
                                <w:b/>
                                <w:bCs/>
                                <w:color w:val="FFFF00"/>
                                <w:lang w:val="en-US" w:eastAsia="zh-CN"/>
                              </w:rPr>
                              <w:t>和谐家园</w:t>
                            </w:r>
                            <w:r>
                              <w:rPr>
                                <w:rFonts w:hint="eastAsia"/>
                                <w:b/>
                                <w:bCs/>
                                <w:color w:val="FFFF00"/>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5.25pt;margin-top:214pt;height:39.45pt;width:80.9pt;z-index:251777024;mso-width-relative:page;mso-height-relative:page;" filled="f" stroked="f" coordsize="21600,21600" o:gfxdata="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mSRp/dAAAADQEAAA8AAAAAAAAAAQAgAAAAIgAA&#10;AGRycy9kb3ducmV2LnhtbFBLAQIUABQAAAAIAIdO4kDGAbK9PAIAAGoEAAAOAAAAAAAAAAEAIAAA&#10;ACwBAABkcnMvZTJvRG9jLnhtbFBLBQYAAAAABgAGAFkBAADaBQAAAAA=&#10;">
                <v:fill on="f" focussize="0,0"/>
                <v:stroke on="f" weight="0.5pt"/>
                <v:imagedata o:title=""/>
                <o:lock v:ext="edit" aspectratio="f"/>
                <v:textbox>
                  <w:txbxContent>
                    <w:p w14:paraId="4B74238D">
                      <w:pPr>
                        <w:jc w:val="both"/>
                        <w:rPr>
                          <w:b/>
                          <w:bCs/>
                          <w:color w:val="FFFF00"/>
                        </w:rPr>
                      </w:pPr>
                      <w:r>
                        <w:rPr>
                          <w:rFonts w:hint="eastAsia"/>
                          <w:b/>
                          <w:bCs/>
                          <w:color w:val="FFFF00"/>
                          <w:lang w:val="en-US" w:eastAsia="zh-CN"/>
                        </w:rPr>
                        <w:t>G4</w:t>
                      </w:r>
                      <w:r>
                        <w:rPr>
                          <w:b/>
                          <w:bCs/>
                          <w:color w:val="FFFF00"/>
                        </w:rPr>
                        <w:t>公租房区</w:t>
                      </w:r>
                    </w:p>
                    <w:p w14:paraId="625C478A">
                      <w:pPr>
                        <w:rPr>
                          <w:rFonts w:hint="default" w:eastAsia="宋体"/>
                          <w:b/>
                          <w:bCs/>
                          <w:color w:val="FFFF00"/>
                          <w:lang w:val="en-US" w:eastAsia="zh-CN"/>
                        </w:rPr>
                      </w:pPr>
                      <w:r>
                        <w:rPr>
                          <w:rFonts w:hint="eastAsia"/>
                          <w:b/>
                          <w:bCs/>
                          <w:color w:val="FFFF00"/>
                          <w:lang w:eastAsia="zh-CN"/>
                        </w:rPr>
                        <w:t>（</w:t>
                      </w:r>
                      <w:r>
                        <w:rPr>
                          <w:rFonts w:hint="eastAsia"/>
                          <w:b/>
                          <w:bCs/>
                          <w:color w:val="FFFF00"/>
                          <w:lang w:val="en-US" w:eastAsia="zh-CN"/>
                        </w:rPr>
                        <w:t>和谐家园</w:t>
                      </w:r>
                      <w:r>
                        <w:rPr>
                          <w:rFonts w:hint="eastAsia"/>
                          <w:b/>
                          <w:bCs/>
                          <w:color w:val="FFFF00"/>
                          <w:lang w:eastAsia="zh-CN"/>
                        </w:rPr>
                        <w:t>）</w:t>
                      </w:r>
                    </w:p>
                  </w:txbxContent>
                </v:textbox>
              </v:shape>
            </w:pict>
          </mc:Fallback>
        </mc:AlternateContent>
      </w:r>
      <w:r>
        <w:rPr>
          <w:color w:val="auto"/>
          <w:sz w:val="24"/>
        </w:rPr>
        <mc:AlternateContent>
          <mc:Choice Requires="wps">
            <w:drawing>
              <wp:anchor distT="0" distB="0" distL="114300" distR="114300" simplePos="0" relativeHeight="251772928" behindDoc="0" locked="0" layoutInCell="1" allowOverlap="1">
                <wp:simplePos x="0" y="0"/>
                <wp:positionH relativeFrom="column">
                  <wp:posOffset>6733540</wp:posOffset>
                </wp:positionH>
                <wp:positionV relativeFrom="paragraph">
                  <wp:posOffset>2637790</wp:posOffset>
                </wp:positionV>
                <wp:extent cx="165100" cy="165100"/>
                <wp:effectExtent l="4445" t="4445" r="20955" b="20955"/>
                <wp:wrapNone/>
                <wp:docPr id="158" name="椭圆 158"/>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30.2pt;margin-top:207.7pt;height:13pt;width:13pt;z-index:251772928;v-text-anchor:middle;mso-width-relative:page;mso-height-relative:page;" fillcolor="#FFFF00" filled="t" stroked="t" coordsize="21600,21600" o:gfxdata="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OQseofWAAAADQEAAA8AAAAAAAAAAQAgAAAAIgAAAGRycy9k&#10;b3ducmV2LnhtbFBLAQIUABQAAAAIAIdO4kBP3+JAdgIAAAQFAAAOAAAAAAAAAAEAIAAAACUBAABk&#10;cnMvZTJvRG9jLnhtbFBLBQYAAAAABgAGAFkBAAAN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76000" behindDoc="0" locked="0" layoutInCell="1" allowOverlap="1">
                <wp:simplePos x="0" y="0"/>
                <wp:positionH relativeFrom="column">
                  <wp:posOffset>2948940</wp:posOffset>
                </wp:positionH>
                <wp:positionV relativeFrom="paragraph">
                  <wp:posOffset>457200</wp:posOffset>
                </wp:positionV>
                <wp:extent cx="1256030" cy="298450"/>
                <wp:effectExtent l="0" t="0" r="0" b="0"/>
                <wp:wrapNone/>
                <wp:docPr id="163" name="文本框 163"/>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8ADA42">
                            <w:pPr>
                              <w:rPr>
                                <w:rFonts w:hint="default" w:eastAsia="宋体"/>
                                <w:b/>
                                <w:bCs/>
                                <w:color w:val="FFFF00"/>
                                <w:lang w:val="en-US" w:eastAsia="zh-CN"/>
                              </w:rPr>
                            </w:pPr>
                            <w:r>
                              <w:rPr>
                                <w:rFonts w:hint="eastAsia"/>
                                <w:b/>
                                <w:bCs/>
                                <w:color w:val="FFFF00"/>
                                <w:lang w:val="en-US" w:eastAsia="zh-CN"/>
                              </w:rPr>
                              <w:t>G3刘桥镇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2pt;margin-top:36pt;height:23.5pt;width:98.9pt;z-index:251776000;mso-width-relative:page;mso-height-relative:page;" filled="f" stroked="f" coordsize="21600,21600" o:gfxdata="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KrtrbaAAAACgEAAA8AAAAAAAAAAQAgAAAAIgAAAGRy&#10;cy9kb3ducmV2LnhtbFBLAQIUABQAAAAIAIdO4kBMmFoIPAIAAGoEAAAOAAAAAAAAAAEAIAAAACkB&#10;AABkcnMvZTJvRG9jLnhtbFBLBQYAAAAABgAGAFkBAADXBQAAAAA=&#10;">
                <v:fill on="f" focussize="0,0"/>
                <v:stroke on="f" weight="0.5pt"/>
                <v:imagedata o:title=""/>
                <o:lock v:ext="edit" aspectratio="f"/>
                <v:textbox>
                  <w:txbxContent>
                    <w:p w14:paraId="0C8ADA42">
                      <w:pPr>
                        <w:rPr>
                          <w:rFonts w:hint="default" w:eastAsia="宋体"/>
                          <w:b/>
                          <w:bCs/>
                          <w:color w:val="FFFF00"/>
                          <w:lang w:val="en-US" w:eastAsia="zh-CN"/>
                        </w:rPr>
                      </w:pPr>
                      <w:r>
                        <w:rPr>
                          <w:rFonts w:hint="eastAsia"/>
                          <w:b/>
                          <w:bCs/>
                          <w:color w:val="FFFF00"/>
                          <w:lang w:val="en-US" w:eastAsia="zh-CN"/>
                        </w:rPr>
                        <w:t>G3刘桥镇</w:t>
                      </w:r>
                    </w:p>
                  </w:txbxContent>
                </v:textbox>
              </v:shape>
            </w:pict>
          </mc:Fallback>
        </mc:AlternateContent>
      </w:r>
      <w:r>
        <w:rPr>
          <w:color w:val="auto"/>
          <w:sz w:val="24"/>
        </w:rPr>
        <mc:AlternateContent>
          <mc:Choice Requires="wps">
            <w:drawing>
              <wp:anchor distT="0" distB="0" distL="114300" distR="114300" simplePos="0" relativeHeight="251771904" behindDoc="0" locked="0" layoutInCell="1" allowOverlap="1">
                <wp:simplePos x="0" y="0"/>
                <wp:positionH relativeFrom="column">
                  <wp:posOffset>2879090</wp:posOffset>
                </wp:positionH>
                <wp:positionV relativeFrom="paragraph">
                  <wp:posOffset>389890</wp:posOffset>
                </wp:positionV>
                <wp:extent cx="165100" cy="165100"/>
                <wp:effectExtent l="4445" t="4445" r="20955" b="20955"/>
                <wp:wrapNone/>
                <wp:docPr id="155" name="椭圆 155"/>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26.7pt;margin-top:30.7pt;height:13pt;width:13pt;z-index:251771904;v-text-anchor:middle;mso-width-relative:page;mso-height-relative:page;" fillcolor="#FFFF00" filled="t" stroked="t" coordsize="21600,21600" o:gfxdata="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aTMCsNgAAAAJAQAADwAAAAAAAAABACAAAAAiAAAAZHJz&#10;L2Rvd25yZXYueG1sUEsBAhQAFAAAAAgAh07iQG6Dl3Z2AgAABAUAAA4AAAAAAAAAAQAgAAAAJwEA&#10;AGRycy9lMm9Eb2MueG1sUEsFBgAAAAAGAAYAWQEAAA8GA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69856" behindDoc="0" locked="0" layoutInCell="1" allowOverlap="1">
                <wp:simplePos x="0" y="0"/>
                <wp:positionH relativeFrom="column">
                  <wp:posOffset>4555490</wp:posOffset>
                </wp:positionH>
                <wp:positionV relativeFrom="paragraph">
                  <wp:posOffset>2663190</wp:posOffset>
                </wp:positionV>
                <wp:extent cx="165100" cy="165100"/>
                <wp:effectExtent l="4445" t="4445" r="20955" b="20955"/>
                <wp:wrapNone/>
                <wp:docPr id="153" name="椭圆 153"/>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58.7pt;margin-top:209.7pt;height:13pt;width:13pt;z-index:251769856;v-text-anchor:middle;mso-width-relative:page;mso-height-relative:page;" fillcolor="#FFFF00" filled="t" stroked="t" coordsize="21600,21600" o:gfxdata="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W6WkltgAAAALAQAADwAAAAAAAAABACAAAAAiAAAAZHJz&#10;L2Rvd25yZXYueG1sUEsBAhQAFAAAAAgAh07iQJR6HMB2AgAABAUAAA4AAAAAAAAAAQAgAAAAJwEA&#10;AGRycy9lMm9Eb2MueG1sUEsFBgAAAAAGAAYAWQEAAA8GAAAAAA==&#10;">
                <v:fill on="t" focussize="0,0"/>
                <v:stroke weight="0.25pt" color="#376092 [2404]" joinstyle="round"/>
                <v:imagedata o:title=""/>
                <o:lock v:ext="edit" aspectratio="f"/>
              </v:shape>
            </w:pict>
          </mc:Fallback>
        </mc:AlternateContent>
      </w:r>
      <w:r>
        <w:rPr>
          <w:rFonts w:hint="eastAsia" w:eastAsia="宋体"/>
          <w:b/>
          <w:bCs/>
          <w:color w:val="auto"/>
          <w:sz w:val="24"/>
          <w:szCs w:val="32"/>
          <w:lang w:eastAsia="zh-CN"/>
        </w:rPr>
        <w:drawing>
          <wp:inline distT="0" distB="0" distL="114300" distR="114300">
            <wp:extent cx="7117715" cy="5796280"/>
            <wp:effectExtent l="0" t="0" r="6985" b="13970"/>
            <wp:docPr id="143" name="图片 143" descr="C:/Users/Administrator/Desktop/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C:/Users/Administrator/Desktop/1.png1"/>
                    <pic:cNvPicPr>
                      <a:picLocks noChangeAspect="1"/>
                    </pic:cNvPicPr>
                  </pic:nvPicPr>
                  <pic:blipFill>
                    <a:blip r:embed="rId20"/>
                    <a:srcRect/>
                    <a:stretch>
                      <a:fillRect/>
                    </a:stretch>
                  </pic:blipFill>
                  <pic:spPr>
                    <a:xfrm>
                      <a:off x="0" y="0"/>
                      <a:ext cx="7117715" cy="5796280"/>
                    </a:xfrm>
                    <a:prstGeom prst="rect">
                      <a:avLst/>
                    </a:prstGeom>
                  </pic:spPr>
                </pic:pic>
              </a:graphicData>
            </a:graphic>
          </wp:inline>
        </w:drawing>
      </w:r>
    </w:p>
    <w:p w14:paraId="357A19C2">
      <w:pPr>
        <w:jc w:val="center"/>
        <w:rPr>
          <w:rFonts w:hint="default" w:eastAsia="宋体"/>
          <w:b/>
          <w:bCs/>
          <w:color w:val="auto"/>
          <w:sz w:val="24"/>
          <w:szCs w:val="32"/>
          <w:lang w:val="en-US" w:eastAsia="zh-CN"/>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r>
        <w:rPr>
          <w:color w:val="auto"/>
          <w:sz w:val="24"/>
        </w:rPr>
        <mc:AlternateContent>
          <mc:Choice Requires="wps">
            <w:drawing>
              <wp:anchor distT="0" distB="0" distL="114300" distR="114300" simplePos="0" relativeHeight="251774976" behindDoc="0" locked="0" layoutInCell="1" allowOverlap="1">
                <wp:simplePos x="0" y="0"/>
                <wp:positionH relativeFrom="column">
                  <wp:posOffset>6320790</wp:posOffset>
                </wp:positionH>
                <wp:positionV relativeFrom="paragraph">
                  <wp:posOffset>1285240</wp:posOffset>
                </wp:positionV>
                <wp:extent cx="165100" cy="165100"/>
                <wp:effectExtent l="4445" t="4445" r="20955" b="20955"/>
                <wp:wrapNone/>
                <wp:docPr id="162" name="椭圆 162"/>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97.7pt;margin-top:101.2pt;height:13pt;width:13pt;z-index:251774976;v-text-anchor:middle;mso-width-relative:page;mso-height-relative:page;" fillcolor="#FFFF00" filled="t" stroked="t" coordsize="21600,21600" o:gfxdata="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&#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jOpSrZAAAADAEAAA8AAAAAAAAAAQAgAAAAIgAAAGRy&#10;cy9kb3ducmV2LnhtbFBLAQIUABQAAAAIAIdO4kBdGFiDdgIAAAQFAAAOAAAAAAAAAAEAIAAAACgB&#10;AABkcnMvZTJvRG9jLnhtbFBLBQYAAAAABgAGAFkBAAAQBgAAAAA=&#10;">
                <v:fill on="t" focussize="0,0"/>
                <v:stroke weight="0.25pt" color="#376092 [2404]" joinstyle="round"/>
                <v:imagedata o:title=""/>
                <o:lock v:ext="edit" aspectratio="f"/>
              </v:shape>
            </w:pict>
          </mc:Fallback>
        </mc:AlternateContent>
      </w:r>
      <w:r>
        <w:rPr>
          <w:rFonts w:hint="eastAsia"/>
          <w:b/>
          <w:bCs/>
          <w:color w:val="auto"/>
          <w:sz w:val="24"/>
          <w:szCs w:val="32"/>
          <w:lang w:val="en-US" w:eastAsia="zh-CN"/>
        </w:rPr>
        <w:t>图2-2 大气环境监测点位示意图</w:t>
      </w:r>
    </w:p>
    <w:p w14:paraId="4550DEEF">
      <w:pPr>
        <w:spacing w:line="360" w:lineRule="auto"/>
        <w:ind w:firstLine="480" w:firstLineChars="200"/>
        <w:jc w:val="left"/>
        <w:rPr>
          <w:rFonts w:hint="default"/>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2</w:t>
      </w:r>
      <w:r>
        <w:rPr>
          <w:rFonts w:hint="eastAsia"/>
          <w:b w:val="0"/>
          <w:bCs w:val="0"/>
          <w:color w:val="auto"/>
          <w:sz w:val="24"/>
          <w:szCs w:val="32"/>
          <w:lang w:eastAsia="zh-CN"/>
        </w:rPr>
        <w:t>）</w:t>
      </w:r>
      <w:r>
        <w:rPr>
          <w:rFonts w:hint="eastAsia"/>
          <w:b w:val="0"/>
          <w:bCs w:val="0"/>
          <w:color w:val="auto"/>
          <w:sz w:val="24"/>
          <w:szCs w:val="32"/>
          <w:lang w:val="en-US" w:eastAsia="zh-CN"/>
        </w:rPr>
        <w:t>评价标准</w:t>
      </w:r>
    </w:p>
    <w:p w14:paraId="66D84618">
      <w:pPr>
        <w:spacing w:line="360" w:lineRule="auto"/>
        <w:ind w:firstLine="480" w:firstLineChars="200"/>
        <w:jc w:val="left"/>
        <w:rPr>
          <w:rFonts w:hint="eastAsia"/>
          <w:color w:val="auto"/>
          <w:sz w:val="24"/>
          <w:szCs w:val="32"/>
          <w:lang w:eastAsia="zh-CN"/>
        </w:rPr>
      </w:pPr>
      <w:r>
        <w:rPr>
          <w:color w:val="auto"/>
          <w:sz w:val="24"/>
          <w:szCs w:val="32"/>
        </w:rPr>
        <w:t>项目区域环境空气质量SO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w:t>
      </w:r>
      <w:r>
        <w:rPr>
          <w:rFonts w:hint="eastAsia"/>
          <w:color w:val="auto"/>
          <w:sz w:val="24"/>
          <w:szCs w:val="32"/>
          <w:lang w:val="en-US" w:eastAsia="zh-CN"/>
        </w:rPr>
        <w:t>氟化物</w:t>
      </w:r>
      <w:r>
        <w:rPr>
          <w:color w:val="auto"/>
          <w:sz w:val="24"/>
          <w:szCs w:val="32"/>
        </w:rPr>
        <w:t>执行《环境空气质量标准》（GB3095－2012）中二级标准；</w:t>
      </w:r>
      <w:r>
        <w:rPr>
          <w:rFonts w:hint="eastAsia"/>
          <w:color w:val="auto"/>
          <w:sz w:val="24"/>
          <w:szCs w:val="32"/>
          <w:lang w:val="en-US" w:eastAsia="zh-CN"/>
        </w:rPr>
        <w:t>氯化氢执行《工业企业设计卫生标准》（TJ36-79）；二噁英参照执行《日本环境厅中央环境审议会制定的环境标准》。</w:t>
      </w:r>
      <w:r>
        <w:rPr>
          <w:color w:val="auto"/>
          <w:sz w:val="24"/>
          <w:szCs w:val="32"/>
        </w:rPr>
        <w:t>具体限值详见下表</w:t>
      </w:r>
      <w:r>
        <w:rPr>
          <w:rFonts w:hint="eastAsia"/>
          <w:color w:val="auto"/>
          <w:sz w:val="24"/>
          <w:szCs w:val="32"/>
          <w:lang w:eastAsia="zh-CN"/>
        </w:rPr>
        <w:t>：</w:t>
      </w:r>
    </w:p>
    <w:p w14:paraId="545B474F">
      <w:pPr>
        <w:spacing w:line="360" w:lineRule="auto"/>
        <w:jc w:val="center"/>
        <w:rPr>
          <w:rFonts w:hint="default"/>
          <w:color w:val="auto"/>
          <w:sz w:val="24"/>
          <w:szCs w:val="32"/>
          <w:lang w:val="en-US" w:eastAsia="zh-CN"/>
        </w:rPr>
      </w:pPr>
      <w:r>
        <w:rPr>
          <w:rFonts w:hint="eastAsia"/>
          <w:b/>
          <w:bCs/>
          <w:color w:val="auto"/>
          <w:sz w:val="24"/>
          <w:szCs w:val="32"/>
          <w:lang w:val="en-US" w:eastAsia="zh-CN"/>
        </w:rPr>
        <w:t>表2-7 环评阶段环境空气质量标准一览表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219"/>
        <w:gridCol w:w="1896"/>
        <w:gridCol w:w="3359"/>
        <w:gridCol w:w="3488"/>
      </w:tblGrid>
      <w:tr w14:paraId="508031C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49" w:hRule="atLeast"/>
          <w:tblHeader/>
        </w:trPr>
        <w:tc>
          <w:tcPr>
            <w:tcW w:w="612" w:type="pct"/>
            <w:vMerge w:val="restart"/>
            <w:tcBorders>
              <w:tl2br w:val="nil"/>
              <w:tr2bl w:val="nil"/>
            </w:tcBorders>
            <w:shd w:val="clear" w:color="auto" w:fill="auto"/>
            <w:noWrap w:val="0"/>
            <w:vAlign w:val="center"/>
          </w:tcPr>
          <w:p w14:paraId="022A2B59">
            <w:pPr>
              <w:spacing w:before="31" w:beforeLines="10" w:line="264" w:lineRule="auto"/>
              <w:jc w:val="center"/>
              <w:rPr>
                <w:b/>
                <w:color w:val="auto"/>
              </w:rPr>
            </w:pPr>
            <w:r>
              <w:rPr>
                <w:b/>
                <w:color w:val="auto"/>
              </w:rPr>
              <w:t>污染物</w:t>
            </w:r>
          </w:p>
        </w:tc>
        <w:tc>
          <w:tcPr>
            <w:tcW w:w="951" w:type="pct"/>
            <w:tcBorders>
              <w:tl2br w:val="nil"/>
              <w:tr2bl w:val="nil"/>
            </w:tcBorders>
            <w:shd w:val="clear" w:color="auto" w:fill="auto"/>
            <w:noWrap w:val="0"/>
            <w:vAlign w:val="center"/>
          </w:tcPr>
          <w:p w14:paraId="29299B2A">
            <w:pPr>
              <w:spacing w:before="31" w:beforeLines="10" w:line="264" w:lineRule="auto"/>
              <w:jc w:val="center"/>
              <w:rPr>
                <w:b/>
                <w:color w:val="auto"/>
              </w:rPr>
            </w:pPr>
            <w:r>
              <w:rPr>
                <w:b/>
                <w:color w:val="auto"/>
              </w:rPr>
              <w:t>取值时间</w:t>
            </w:r>
          </w:p>
        </w:tc>
        <w:tc>
          <w:tcPr>
            <w:tcW w:w="1685" w:type="pct"/>
            <w:tcBorders>
              <w:tl2br w:val="nil"/>
              <w:tr2bl w:val="nil"/>
            </w:tcBorders>
            <w:shd w:val="clear" w:color="auto" w:fill="auto"/>
            <w:noWrap w:val="0"/>
            <w:vAlign w:val="center"/>
          </w:tcPr>
          <w:p w14:paraId="34FFB930">
            <w:pPr>
              <w:spacing w:before="31" w:beforeLines="10" w:line="264" w:lineRule="auto"/>
              <w:jc w:val="center"/>
              <w:rPr>
                <w:rFonts w:hint="eastAsia" w:eastAsia="宋体"/>
                <w:b/>
                <w:color w:val="auto"/>
                <w:lang w:eastAsia="zh-CN"/>
              </w:rPr>
            </w:pPr>
            <w:r>
              <w:rPr>
                <w:b/>
                <w:color w:val="auto"/>
              </w:rPr>
              <w:t>浓度限值</w:t>
            </w:r>
          </w:p>
        </w:tc>
        <w:tc>
          <w:tcPr>
            <w:tcW w:w="1750" w:type="pct"/>
            <w:vMerge w:val="restart"/>
            <w:tcBorders>
              <w:tl2br w:val="nil"/>
              <w:tr2bl w:val="nil"/>
            </w:tcBorders>
            <w:shd w:val="clear" w:color="auto" w:fill="auto"/>
            <w:noWrap w:val="0"/>
            <w:vAlign w:val="center"/>
          </w:tcPr>
          <w:p w14:paraId="5A88B729">
            <w:pPr>
              <w:spacing w:before="31" w:beforeLines="10" w:line="264" w:lineRule="auto"/>
              <w:jc w:val="center"/>
              <w:rPr>
                <w:b/>
                <w:color w:val="auto"/>
              </w:rPr>
            </w:pPr>
            <w:r>
              <w:rPr>
                <w:b/>
                <w:color w:val="auto"/>
              </w:rPr>
              <w:t>标准来源</w:t>
            </w:r>
          </w:p>
        </w:tc>
      </w:tr>
      <w:tr w14:paraId="2D8B6DF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5902EC05">
            <w:pPr>
              <w:spacing w:before="15" w:beforeLines="5" w:line="252" w:lineRule="auto"/>
              <w:jc w:val="center"/>
              <w:rPr>
                <w:color w:val="auto"/>
              </w:rPr>
            </w:pPr>
            <w:r>
              <w:rPr>
                <w:color w:val="auto"/>
              </w:rPr>
              <w:t>PM</w:t>
            </w:r>
            <w:r>
              <w:rPr>
                <w:color w:val="auto"/>
                <w:vertAlign w:val="subscript"/>
              </w:rPr>
              <w:t>10</w:t>
            </w:r>
          </w:p>
        </w:tc>
        <w:tc>
          <w:tcPr>
            <w:tcW w:w="951" w:type="pct"/>
            <w:tcBorders>
              <w:tl2br w:val="nil"/>
              <w:tr2bl w:val="nil"/>
            </w:tcBorders>
            <w:shd w:val="clear" w:color="auto" w:fill="auto"/>
            <w:noWrap w:val="0"/>
            <w:vAlign w:val="center"/>
          </w:tcPr>
          <w:p w14:paraId="11779B4C">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36241FFD">
            <w:pPr>
              <w:spacing w:before="15" w:beforeLines="5" w:line="252" w:lineRule="auto"/>
              <w:jc w:val="center"/>
              <w:rPr>
                <w:color w:val="auto"/>
              </w:rPr>
            </w:pPr>
            <w:r>
              <w:rPr>
                <w:rFonts w:hint="eastAsia"/>
                <w:color w:val="auto"/>
              </w:rPr>
              <w:t>70</w:t>
            </w:r>
          </w:p>
        </w:tc>
        <w:tc>
          <w:tcPr>
            <w:tcW w:w="1750" w:type="pct"/>
            <w:vMerge w:val="restart"/>
            <w:tcBorders>
              <w:tl2br w:val="nil"/>
              <w:tr2bl w:val="nil"/>
            </w:tcBorders>
            <w:shd w:val="clear" w:color="auto" w:fill="auto"/>
            <w:noWrap w:val="0"/>
            <w:vAlign w:val="center"/>
          </w:tcPr>
          <w:p w14:paraId="7BEACD6F">
            <w:pPr>
              <w:spacing w:before="15" w:beforeLines="5" w:line="252" w:lineRule="auto"/>
              <w:jc w:val="center"/>
              <w:rPr>
                <w:color w:val="auto"/>
              </w:rPr>
            </w:pPr>
            <w:r>
              <w:rPr>
                <w:color w:val="auto"/>
              </w:rPr>
              <w:t>《环境空气质量标准》（GB3095-2012）</w:t>
            </w:r>
          </w:p>
          <w:p w14:paraId="63DEC2E9">
            <w:pPr>
              <w:spacing w:before="15" w:beforeLines="5" w:line="252" w:lineRule="auto"/>
              <w:jc w:val="center"/>
              <w:rPr>
                <w:color w:val="auto"/>
              </w:rPr>
            </w:pPr>
            <w:r>
              <w:rPr>
                <w:color w:val="auto"/>
              </w:rPr>
              <w:t>中的二级标准</w:t>
            </w:r>
          </w:p>
        </w:tc>
      </w:tr>
      <w:tr w14:paraId="5A3381A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26FCE7E6">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5A6017E3">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34D1B92">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533A2DD9">
            <w:pPr>
              <w:spacing w:before="15" w:beforeLines="5" w:line="252" w:lineRule="auto"/>
              <w:jc w:val="center"/>
              <w:rPr>
                <w:color w:val="auto"/>
              </w:rPr>
            </w:pPr>
          </w:p>
        </w:tc>
      </w:tr>
      <w:tr w14:paraId="7E0B8A1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635672F">
            <w:pPr>
              <w:spacing w:before="15" w:beforeLines="5" w:line="252" w:lineRule="auto"/>
              <w:jc w:val="center"/>
              <w:rPr>
                <w:color w:val="auto"/>
              </w:rPr>
            </w:pPr>
            <w:r>
              <w:rPr>
                <w:color w:val="auto"/>
              </w:rPr>
              <w:t>SO</w:t>
            </w:r>
            <w:r>
              <w:rPr>
                <w:color w:val="auto"/>
                <w:vertAlign w:val="subscript"/>
              </w:rPr>
              <w:t>2</w:t>
            </w:r>
          </w:p>
        </w:tc>
        <w:tc>
          <w:tcPr>
            <w:tcW w:w="951" w:type="pct"/>
            <w:tcBorders>
              <w:tl2br w:val="nil"/>
              <w:tr2bl w:val="nil"/>
            </w:tcBorders>
            <w:shd w:val="clear" w:color="auto" w:fill="auto"/>
            <w:noWrap w:val="0"/>
            <w:vAlign w:val="center"/>
          </w:tcPr>
          <w:p w14:paraId="5443BC79">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4134259E">
            <w:pPr>
              <w:spacing w:before="15" w:beforeLines="5" w:line="252" w:lineRule="auto"/>
              <w:jc w:val="center"/>
              <w:rPr>
                <w:color w:val="auto"/>
              </w:rPr>
            </w:pPr>
            <w:r>
              <w:rPr>
                <w:rFonts w:hint="eastAsia"/>
                <w:color w:val="auto"/>
              </w:rPr>
              <w:t>60</w:t>
            </w:r>
          </w:p>
        </w:tc>
        <w:tc>
          <w:tcPr>
            <w:tcW w:w="1750" w:type="pct"/>
            <w:vMerge w:val="continue"/>
            <w:tcBorders>
              <w:tl2br w:val="nil"/>
              <w:tr2bl w:val="nil"/>
            </w:tcBorders>
            <w:shd w:val="clear" w:color="auto" w:fill="auto"/>
            <w:noWrap w:val="0"/>
            <w:vAlign w:val="center"/>
          </w:tcPr>
          <w:p w14:paraId="7808BF87">
            <w:pPr>
              <w:spacing w:before="15" w:beforeLines="5" w:line="252" w:lineRule="auto"/>
              <w:jc w:val="center"/>
              <w:rPr>
                <w:color w:val="auto"/>
              </w:rPr>
            </w:pPr>
          </w:p>
        </w:tc>
      </w:tr>
      <w:tr w14:paraId="189FEC3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28820027">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2E1BC075">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2B0E0856">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4C540C27">
            <w:pPr>
              <w:spacing w:before="15" w:beforeLines="5" w:line="252" w:lineRule="auto"/>
              <w:jc w:val="center"/>
              <w:rPr>
                <w:color w:val="auto"/>
              </w:rPr>
            </w:pPr>
          </w:p>
        </w:tc>
      </w:tr>
      <w:tr w14:paraId="0C5F183E">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73C3B527">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47D6097">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1684395E">
            <w:pPr>
              <w:spacing w:before="15" w:beforeLines="5" w:line="252" w:lineRule="auto"/>
              <w:jc w:val="center"/>
              <w:rPr>
                <w:color w:val="auto"/>
              </w:rPr>
            </w:pPr>
            <w:r>
              <w:rPr>
                <w:rFonts w:hint="eastAsia"/>
                <w:color w:val="auto"/>
              </w:rPr>
              <w:t>500</w:t>
            </w:r>
          </w:p>
        </w:tc>
        <w:tc>
          <w:tcPr>
            <w:tcW w:w="1750" w:type="pct"/>
            <w:vMerge w:val="continue"/>
            <w:tcBorders>
              <w:tl2br w:val="nil"/>
              <w:tr2bl w:val="nil"/>
            </w:tcBorders>
            <w:shd w:val="clear" w:color="auto" w:fill="auto"/>
            <w:noWrap w:val="0"/>
            <w:vAlign w:val="center"/>
          </w:tcPr>
          <w:p w14:paraId="2FED6D0D">
            <w:pPr>
              <w:spacing w:before="15" w:beforeLines="5" w:line="252" w:lineRule="auto"/>
              <w:jc w:val="center"/>
              <w:rPr>
                <w:color w:val="auto"/>
              </w:rPr>
            </w:pPr>
          </w:p>
        </w:tc>
      </w:tr>
      <w:tr w14:paraId="3586974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2CD3F776">
            <w:pPr>
              <w:spacing w:before="15" w:beforeLines="5" w:line="252" w:lineRule="auto"/>
              <w:jc w:val="center"/>
              <w:rPr>
                <w:color w:val="auto"/>
              </w:rPr>
            </w:pPr>
            <w:r>
              <w:rPr>
                <w:color w:val="auto"/>
              </w:rPr>
              <w:t>NO</w:t>
            </w:r>
            <w:r>
              <w:rPr>
                <w:color w:val="auto"/>
                <w:vertAlign w:val="subscript"/>
              </w:rPr>
              <w:t>2</w:t>
            </w:r>
          </w:p>
        </w:tc>
        <w:tc>
          <w:tcPr>
            <w:tcW w:w="951" w:type="pct"/>
            <w:tcBorders>
              <w:tl2br w:val="nil"/>
              <w:tr2bl w:val="nil"/>
            </w:tcBorders>
            <w:shd w:val="clear" w:color="auto" w:fill="auto"/>
            <w:noWrap w:val="0"/>
            <w:vAlign w:val="center"/>
          </w:tcPr>
          <w:p w14:paraId="28C5AAC0">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52E04801">
            <w:pPr>
              <w:spacing w:before="15" w:beforeLines="5" w:line="252" w:lineRule="auto"/>
              <w:jc w:val="center"/>
              <w:rPr>
                <w:color w:val="auto"/>
              </w:rPr>
            </w:pPr>
            <w:r>
              <w:rPr>
                <w:rFonts w:hint="eastAsia"/>
                <w:color w:val="auto"/>
              </w:rPr>
              <w:t>40</w:t>
            </w:r>
          </w:p>
        </w:tc>
        <w:tc>
          <w:tcPr>
            <w:tcW w:w="1750" w:type="pct"/>
            <w:vMerge w:val="continue"/>
            <w:tcBorders>
              <w:tl2br w:val="nil"/>
              <w:tr2bl w:val="nil"/>
            </w:tcBorders>
            <w:shd w:val="clear" w:color="auto" w:fill="auto"/>
            <w:noWrap w:val="0"/>
            <w:vAlign w:val="center"/>
          </w:tcPr>
          <w:p w14:paraId="22FC51DA">
            <w:pPr>
              <w:spacing w:before="15" w:beforeLines="5" w:line="252" w:lineRule="auto"/>
              <w:jc w:val="center"/>
              <w:rPr>
                <w:color w:val="auto"/>
              </w:rPr>
            </w:pPr>
          </w:p>
        </w:tc>
      </w:tr>
      <w:tr w14:paraId="2C84DA2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0AEE1424">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41E4692B">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4C0585C4">
            <w:pPr>
              <w:spacing w:before="15" w:beforeLines="5" w:line="252" w:lineRule="auto"/>
              <w:jc w:val="center"/>
              <w:rPr>
                <w:color w:val="auto"/>
              </w:rPr>
            </w:pPr>
            <w:r>
              <w:rPr>
                <w:rFonts w:hint="eastAsia"/>
                <w:color w:val="auto"/>
              </w:rPr>
              <w:t>80</w:t>
            </w:r>
          </w:p>
        </w:tc>
        <w:tc>
          <w:tcPr>
            <w:tcW w:w="1750" w:type="pct"/>
            <w:vMerge w:val="continue"/>
            <w:tcBorders>
              <w:tl2br w:val="nil"/>
              <w:tr2bl w:val="nil"/>
            </w:tcBorders>
            <w:shd w:val="clear" w:color="auto" w:fill="auto"/>
            <w:noWrap w:val="0"/>
            <w:vAlign w:val="center"/>
          </w:tcPr>
          <w:p w14:paraId="15A0225D">
            <w:pPr>
              <w:spacing w:before="15" w:beforeLines="5" w:line="252" w:lineRule="auto"/>
              <w:jc w:val="center"/>
              <w:rPr>
                <w:color w:val="auto"/>
              </w:rPr>
            </w:pPr>
          </w:p>
        </w:tc>
      </w:tr>
      <w:tr w14:paraId="3AB0532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6961CC9D">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5A868C03">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1988BF2E">
            <w:pPr>
              <w:spacing w:before="15" w:beforeLines="5" w:line="252" w:lineRule="auto"/>
              <w:jc w:val="center"/>
              <w:rPr>
                <w:color w:val="auto"/>
              </w:rPr>
            </w:pPr>
            <w:r>
              <w:rPr>
                <w:rFonts w:hint="eastAsia"/>
                <w:color w:val="auto"/>
              </w:rPr>
              <w:t>200</w:t>
            </w:r>
          </w:p>
        </w:tc>
        <w:tc>
          <w:tcPr>
            <w:tcW w:w="1750" w:type="pct"/>
            <w:vMerge w:val="continue"/>
            <w:tcBorders>
              <w:tl2br w:val="nil"/>
              <w:tr2bl w:val="nil"/>
            </w:tcBorders>
            <w:shd w:val="clear" w:color="auto" w:fill="auto"/>
            <w:noWrap w:val="0"/>
            <w:vAlign w:val="center"/>
          </w:tcPr>
          <w:p w14:paraId="74C7242D">
            <w:pPr>
              <w:spacing w:before="15" w:beforeLines="5" w:line="252" w:lineRule="auto"/>
              <w:jc w:val="center"/>
              <w:rPr>
                <w:color w:val="auto"/>
              </w:rPr>
            </w:pPr>
          </w:p>
        </w:tc>
      </w:tr>
      <w:tr w14:paraId="0F3E5C6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CBEB89C">
            <w:pPr>
              <w:spacing w:before="15" w:beforeLines="5" w:line="252" w:lineRule="auto"/>
              <w:jc w:val="center"/>
              <w:rPr>
                <w:color w:val="auto"/>
              </w:rPr>
            </w:pPr>
            <w:r>
              <w:rPr>
                <w:color w:val="auto"/>
              </w:rPr>
              <w:t>氟化物</w:t>
            </w:r>
          </w:p>
        </w:tc>
        <w:tc>
          <w:tcPr>
            <w:tcW w:w="951" w:type="pct"/>
            <w:tcBorders>
              <w:tl2br w:val="nil"/>
              <w:tr2bl w:val="nil"/>
            </w:tcBorders>
            <w:shd w:val="clear" w:color="auto" w:fill="auto"/>
            <w:noWrap w:val="0"/>
            <w:vAlign w:val="center"/>
          </w:tcPr>
          <w:p w14:paraId="4601F753">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569B5EBD">
            <w:pPr>
              <w:spacing w:before="15" w:beforeLines="5" w:line="252" w:lineRule="auto"/>
              <w:jc w:val="center"/>
              <w:rPr>
                <w:color w:val="auto"/>
              </w:rPr>
            </w:pPr>
            <w:r>
              <w:rPr>
                <w:color w:val="auto"/>
              </w:rPr>
              <w:t>20</w:t>
            </w:r>
          </w:p>
        </w:tc>
        <w:tc>
          <w:tcPr>
            <w:tcW w:w="1750" w:type="pct"/>
            <w:vMerge w:val="continue"/>
            <w:tcBorders>
              <w:tl2br w:val="nil"/>
              <w:tr2bl w:val="nil"/>
            </w:tcBorders>
            <w:shd w:val="clear" w:color="auto" w:fill="auto"/>
            <w:noWrap w:val="0"/>
            <w:vAlign w:val="center"/>
          </w:tcPr>
          <w:p w14:paraId="67C18BB2">
            <w:pPr>
              <w:spacing w:before="15" w:beforeLines="5" w:line="252" w:lineRule="auto"/>
              <w:jc w:val="center"/>
              <w:rPr>
                <w:color w:val="auto"/>
              </w:rPr>
            </w:pPr>
          </w:p>
        </w:tc>
      </w:tr>
      <w:tr w14:paraId="0A022DD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90" w:hRule="atLeast"/>
        </w:trPr>
        <w:tc>
          <w:tcPr>
            <w:tcW w:w="612" w:type="pct"/>
            <w:vMerge w:val="continue"/>
            <w:tcBorders>
              <w:tl2br w:val="nil"/>
              <w:tr2bl w:val="nil"/>
            </w:tcBorders>
            <w:shd w:val="clear" w:color="auto" w:fill="auto"/>
            <w:noWrap w:val="0"/>
            <w:vAlign w:val="center"/>
          </w:tcPr>
          <w:p w14:paraId="12BBDD59">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187E5F3A">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1E7F0C8">
            <w:pPr>
              <w:spacing w:before="15" w:beforeLines="5" w:line="252" w:lineRule="auto"/>
              <w:jc w:val="center"/>
              <w:rPr>
                <w:color w:val="auto"/>
              </w:rPr>
            </w:pPr>
            <w:r>
              <w:rPr>
                <w:color w:val="auto"/>
              </w:rPr>
              <w:t>7</w:t>
            </w:r>
          </w:p>
        </w:tc>
        <w:tc>
          <w:tcPr>
            <w:tcW w:w="1750" w:type="pct"/>
            <w:vMerge w:val="continue"/>
            <w:tcBorders>
              <w:tl2br w:val="nil"/>
              <w:tr2bl w:val="nil"/>
            </w:tcBorders>
            <w:shd w:val="clear" w:color="auto" w:fill="auto"/>
            <w:noWrap w:val="0"/>
            <w:vAlign w:val="center"/>
          </w:tcPr>
          <w:p w14:paraId="2CB087F9">
            <w:pPr>
              <w:spacing w:before="15" w:beforeLines="5" w:line="252" w:lineRule="auto"/>
              <w:jc w:val="center"/>
              <w:rPr>
                <w:color w:val="auto"/>
              </w:rPr>
            </w:pPr>
          </w:p>
        </w:tc>
      </w:tr>
      <w:tr w14:paraId="12C7C73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4401B2B">
            <w:pPr>
              <w:spacing w:before="15" w:beforeLines="5" w:line="252" w:lineRule="auto"/>
              <w:jc w:val="center"/>
              <w:rPr>
                <w:color w:val="auto"/>
              </w:rPr>
            </w:pPr>
            <w:r>
              <w:rPr>
                <w:color w:val="auto"/>
              </w:rPr>
              <w:t>HCl</w:t>
            </w:r>
          </w:p>
        </w:tc>
        <w:tc>
          <w:tcPr>
            <w:tcW w:w="951" w:type="pct"/>
            <w:tcBorders>
              <w:tl2br w:val="nil"/>
              <w:tr2bl w:val="nil"/>
            </w:tcBorders>
            <w:shd w:val="clear" w:color="auto" w:fill="auto"/>
            <w:noWrap w:val="0"/>
            <w:vAlign w:val="center"/>
          </w:tcPr>
          <w:p w14:paraId="75517B55">
            <w:pPr>
              <w:spacing w:before="15" w:beforeLines="5" w:line="252" w:lineRule="auto"/>
              <w:jc w:val="center"/>
              <w:rPr>
                <w:color w:val="auto"/>
              </w:rPr>
            </w:pPr>
            <w:r>
              <w:rPr>
                <w:color w:val="auto"/>
              </w:rPr>
              <w:t>一次值</w:t>
            </w:r>
          </w:p>
        </w:tc>
        <w:tc>
          <w:tcPr>
            <w:tcW w:w="1685" w:type="pct"/>
            <w:tcBorders>
              <w:tl2br w:val="nil"/>
              <w:tr2bl w:val="nil"/>
            </w:tcBorders>
            <w:shd w:val="clear" w:color="auto" w:fill="auto"/>
            <w:noWrap w:val="0"/>
            <w:vAlign w:val="center"/>
          </w:tcPr>
          <w:p w14:paraId="5F793914">
            <w:pPr>
              <w:spacing w:before="15" w:beforeLines="5" w:line="252" w:lineRule="auto"/>
              <w:jc w:val="center"/>
              <w:rPr>
                <w:color w:val="auto"/>
              </w:rPr>
            </w:pPr>
            <w:r>
              <w:rPr>
                <w:rFonts w:hint="eastAsia"/>
                <w:color w:val="auto"/>
              </w:rPr>
              <w:t>50</w:t>
            </w:r>
          </w:p>
        </w:tc>
        <w:tc>
          <w:tcPr>
            <w:tcW w:w="1750" w:type="pct"/>
            <w:vMerge w:val="restart"/>
            <w:tcBorders>
              <w:tl2br w:val="nil"/>
              <w:tr2bl w:val="nil"/>
            </w:tcBorders>
            <w:shd w:val="clear" w:color="auto" w:fill="auto"/>
            <w:noWrap w:val="0"/>
            <w:vAlign w:val="center"/>
          </w:tcPr>
          <w:p w14:paraId="1766236C">
            <w:pPr>
              <w:spacing w:before="15" w:beforeLines="5" w:line="252" w:lineRule="auto"/>
              <w:jc w:val="center"/>
              <w:rPr>
                <w:color w:val="auto"/>
              </w:rPr>
            </w:pPr>
            <w:r>
              <w:rPr>
                <w:color w:val="auto"/>
              </w:rPr>
              <w:t>《工业企业设计卫生标准》（TJ36-79）</w:t>
            </w:r>
          </w:p>
        </w:tc>
      </w:tr>
      <w:tr w14:paraId="5CA9266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1FB49E26">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4731697">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5A546028">
            <w:pPr>
              <w:spacing w:before="15" w:beforeLines="5" w:line="252" w:lineRule="auto"/>
              <w:jc w:val="center"/>
              <w:rPr>
                <w:color w:val="auto"/>
              </w:rPr>
            </w:pPr>
            <w:r>
              <w:rPr>
                <w:rFonts w:hint="eastAsia"/>
                <w:color w:val="auto"/>
              </w:rPr>
              <w:t>15</w:t>
            </w:r>
          </w:p>
        </w:tc>
        <w:tc>
          <w:tcPr>
            <w:tcW w:w="1750" w:type="pct"/>
            <w:vMerge w:val="continue"/>
            <w:tcBorders>
              <w:tl2br w:val="nil"/>
              <w:tr2bl w:val="nil"/>
            </w:tcBorders>
            <w:shd w:val="clear" w:color="auto" w:fill="auto"/>
            <w:noWrap w:val="0"/>
            <w:vAlign w:val="center"/>
          </w:tcPr>
          <w:p w14:paraId="219DA7C6">
            <w:pPr>
              <w:spacing w:before="15" w:beforeLines="5" w:line="252" w:lineRule="auto"/>
              <w:jc w:val="center"/>
              <w:rPr>
                <w:color w:val="auto"/>
              </w:rPr>
            </w:pPr>
          </w:p>
        </w:tc>
      </w:tr>
      <w:tr w14:paraId="0BB1D80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tcBorders>
              <w:tl2br w:val="nil"/>
              <w:tr2bl w:val="nil"/>
            </w:tcBorders>
            <w:shd w:val="clear" w:color="auto" w:fill="auto"/>
            <w:noWrap w:val="0"/>
            <w:vAlign w:val="center"/>
          </w:tcPr>
          <w:p w14:paraId="4CD9CB33">
            <w:pPr>
              <w:spacing w:before="31" w:beforeLines="10" w:line="264" w:lineRule="auto"/>
              <w:jc w:val="center"/>
              <w:rPr>
                <w:rFonts w:hint="eastAsia" w:eastAsia="宋体"/>
                <w:color w:val="auto"/>
                <w:lang w:val="en-US" w:eastAsia="zh-CN"/>
              </w:rPr>
            </w:pPr>
            <w:r>
              <w:rPr>
                <w:color w:val="auto"/>
              </w:rPr>
              <w:t>二噁英类</w:t>
            </w:r>
          </w:p>
        </w:tc>
        <w:tc>
          <w:tcPr>
            <w:tcW w:w="951" w:type="pct"/>
            <w:tcBorders>
              <w:tl2br w:val="nil"/>
              <w:tr2bl w:val="nil"/>
            </w:tcBorders>
            <w:shd w:val="clear" w:color="auto" w:fill="auto"/>
            <w:noWrap w:val="0"/>
            <w:vAlign w:val="center"/>
          </w:tcPr>
          <w:p w14:paraId="198D4545">
            <w:pPr>
              <w:spacing w:before="31" w:beforeLines="10" w:line="264"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5F8DB6F6">
            <w:pPr>
              <w:spacing w:before="31" w:beforeLines="10" w:line="264" w:lineRule="auto"/>
              <w:jc w:val="center"/>
              <w:rPr>
                <w:color w:val="auto"/>
              </w:rPr>
            </w:pPr>
            <w:r>
              <w:rPr>
                <w:color w:val="auto"/>
              </w:rPr>
              <w:t>0.6（pg-</w:t>
            </w:r>
            <w:r>
              <w:rPr>
                <w:color w:val="auto"/>
                <w:sz w:val="24"/>
              </w:rPr>
              <w:t>TEQ</w:t>
            </w:r>
            <w:r>
              <w:rPr>
                <w:color w:val="auto"/>
              </w:rPr>
              <w:t>/m</w:t>
            </w:r>
            <w:r>
              <w:rPr>
                <w:color w:val="auto"/>
                <w:vertAlign w:val="superscript"/>
              </w:rPr>
              <w:t>3</w:t>
            </w:r>
            <w:r>
              <w:rPr>
                <w:color w:val="auto"/>
              </w:rPr>
              <w:t>）</w:t>
            </w:r>
          </w:p>
        </w:tc>
        <w:tc>
          <w:tcPr>
            <w:tcW w:w="1750" w:type="pct"/>
            <w:tcBorders>
              <w:tl2br w:val="nil"/>
              <w:tr2bl w:val="nil"/>
            </w:tcBorders>
            <w:shd w:val="clear" w:color="auto" w:fill="auto"/>
            <w:noWrap w:val="0"/>
            <w:vAlign w:val="center"/>
          </w:tcPr>
          <w:p w14:paraId="36EA12F5">
            <w:pPr>
              <w:spacing w:before="31" w:beforeLines="10" w:line="264" w:lineRule="auto"/>
              <w:jc w:val="center"/>
              <w:rPr>
                <w:color w:val="auto"/>
              </w:rPr>
            </w:pPr>
            <w:r>
              <w:rPr>
                <w:color w:val="auto"/>
              </w:rPr>
              <w:t>日本环境厅中央环境审议会制定</w:t>
            </w:r>
          </w:p>
          <w:p w14:paraId="5EB49211">
            <w:pPr>
              <w:spacing w:before="31" w:beforeLines="10" w:line="264" w:lineRule="auto"/>
              <w:jc w:val="center"/>
              <w:rPr>
                <w:color w:val="auto"/>
              </w:rPr>
            </w:pPr>
            <w:r>
              <w:rPr>
                <w:color w:val="auto"/>
              </w:rPr>
              <w:t>的环境标准</w:t>
            </w:r>
          </w:p>
        </w:tc>
      </w:tr>
    </w:tbl>
    <w:p w14:paraId="0755687A">
      <w:pPr>
        <w:spacing w:line="360" w:lineRule="auto"/>
        <w:ind w:firstLine="480" w:firstLineChars="200"/>
        <w:jc w:val="left"/>
        <w:rPr>
          <w:rFonts w:hint="eastAsia"/>
          <w:b w:val="0"/>
          <w:bCs w:val="0"/>
          <w:color w:val="auto"/>
          <w:sz w:val="24"/>
          <w:szCs w:val="32"/>
          <w:lang w:val="en-US" w:eastAsia="zh-CN"/>
        </w:rPr>
      </w:pPr>
    </w:p>
    <w:p w14:paraId="4521B4DF">
      <w:pPr>
        <w:spacing w:line="360" w:lineRule="auto"/>
        <w:ind w:firstLine="480" w:firstLineChars="200"/>
        <w:jc w:val="left"/>
        <w:rPr>
          <w:rFonts w:hint="eastAsia"/>
          <w:b w:val="0"/>
          <w:bCs w:val="0"/>
          <w:color w:val="auto"/>
          <w:sz w:val="24"/>
          <w:szCs w:val="32"/>
          <w:lang w:val="en-US" w:eastAsia="zh-CN"/>
        </w:rPr>
      </w:pPr>
      <w:r>
        <w:rPr>
          <w:rFonts w:hint="eastAsia"/>
          <w:b w:val="0"/>
          <w:bCs w:val="0"/>
          <w:color w:val="auto"/>
          <w:sz w:val="24"/>
          <w:szCs w:val="32"/>
          <w:lang w:val="en-US" w:eastAsia="zh-CN"/>
        </w:rPr>
        <w:t>（3）监测结果</w:t>
      </w:r>
    </w:p>
    <w:p w14:paraId="2802DF2D">
      <w:pPr>
        <w:spacing w:line="360" w:lineRule="auto"/>
        <w:ind w:firstLine="480" w:firstLineChars="200"/>
        <w:jc w:val="left"/>
        <w:rPr>
          <w:rFonts w:hint="default"/>
          <w:b w:val="0"/>
          <w:bCs w:val="0"/>
          <w:color w:val="auto"/>
          <w:sz w:val="24"/>
          <w:szCs w:val="32"/>
          <w:lang w:val="en-US" w:eastAsia="zh-CN"/>
        </w:rPr>
      </w:pPr>
      <w:r>
        <w:rPr>
          <w:rFonts w:hint="eastAsia"/>
          <w:b w:val="0"/>
          <w:bCs w:val="0"/>
          <w:color w:val="auto"/>
          <w:sz w:val="24"/>
          <w:szCs w:val="32"/>
          <w:lang w:val="en-US" w:eastAsia="zh-CN"/>
        </w:rPr>
        <w:t>环评阶段大气环境质量现状监测结果如下：</w:t>
      </w:r>
    </w:p>
    <w:p w14:paraId="0F93848D">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表2-8 各监测点PM</w:t>
      </w:r>
      <w:r>
        <w:rPr>
          <w:rFonts w:hint="eastAsia"/>
          <w:b/>
          <w:bCs/>
          <w:color w:val="auto"/>
          <w:sz w:val="24"/>
          <w:szCs w:val="32"/>
          <w:vertAlign w:val="subscript"/>
          <w:lang w:val="en-US" w:eastAsia="zh-CN"/>
        </w:rPr>
        <w:t>10</w:t>
      </w:r>
      <w:r>
        <w:rPr>
          <w:rFonts w:hint="eastAsia"/>
          <w:b/>
          <w:bCs/>
          <w:color w:val="auto"/>
          <w:sz w:val="24"/>
          <w:szCs w:val="32"/>
          <w:lang w:val="en-US" w:eastAsia="zh-CN"/>
        </w:rPr>
        <w:t>日均浓度统计表   标准值：150ug/Nm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47"/>
        <w:gridCol w:w="2592"/>
        <w:gridCol w:w="1873"/>
        <w:gridCol w:w="1391"/>
        <w:gridCol w:w="924"/>
        <w:gridCol w:w="1026"/>
        <w:gridCol w:w="1405"/>
      </w:tblGrid>
      <w:tr w14:paraId="4F05C0D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676" w:type="pct"/>
            <w:gridSpan w:val="2"/>
            <w:tcBorders>
              <w:tl2br w:val="nil"/>
              <w:tr2bl w:val="nil"/>
            </w:tcBorders>
            <w:shd w:val="clear" w:color="auto" w:fill="auto"/>
            <w:noWrap w:val="0"/>
            <w:vAlign w:val="center"/>
          </w:tcPr>
          <w:p w14:paraId="224DD92B">
            <w:pPr>
              <w:spacing w:before="31" w:beforeLines="10" w:line="264" w:lineRule="auto"/>
              <w:jc w:val="center"/>
              <w:rPr>
                <w:b/>
                <w:color w:val="auto"/>
              </w:rPr>
            </w:pPr>
            <w:r>
              <w:rPr>
                <w:b/>
                <w:color w:val="auto"/>
              </w:rPr>
              <w:t>监测点位</w:t>
            </w:r>
          </w:p>
        </w:tc>
        <w:tc>
          <w:tcPr>
            <w:tcW w:w="940" w:type="pct"/>
            <w:tcBorders>
              <w:tl2br w:val="nil"/>
              <w:tr2bl w:val="nil"/>
            </w:tcBorders>
            <w:shd w:val="clear" w:color="auto" w:fill="auto"/>
            <w:noWrap w:val="0"/>
            <w:vAlign w:val="center"/>
          </w:tcPr>
          <w:p w14:paraId="6466B26D">
            <w:pPr>
              <w:spacing w:before="31" w:beforeLines="10" w:line="264" w:lineRule="auto"/>
              <w:jc w:val="center"/>
              <w:rPr>
                <w:b/>
                <w:color w:val="auto"/>
              </w:rPr>
            </w:pPr>
            <w:r>
              <w:rPr>
                <w:b/>
                <w:color w:val="auto"/>
              </w:rPr>
              <w:t>浓度范围</w:t>
            </w:r>
          </w:p>
          <w:p w14:paraId="5B33374A">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698" w:type="pct"/>
            <w:tcBorders>
              <w:tl2br w:val="nil"/>
              <w:tr2bl w:val="nil"/>
            </w:tcBorders>
            <w:shd w:val="clear" w:color="auto" w:fill="auto"/>
            <w:noWrap w:val="0"/>
            <w:vAlign w:val="center"/>
          </w:tcPr>
          <w:p w14:paraId="67C8E416">
            <w:pPr>
              <w:spacing w:before="31" w:beforeLines="10" w:line="264" w:lineRule="auto"/>
              <w:jc w:val="center"/>
              <w:rPr>
                <w:b/>
                <w:color w:val="auto"/>
              </w:rPr>
            </w:pPr>
            <w:r>
              <w:rPr>
                <w:b/>
                <w:color w:val="auto"/>
              </w:rPr>
              <w:t>最大占</w:t>
            </w:r>
          </w:p>
          <w:p w14:paraId="01CC6FAE">
            <w:pPr>
              <w:spacing w:before="31" w:beforeLines="10" w:line="264" w:lineRule="auto"/>
              <w:jc w:val="center"/>
              <w:rPr>
                <w:b/>
                <w:color w:val="auto"/>
              </w:rPr>
            </w:pPr>
            <w:r>
              <w:rPr>
                <w:b/>
                <w:color w:val="auto"/>
              </w:rPr>
              <w:t>标率（%）</w:t>
            </w:r>
          </w:p>
        </w:tc>
        <w:tc>
          <w:tcPr>
            <w:tcW w:w="464" w:type="pct"/>
            <w:tcBorders>
              <w:tl2br w:val="nil"/>
              <w:tr2bl w:val="nil"/>
            </w:tcBorders>
            <w:shd w:val="clear" w:color="auto" w:fill="auto"/>
            <w:noWrap w:val="0"/>
            <w:vAlign w:val="center"/>
          </w:tcPr>
          <w:p w14:paraId="507708B5">
            <w:pPr>
              <w:spacing w:before="31" w:beforeLines="10" w:line="264" w:lineRule="auto"/>
              <w:jc w:val="center"/>
              <w:rPr>
                <w:b/>
                <w:color w:val="auto"/>
              </w:rPr>
            </w:pPr>
            <w:r>
              <w:rPr>
                <w:b/>
                <w:color w:val="auto"/>
              </w:rPr>
              <w:t>超标</w:t>
            </w:r>
          </w:p>
          <w:p w14:paraId="657188CC">
            <w:pPr>
              <w:spacing w:before="31" w:beforeLines="10" w:line="264" w:lineRule="auto"/>
              <w:jc w:val="center"/>
              <w:rPr>
                <w:b/>
                <w:color w:val="auto"/>
              </w:rPr>
            </w:pPr>
            <w:r>
              <w:rPr>
                <w:b/>
                <w:color w:val="auto"/>
              </w:rPr>
              <w:t>个数</w:t>
            </w:r>
          </w:p>
        </w:tc>
        <w:tc>
          <w:tcPr>
            <w:tcW w:w="515" w:type="pct"/>
            <w:tcBorders>
              <w:tl2br w:val="nil"/>
              <w:tr2bl w:val="nil"/>
            </w:tcBorders>
            <w:shd w:val="clear" w:color="auto" w:fill="auto"/>
            <w:noWrap w:val="0"/>
            <w:vAlign w:val="center"/>
          </w:tcPr>
          <w:p w14:paraId="75659261">
            <w:pPr>
              <w:spacing w:before="31" w:beforeLines="10" w:line="264" w:lineRule="auto"/>
              <w:jc w:val="center"/>
              <w:rPr>
                <w:b/>
                <w:color w:val="auto"/>
              </w:rPr>
            </w:pPr>
            <w:r>
              <w:rPr>
                <w:b/>
                <w:color w:val="auto"/>
              </w:rPr>
              <w:t>超标率</w:t>
            </w:r>
          </w:p>
          <w:p w14:paraId="62EEE1F5">
            <w:pPr>
              <w:spacing w:before="31" w:beforeLines="10" w:line="264" w:lineRule="auto"/>
              <w:jc w:val="center"/>
              <w:rPr>
                <w:b/>
                <w:color w:val="auto"/>
              </w:rPr>
            </w:pPr>
            <w:r>
              <w:rPr>
                <w:b/>
                <w:color w:val="auto"/>
              </w:rPr>
              <w:t>（%）</w:t>
            </w:r>
          </w:p>
        </w:tc>
        <w:tc>
          <w:tcPr>
            <w:tcW w:w="705" w:type="pct"/>
            <w:tcBorders>
              <w:tl2br w:val="nil"/>
              <w:tr2bl w:val="nil"/>
            </w:tcBorders>
            <w:shd w:val="clear" w:color="auto" w:fill="auto"/>
            <w:noWrap w:val="0"/>
            <w:vAlign w:val="center"/>
          </w:tcPr>
          <w:p w14:paraId="457CA576">
            <w:pPr>
              <w:spacing w:before="31" w:beforeLines="10" w:line="264" w:lineRule="auto"/>
              <w:jc w:val="center"/>
              <w:rPr>
                <w:b/>
                <w:color w:val="auto"/>
              </w:rPr>
            </w:pPr>
            <w:r>
              <w:rPr>
                <w:b/>
                <w:color w:val="auto"/>
              </w:rPr>
              <w:t>达标</w:t>
            </w:r>
          </w:p>
          <w:p w14:paraId="44335A69">
            <w:pPr>
              <w:spacing w:before="31" w:beforeLines="10" w:line="264" w:lineRule="auto"/>
              <w:jc w:val="center"/>
              <w:rPr>
                <w:b/>
                <w:color w:val="auto"/>
              </w:rPr>
            </w:pPr>
            <w:r>
              <w:rPr>
                <w:b/>
                <w:color w:val="auto"/>
              </w:rPr>
              <w:t>情况</w:t>
            </w:r>
          </w:p>
        </w:tc>
      </w:tr>
      <w:tr w14:paraId="764CC1B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63807371">
            <w:pPr>
              <w:spacing w:before="31" w:beforeLines="10" w:line="264" w:lineRule="auto"/>
              <w:jc w:val="center"/>
              <w:rPr>
                <w:color w:val="auto"/>
              </w:rPr>
            </w:pPr>
            <w:r>
              <w:rPr>
                <w:color w:val="auto"/>
              </w:rPr>
              <w:t>G1</w:t>
            </w:r>
          </w:p>
        </w:tc>
        <w:tc>
          <w:tcPr>
            <w:tcW w:w="1300" w:type="pct"/>
            <w:tcBorders>
              <w:tl2br w:val="nil"/>
              <w:tr2bl w:val="nil"/>
            </w:tcBorders>
            <w:shd w:val="clear" w:color="auto" w:fill="auto"/>
            <w:noWrap w:val="0"/>
            <w:vAlign w:val="top"/>
          </w:tcPr>
          <w:p w14:paraId="562C3B8F">
            <w:pPr>
              <w:jc w:val="center"/>
              <w:rPr>
                <w:color w:val="auto"/>
              </w:rPr>
            </w:pPr>
            <w:r>
              <w:rPr>
                <w:color w:val="auto"/>
              </w:rPr>
              <w:t>星河花园小区</w:t>
            </w:r>
          </w:p>
        </w:tc>
        <w:tc>
          <w:tcPr>
            <w:tcW w:w="940" w:type="pct"/>
            <w:tcBorders>
              <w:tl2br w:val="nil"/>
              <w:tr2bl w:val="nil"/>
            </w:tcBorders>
            <w:shd w:val="clear" w:color="auto" w:fill="auto"/>
            <w:noWrap w:val="0"/>
            <w:vAlign w:val="center"/>
          </w:tcPr>
          <w:p w14:paraId="70C7888C">
            <w:pPr>
              <w:spacing w:before="31" w:beforeLines="10" w:line="264" w:lineRule="auto"/>
              <w:jc w:val="center"/>
              <w:rPr>
                <w:color w:val="auto"/>
              </w:rPr>
            </w:pPr>
            <w:r>
              <w:rPr>
                <w:color w:val="auto"/>
              </w:rPr>
              <w:t>61</w:t>
            </w:r>
            <w:r>
              <w:rPr>
                <w:color w:val="auto"/>
                <w:szCs w:val="21"/>
              </w:rPr>
              <w:t>～95</w:t>
            </w:r>
          </w:p>
        </w:tc>
        <w:tc>
          <w:tcPr>
            <w:tcW w:w="698" w:type="pct"/>
            <w:tcBorders>
              <w:tl2br w:val="nil"/>
              <w:tr2bl w:val="nil"/>
            </w:tcBorders>
            <w:shd w:val="clear" w:color="auto" w:fill="auto"/>
            <w:noWrap w:val="0"/>
            <w:vAlign w:val="center"/>
          </w:tcPr>
          <w:p w14:paraId="28400237">
            <w:pPr>
              <w:jc w:val="center"/>
              <w:rPr>
                <w:color w:val="auto"/>
                <w:sz w:val="24"/>
              </w:rPr>
            </w:pPr>
            <w:r>
              <w:rPr>
                <w:color w:val="auto"/>
              </w:rPr>
              <w:t>63.33</w:t>
            </w:r>
          </w:p>
        </w:tc>
        <w:tc>
          <w:tcPr>
            <w:tcW w:w="464" w:type="pct"/>
            <w:tcBorders>
              <w:tl2br w:val="nil"/>
              <w:tr2bl w:val="nil"/>
            </w:tcBorders>
            <w:shd w:val="clear" w:color="auto" w:fill="auto"/>
            <w:noWrap w:val="0"/>
            <w:vAlign w:val="center"/>
          </w:tcPr>
          <w:p w14:paraId="292A4617">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5FCEECD9">
            <w:pPr>
              <w:spacing w:before="31" w:beforeLines="10" w:line="264" w:lineRule="auto"/>
              <w:jc w:val="center"/>
              <w:rPr>
                <w:color w:val="auto"/>
              </w:rPr>
            </w:pPr>
            <w:r>
              <w:rPr>
                <w:color w:val="auto"/>
              </w:rPr>
              <w:t>0</w:t>
            </w:r>
          </w:p>
        </w:tc>
        <w:tc>
          <w:tcPr>
            <w:tcW w:w="705" w:type="pct"/>
            <w:tcBorders>
              <w:tl2br w:val="nil"/>
              <w:tr2bl w:val="nil"/>
            </w:tcBorders>
            <w:shd w:val="clear" w:color="auto" w:fill="auto"/>
            <w:noWrap w:val="0"/>
            <w:vAlign w:val="center"/>
          </w:tcPr>
          <w:p w14:paraId="504A0385">
            <w:pPr>
              <w:spacing w:before="31" w:beforeLines="10" w:line="264" w:lineRule="auto"/>
              <w:jc w:val="center"/>
              <w:rPr>
                <w:color w:val="auto"/>
              </w:rPr>
            </w:pPr>
            <w:r>
              <w:rPr>
                <w:color w:val="auto"/>
              </w:rPr>
              <w:t>达标</w:t>
            </w:r>
          </w:p>
        </w:tc>
      </w:tr>
      <w:tr w14:paraId="0615B94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5EEFB7E8">
            <w:pPr>
              <w:spacing w:before="31" w:beforeLines="10" w:line="264" w:lineRule="auto"/>
              <w:jc w:val="center"/>
              <w:rPr>
                <w:color w:val="auto"/>
              </w:rPr>
            </w:pPr>
            <w:r>
              <w:rPr>
                <w:color w:val="auto"/>
              </w:rPr>
              <w:t>G2</w:t>
            </w:r>
          </w:p>
        </w:tc>
        <w:tc>
          <w:tcPr>
            <w:tcW w:w="1300" w:type="pct"/>
            <w:tcBorders>
              <w:tl2br w:val="nil"/>
              <w:tr2bl w:val="nil"/>
            </w:tcBorders>
            <w:shd w:val="clear" w:color="auto" w:fill="auto"/>
            <w:noWrap w:val="0"/>
            <w:vAlign w:val="top"/>
          </w:tcPr>
          <w:p w14:paraId="6E0AB4DC">
            <w:pPr>
              <w:jc w:val="center"/>
              <w:rPr>
                <w:rFonts w:hint="eastAsia" w:eastAsia="宋体"/>
                <w:color w:val="auto"/>
                <w:lang w:eastAsia="zh-CN"/>
              </w:rPr>
            </w:pPr>
            <w:r>
              <w:rPr>
                <w:color w:val="auto"/>
              </w:rPr>
              <w:t>项目</w:t>
            </w:r>
            <w:r>
              <w:rPr>
                <w:rFonts w:hint="eastAsia"/>
                <w:color w:val="auto"/>
                <w:lang w:val="en-US" w:eastAsia="zh-CN"/>
              </w:rPr>
              <w:t>地</w:t>
            </w:r>
          </w:p>
        </w:tc>
        <w:tc>
          <w:tcPr>
            <w:tcW w:w="940" w:type="pct"/>
            <w:tcBorders>
              <w:tl2br w:val="nil"/>
              <w:tr2bl w:val="nil"/>
            </w:tcBorders>
            <w:shd w:val="clear" w:color="auto" w:fill="auto"/>
            <w:noWrap w:val="0"/>
            <w:vAlign w:val="center"/>
          </w:tcPr>
          <w:p w14:paraId="0B947475">
            <w:pPr>
              <w:spacing w:before="31" w:beforeLines="10" w:line="264" w:lineRule="auto"/>
              <w:jc w:val="center"/>
              <w:rPr>
                <w:color w:val="auto"/>
              </w:rPr>
            </w:pPr>
            <w:r>
              <w:rPr>
                <w:color w:val="auto"/>
              </w:rPr>
              <w:t>62</w:t>
            </w:r>
            <w:r>
              <w:rPr>
                <w:color w:val="auto"/>
                <w:szCs w:val="21"/>
              </w:rPr>
              <w:t>～83</w:t>
            </w:r>
          </w:p>
        </w:tc>
        <w:tc>
          <w:tcPr>
            <w:tcW w:w="698" w:type="pct"/>
            <w:tcBorders>
              <w:tl2br w:val="nil"/>
              <w:tr2bl w:val="nil"/>
            </w:tcBorders>
            <w:shd w:val="clear" w:color="auto" w:fill="auto"/>
            <w:noWrap w:val="0"/>
            <w:vAlign w:val="center"/>
          </w:tcPr>
          <w:p w14:paraId="347E7A69">
            <w:pPr>
              <w:jc w:val="center"/>
              <w:rPr>
                <w:color w:val="auto"/>
                <w:sz w:val="24"/>
              </w:rPr>
            </w:pPr>
            <w:r>
              <w:rPr>
                <w:color w:val="auto"/>
              </w:rPr>
              <w:t>55.33</w:t>
            </w:r>
          </w:p>
        </w:tc>
        <w:tc>
          <w:tcPr>
            <w:tcW w:w="464" w:type="pct"/>
            <w:tcBorders>
              <w:tl2br w:val="nil"/>
              <w:tr2bl w:val="nil"/>
            </w:tcBorders>
            <w:shd w:val="clear" w:color="auto" w:fill="auto"/>
            <w:noWrap w:val="0"/>
            <w:vAlign w:val="center"/>
          </w:tcPr>
          <w:p w14:paraId="37ED769C">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1BCA4ACB">
            <w:pPr>
              <w:spacing w:before="31" w:beforeLines="10" w:line="264" w:lineRule="auto"/>
              <w:jc w:val="center"/>
              <w:rPr>
                <w:color w:val="auto"/>
              </w:rPr>
            </w:pPr>
            <w:r>
              <w:rPr>
                <w:color w:val="auto"/>
              </w:rPr>
              <w:t>0</w:t>
            </w:r>
          </w:p>
        </w:tc>
        <w:tc>
          <w:tcPr>
            <w:tcW w:w="705" w:type="pct"/>
            <w:tcBorders>
              <w:tl2br w:val="nil"/>
              <w:tr2bl w:val="nil"/>
            </w:tcBorders>
            <w:shd w:val="clear" w:color="auto" w:fill="auto"/>
            <w:noWrap w:val="0"/>
            <w:vAlign w:val="center"/>
          </w:tcPr>
          <w:p w14:paraId="6D6262F0">
            <w:pPr>
              <w:spacing w:before="31" w:beforeLines="10" w:line="264" w:lineRule="auto"/>
              <w:jc w:val="center"/>
              <w:rPr>
                <w:color w:val="auto"/>
              </w:rPr>
            </w:pPr>
            <w:r>
              <w:rPr>
                <w:color w:val="auto"/>
              </w:rPr>
              <w:t>达标</w:t>
            </w:r>
          </w:p>
        </w:tc>
      </w:tr>
      <w:tr w14:paraId="0505A50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0B47AF02">
            <w:pPr>
              <w:spacing w:before="31" w:beforeLines="10" w:line="264" w:lineRule="auto"/>
              <w:jc w:val="center"/>
              <w:rPr>
                <w:color w:val="auto"/>
              </w:rPr>
            </w:pPr>
            <w:r>
              <w:rPr>
                <w:color w:val="auto"/>
              </w:rPr>
              <w:t>G3</w:t>
            </w:r>
          </w:p>
        </w:tc>
        <w:tc>
          <w:tcPr>
            <w:tcW w:w="1300" w:type="pct"/>
            <w:tcBorders>
              <w:tl2br w:val="nil"/>
              <w:tr2bl w:val="nil"/>
            </w:tcBorders>
            <w:shd w:val="clear" w:color="auto" w:fill="auto"/>
            <w:noWrap w:val="0"/>
            <w:vAlign w:val="top"/>
          </w:tcPr>
          <w:p w14:paraId="560031E6">
            <w:pPr>
              <w:jc w:val="center"/>
              <w:rPr>
                <w:color w:val="auto"/>
              </w:rPr>
            </w:pPr>
            <w:r>
              <w:rPr>
                <w:color w:val="auto"/>
              </w:rPr>
              <w:t>刘桥镇</w:t>
            </w:r>
          </w:p>
        </w:tc>
        <w:tc>
          <w:tcPr>
            <w:tcW w:w="940" w:type="pct"/>
            <w:tcBorders>
              <w:tl2br w:val="nil"/>
              <w:tr2bl w:val="nil"/>
            </w:tcBorders>
            <w:shd w:val="clear" w:color="auto" w:fill="auto"/>
            <w:noWrap w:val="0"/>
            <w:vAlign w:val="center"/>
          </w:tcPr>
          <w:p w14:paraId="22B6B3ED">
            <w:pPr>
              <w:spacing w:before="31" w:beforeLines="10" w:line="264" w:lineRule="auto"/>
              <w:jc w:val="center"/>
              <w:rPr>
                <w:color w:val="auto"/>
              </w:rPr>
            </w:pPr>
            <w:r>
              <w:rPr>
                <w:color w:val="auto"/>
              </w:rPr>
              <w:t>63</w:t>
            </w:r>
            <w:r>
              <w:rPr>
                <w:color w:val="auto"/>
                <w:szCs w:val="21"/>
              </w:rPr>
              <w:t>～82</w:t>
            </w:r>
          </w:p>
        </w:tc>
        <w:tc>
          <w:tcPr>
            <w:tcW w:w="698" w:type="pct"/>
            <w:tcBorders>
              <w:tl2br w:val="nil"/>
              <w:tr2bl w:val="nil"/>
            </w:tcBorders>
            <w:shd w:val="clear" w:color="auto" w:fill="auto"/>
            <w:noWrap w:val="0"/>
            <w:vAlign w:val="center"/>
          </w:tcPr>
          <w:p w14:paraId="61F0FDDD">
            <w:pPr>
              <w:jc w:val="center"/>
              <w:rPr>
                <w:color w:val="auto"/>
                <w:sz w:val="24"/>
              </w:rPr>
            </w:pPr>
            <w:r>
              <w:rPr>
                <w:color w:val="auto"/>
              </w:rPr>
              <w:t>54.67</w:t>
            </w:r>
          </w:p>
        </w:tc>
        <w:tc>
          <w:tcPr>
            <w:tcW w:w="464" w:type="pct"/>
            <w:tcBorders>
              <w:tl2br w:val="nil"/>
              <w:tr2bl w:val="nil"/>
            </w:tcBorders>
            <w:shd w:val="clear" w:color="auto" w:fill="auto"/>
            <w:noWrap w:val="0"/>
            <w:vAlign w:val="center"/>
          </w:tcPr>
          <w:p w14:paraId="00DB67C1">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43DFB61A">
            <w:pPr>
              <w:jc w:val="center"/>
              <w:rPr>
                <w:color w:val="auto"/>
                <w:sz w:val="24"/>
              </w:rPr>
            </w:pPr>
            <w:r>
              <w:rPr>
                <w:color w:val="auto"/>
              </w:rPr>
              <w:t>0</w:t>
            </w:r>
          </w:p>
        </w:tc>
        <w:tc>
          <w:tcPr>
            <w:tcW w:w="705" w:type="pct"/>
            <w:tcBorders>
              <w:tl2br w:val="nil"/>
              <w:tr2bl w:val="nil"/>
            </w:tcBorders>
            <w:shd w:val="clear" w:color="auto" w:fill="auto"/>
            <w:noWrap w:val="0"/>
            <w:vAlign w:val="center"/>
          </w:tcPr>
          <w:p w14:paraId="4989DC80">
            <w:pPr>
              <w:spacing w:before="31" w:beforeLines="10" w:line="264" w:lineRule="auto"/>
              <w:jc w:val="center"/>
              <w:rPr>
                <w:color w:val="auto"/>
              </w:rPr>
            </w:pPr>
            <w:r>
              <w:rPr>
                <w:color w:val="auto"/>
              </w:rPr>
              <w:t>达标</w:t>
            </w:r>
          </w:p>
        </w:tc>
      </w:tr>
      <w:tr w14:paraId="0609765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090AFE93">
            <w:pPr>
              <w:spacing w:before="31" w:beforeLines="10" w:line="264" w:lineRule="auto"/>
              <w:jc w:val="center"/>
              <w:rPr>
                <w:color w:val="auto"/>
              </w:rPr>
            </w:pPr>
            <w:r>
              <w:rPr>
                <w:color w:val="auto"/>
              </w:rPr>
              <w:t>G4</w:t>
            </w:r>
          </w:p>
        </w:tc>
        <w:tc>
          <w:tcPr>
            <w:tcW w:w="1300" w:type="pct"/>
            <w:tcBorders>
              <w:tl2br w:val="nil"/>
              <w:tr2bl w:val="nil"/>
            </w:tcBorders>
            <w:shd w:val="clear" w:color="auto" w:fill="auto"/>
            <w:noWrap w:val="0"/>
            <w:vAlign w:val="top"/>
          </w:tcPr>
          <w:p w14:paraId="618CCABC">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940" w:type="pct"/>
            <w:tcBorders>
              <w:tl2br w:val="nil"/>
              <w:tr2bl w:val="nil"/>
            </w:tcBorders>
            <w:shd w:val="clear" w:color="auto" w:fill="auto"/>
            <w:noWrap w:val="0"/>
            <w:vAlign w:val="center"/>
          </w:tcPr>
          <w:p w14:paraId="0DD3913C">
            <w:pPr>
              <w:spacing w:before="31" w:beforeLines="10" w:line="264" w:lineRule="auto"/>
              <w:jc w:val="center"/>
              <w:rPr>
                <w:color w:val="auto"/>
                <w:szCs w:val="21"/>
              </w:rPr>
            </w:pPr>
            <w:r>
              <w:rPr>
                <w:color w:val="auto"/>
                <w:szCs w:val="21"/>
              </w:rPr>
              <w:t>64～93</w:t>
            </w:r>
          </w:p>
        </w:tc>
        <w:tc>
          <w:tcPr>
            <w:tcW w:w="698" w:type="pct"/>
            <w:tcBorders>
              <w:tl2br w:val="nil"/>
              <w:tr2bl w:val="nil"/>
            </w:tcBorders>
            <w:shd w:val="clear" w:color="auto" w:fill="auto"/>
            <w:noWrap w:val="0"/>
            <w:vAlign w:val="center"/>
          </w:tcPr>
          <w:p w14:paraId="6AF57FD9">
            <w:pPr>
              <w:jc w:val="center"/>
              <w:rPr>
                <w:color w:val="auto"/>
                <w:sz w:val="24"/>
              </w:rPr>
            </w:pPr>
            <w:r>
              <w:rPr>
                <w:color w:val="auto"/>
              </w:rPr>
              <w:t>62.00</w:t>
            </w:r>
          </w:p>
        </w:tc>
        <w:tc>
          <w:tcPr>
            <w:tcW w:w="464" w:type="pct"/>
            <w:tcBorders>
              <w:tl2br w:val="nil"/>
              <w:tr2bl w:val="nil"/>
            </w:tcBorders>
            <w:shd w:val="clear" w:color="auto" w:fill="auto"/>
            <w:noWrap w:val="0"/>
            <w:vAlign w:val="center"/>
          </w:tcPr>
          <w:p w14:paraId="1FDE59C2">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7E63FA85">
            <w:pPr>
              <w:jc w:val="center"/>
              <w:rPr>
                <w:color w:val="auto"/>
                <w:sz w:val="24"/>
              </w:rPr>
            </w:pPr>
            <w:r>
              <w:rPr>
                <w:color w:val="auto"/>
              </w:rPr>
              <w:t>0</w:t>
            </w:r>
          </w:p>
        </w:tc>
        <w:tc>
          <w:tcPr>
            <w:tcW w:w="705" w:type="pct"/>
            <w:tcBorders>
              <w:tl2br w:val="nil"/>
              <w:tr2bl w:val="nil"/>
            </w:tcBorders>
            <w:shd w:val="clear" w:color="auto" w:fill="auto"/>
            <w:noWrap w:val="0"/>
            <w:vAlign w:val="center"/>
          </w:tcPr>
          <w:p w14:paraId="672E9440">
            <w:pPr>
              <w:spacing w:before="31" w:beforeLines="10" w:line="264" w:lineRule="auto"/>
              <w:jc w:val="center"/>
              <w:rPr>
                <w:color w:val="auto"/>
              </w:rPr>
            </w:pPr>
            <w:r>
              <w:rPr>
                <w:color w:val="auto"/>
              </w:rPr>
              <w:t>达标</w:t>
            </w:r>
          </w:p>
        </w:tc>
      </w:tr>
      <w:tr w14:paraId="6D91553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0D04A95F">
            <w:pPr>
              <w:spacing w:before="31" w:beforeLines="10" w:line="264" w:lineRule="auto"/>
              <w:jc w:val="center"/>
              <w:rPr>
                <w:color w:val="auto"/>
              </w:rPr>
            </w:pPr>
            <w:r>
              <w:rPr>
                <w:color w:val="auto"/>
              </w:rPr>
              <w:t>G5</w:t>
            </w:r>
          </w:p>
        </w:tc>
        <w:tc>
          <w:tcPr>
            <w:tcW w:w="1300" w:type="pct"/>
            <w:tcBorders>
              <w:tl2br w:val="nil"/>
              <w:tr2bl w:val="nil"/>
            </w:tcBorders>
            <w:shd w:val="clear" w:color="auto" w:fill="auto"/>
            <w:noWrap w:val="0"/>
            <w:vAlign w:val="top"/>
          </w:tcPr>
          <w:p w14:paraId="78136F10">
            <w:pPr>
              <w:jc w:val="center"/>
              <w:rPr>
                <w:color w:val="auto"/>
              </w:rPr>
            </w:pPr>
            <w:r>
              <w:rPr>
                <w:color w:val="auto"/>
              </w:rPr>
              <w:t>赵楼村</w:t>
            </w:r>
          </w:p>
        </w:tc>
        <w:tc>
          <w:tcPr>
            <w:tcW w:w="940" w:type="pct"/>
            <w:tcBorders>
              <w:tl2br w:val="nil"/>
              <w:tr2bl w:val="nil"/>
            </w:tcBorders>
            <w:shd w:val="clear" w:color="auto" w:fill="auto"/>
            <w:noWrap w:val="0"/>
            <w:vAlign w:val="center"/>
          </w:tcPr>
          <w:p w14:paraId="6CA0B4AA">
            <w:pPr>
              <w:spacing w:before="31" w:beforeLines="10" w:line="264" w:lineRule="auto"/>
              <w:jc w:val="center"/>
              <w:rPr>
                <w:color w:val="auto"/>
                <w:szCs w:val="21"/>
              </w:rPr>
            </w:pPr>
            <w:r>
              <w:rPr>
                <w:color w:val="auto"/>
                <w:szCs w:val="21"/>
              </w:rPr>
              <w:t>67～89</w:t>
            </w:r>
          </w:p>
        </w:tc>
        <w:tc>
          <w:tcPr>
            <w:tcW w:w="698" w:type="pct"/>
            <w:tcBorders>
              <w:tl2br w:val="nil"/>
              <w:tr2bl w:val="nil"/>
            </w:tcBorders>
            <w:shd w:val="clear" w:color="auto" w:fill="auto"/>
            <w:noWrap w:val="0"/>
            <w:vAlign w:val="center"/>
          </w:tcPr>
          <w:p w14:paraId="470B500E">
            <w:pPr>
              <w:jc w:val="center"/>
              <w:rPr>
                <w:color w:val="auto"/>
                <w:sz w:val="24"/>
              </w:rPr>
            </w:pPr>
            <w:r>
              <w:rPr>
                <w:color w:val="auto"/>
              </w:rPr>
              <w:t>59.33</w:t>
            </w:r>
          </w:p>
        </w:tc>
        <w:tc>
          <w:tcPr>
            <w:tcW w:w="464" w:type="pct"/>
            <w:tcBorders>
              <w:tl2br w:val="nil"/>
              <w:tr2bl w:val="nil"/>
            </w:tcBorders>
            <w:shd w:val="clear" w:color="auto" w:fill="auto"/>
            <w:noWrap w:val="0"/>
            <w:vAlign w:val="center"/>
          </w:tcPr>
          <w:p w14:paraId="7571DC06">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2CF728BD">
            <w:pPr>
              <w:jc w:val="center"/>
              <w:rPr>
                <w:color w:val="auto"/>
                <w:sz w:val="24"/>
              </w:rPr>
            </w:pPr>
            <w:r>
              <w:rPr>
                <w:color w:val="auto"/>
              </w:rPr>
              <w:t>0</w:t>
            </w:r>
          </w:p>
        </w:tc>
        <w:tc>
          <w:tcPr>
            <w:tcW w:w="705" w:type="pct"/>
            <w:tcBorders>
              <w:tl2br w:val="nil"/>
              <w:tr2bl w:val="nil"/>
            </w:tcBorders>
            <w:shd w:val="clear" w:color="auto" w:fill="auto"/>
            <w:noWrap w:val="0"/>
            <w:vAlign w:val="center"/>
          </w:tcPr>
          <w:p w14:paraId="73D5C3C3">
            <w:pPr>
              <w:spacing w:before="31" w:beforeLines="10" w:line="264" w:lineRule="auto"/>
              <w:jc w:val="center"/>
              <w:rPr>
                <w:color w:val="auto"/>
              </w:rPr>
            </w:pPr>
            <w:r>
              <w:rPr>
                <w:color w:val="auto"/>
              </w:rPr>
              <w:t>达标</w:t>
            </w:r>
          </w:p>
        </w:tc>
      </w:tr>
      <w:tr w14:paraId="5AD3097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374AAA02">
            <w:pPr>
              <w:spacing w:before="31" w:beforeLines="10" w:line="264" w:lineRule="auto"/>
              <w:jc w:val="center"/>
              <w:rPr>
                <w:color w:val="auto"/>
              </w:rPr>
            </w:pPr>
            <w:r>
              <w:rPr>
                <w:color w:val="auto"/>
              </w:rPr>
              <w:t>G6</w:t>
            </w:r>
          </w:p>
        </w:tc>
        <w:tc>
          <w:tcPr>
            <w:tcW w:w="1300" w:type="pct"/>
            <w:tcBorders>
              <w:tl2br w:val="nil"/>
              <w:tr2bl w:val="nil"/>
            </w:tcBorders>
            <w:shd w:val="clear" w:color="auto" w:fill="auto"/>
            <w:noWrap w:val="0"/>
            <w:vAlign w:val="top"/>
          </w:tcPr>
          <w:p w14:paraId="2223FDDC">
            <w:pPr>
              <w:jc w:val="center"/>
              <w:rPr>
                <w:color w:val="auto"/>
              </w:rPr>
            </w:pPr>
            <w:r>
              <w:rPr>
                <w:color w:val="auto"/>
              </w:rPr>
              <w:t>王埝村</w:t>
            </w:r>
          </w:p>
        </w:tc>
        <w:tc>
          <w:tcPr>
            <w:tcW w:w="940" w:type="pct"/>
            <w:tcBorders>
              <w:tl2br w:val="nil"/>
              <w:tr2bl w:val="nil"/>
            </w:tcBorders>
            <w:shd w:val="clear" w:color="auto" w:fill="auto"/>
            <w:noWrap w:val="0"/>
            <w:vAlign w:val="center"/>
          </w:tcPr>
          <w:p w14:paraId="49006B80">
            <w:pPr>
              <w:spacing w:before="31" w:beforeLines="10" w:line="264" w:lineRule="auto"/>
              <w:jc w:val="center"/>
              <w:rPr>
                <w:color w:val="auto"/>
                <w:szCs w:val="21"/>
              </w:rPr>
            </w:pPr>
            <w:r>
              <w:rPr>
                <w:color w:val="auto"/>
                <w:szCs w:val="21"/>
              </w:rPr>
              <w:t>67～96</w:t>
            </w:r>
          </w:p>
        </w:tc>
        <w:tc>
          <w:tcPr>
            <w:tcW w:w="698" w:type="pct"/>
            <w:tcBorders>
              <w:tl2br w:val="nil"/>
              <w:tr2bl w:val="nil"/>
            </w:tcBorders>
            <w:shd w:val="clear" w:color="auto" w:fill="auto"/>
            <w:noWrap w:val="0"/>
            <w:vAlign w:val="center"/>
          </w:tcPr>
          <w:p w14:paraId="4A109CD7">
            <w:pPr>
              <w:jc w:val="center"/>
              <w:rPr>
                <w:color w:val="auto"/>
                <w:sz w:val="24"/>
              </w:rPr>
            </w:pPr>
            <w:r>
              <w:rPr>
                <w:color w:val="auto"/>
              </w:rPr>
              <w:t>64.00</w:t>
            </w:r>
          </w:p>
        </w:tc>
        <w:tc>
          <w:tcPr>
            <w:tcW w:w="464" w:type="pct"/>
            <w:tcBorders>
              <w:tl2br w:val="nil"/>
              <w:tr2bl w:val="nil"/>
            </w:tcBorders>
            <w:shd w:val="clear" w:color="auto" w:fill="auto"/>
            <w:noWrap w:val="0"/>
            <w:vAlign w:val="center"/>
          </w:tcPr>
          <w:p w14:paraId="0432CF4B">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447CDAAE">
            <w:pPr>
              <w:jc w:val="center"/>
              <w:rPr>
                <w:color w:val="auto"/>
                <w:sz w:val="24"/>
              </w:rPr>
            </w:pPr>
            <w:r>
              <w:rPr>
                <w:color w:val="auto"/>
              </w:rPr>
              <w:t>0</w:t>
            </w:r>
          </w:p>
        </w:tc>
        <w:tc>
          <w:tcPr>
            <w:tcW w:w="705" w:type="pct"/>
            <w:tcBorders>
              <w:tl2br w:val="nil"/>
              <w:tr2bl w:val="nil"/>
            </w:tcBorders>
            <w:shd w:val="clear" w:color="auto" w:fill="auto"/>
            <w:noWrap w:val="0"/>
            <w:vAlign w:val="center"/>
          </w:tcPr>
          <w:p w14:paraId="1CC33FAE">
            <w:pPr>
              <w:spacing w:before="31" w:beforeLines="10" w:line="264" w:lineRule="auto"/>
              <w:jc w:val="center"/>
              <w:rPr>
                <w:color w:val="auto"/>
              </w:rPr>
            </w:pPr>
            <w:r>
              <w:rPr>
                <w:color w:val="auto"/>
              </w:rPr>
              <w:t>达标</w:t>
            </w:r>
          </w:p>
        </w:tc>
      </w:tr>
    </w:tbl>
    <w:p w14:paraId="3F15C1EB">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表2-9 各监测点SO</w:t>
      </w:r>
      <w:r>
        <w:rPr>
          <w:rFonts w:hint="eastAsia"/>
          <w:b/>
          <w:bCs/>
          <w:color w:val="auto"/>
          <w:sz w:val="24"/>
          <w:szCs w:val="32"/>
          <w:vertAlign w:val="subscript"/>
          <w:lang w:val="en-US" w:eastAsia="zh-CN"/>
        </w:rPr>
        <w:t>2</w:t>
      </w:r>
      <w:r>
        <w:rPr>
          <w:rFonts w:hint="eastAsia"/>
          <w:b/>
          <w:bCs/>
          <w:color w:val="auto"/>
          <w:sz w:val="24"/>
          <w:szCs w:val="32"/>
          <w:lang w:val="en-US" w:eastAsia="zh-CN"/>
        </w:rPr>
        <w:t>日均浓度统计表   标准值：150ug/Nm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75"/>
        <w:gridCol w:w="2517"/>
        <w:gridCol w:w="1764"/>
        <w:gridCol w:w="1435"/>
        <w:gridCol w:w="957"/>
        <w:gridCol w:w="1062"/>
        <w:gridCol w:w="1448"/>
      </w:tblGrid>
      <w:tr w14:paraId="0101D55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652" w:type="pct"/>
            <w:gridSpan w:val="2"/>
            <w:tcBorders>
              <w:tl2br w:val="nil"/>
              <w:tr2bl w:val="nil"/>
            </w:tcBorders>
            <w:shd w:val="clear" w:color="auto" w:fill="auto"/>
            <w:noWrap w:val="0"/>
            <w:vAlign w:val="center"/>
          </w:tcPr>
          <w:p w14:paraId="711877FD">
            <w:pPr>
              <w:spacing w:before="31" w:beforeLines="10" w:line="264" w:lineRule="auto"/>
              <w:jc w:val="center"/>
              <w:rPr>
                <w:b/>
                <w:color w:val="auto"/>
              </w:rPr>
            </w:pPr>
            <w:r>
              <w:rPr>
                <w:b/>
                <w:color w:val="auto"/>
              </w:rPr>
              <w:t>监测点位</w:t>
            </w:r>
          </w:p>
        </w:tc>
        <w:tc>
          <w:tcPr>
            <w:tcW w:w="885" w:type="pct"/>
            <w:tcBorders>
              <w:tl2br w:val="nil"/>
              <w:tr2bl w:val="nil"/>
            </w:tcBorders>
            <w:shd w:val="clear" w:color="auto" w:fill="auto"/>
            <w:noWrap w:val="0"/>
            <w:vAlign w:val="center"/>
          </w:tcPr>
          <w:p w14:paraId="43BAA65C">
            <w:pPr>
              <w:spacing w:before="31" w:beforeLines="10" w:line="264" w:lineRule="auto"/>
              <w:jc w:val="center"/>
              <w:rPr>
                <w:b/>
                <w:color w:val="auto"/>
              </w:rPr>
            </w:pPr>
            <w:r>
              <w:rPr>
                <w:b/>
                <w:color w:val="auto"/>
              </w:rPr>
              <w:t>浓度范围</w:t>
            </w:r>
          </w:p>
          <w:p w14:paraId="2B001B0C">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20" w:type="pct"/>
            <w:tcBorders>
              <w:tl2br w:val="nil"/>
              <w:tr2bl w:val="nil"/>
            </w:tcBorders>
            <w:shd w:val="clear" w:color="auto" w:fill="auto"/>
            <w:noWrap w:val="0"/>
            <w:vAlign w:val="center"/>
          </w:tcPr>
          <w:p w14:paraId="1DE3DEA8">
            <w:pPr>
              <w:spacing w:before="31" w:beforeLines="10" w:line="264" w:lineRule="auto"/>
              <w:jc w:val="center"/>
              <w:rPr>
                <w:b/>
                <w:color w:val="auto"/>
              </w:rPr>
            </w:pPr>
            <w:r>
              <w:rPr>
                <w:b/>
                <w:color w:val="auto"/>
              </w:rPr>
              <w:t>最大占</w:t>
            </w:r>
          </w:p>
          <w:p w14:paraId="4C5C6F48">
            <w:pPr>
              <w:spacing w:before="31" w:beforeLines="10" w:line="264" w:lineRule="auto"/>
              <w:jc w:val="center"/>
              <w:rPr>
                <w:b/>
                <w:color w:val="auto"/>
              </w:rPr>
            </w:pPr>
            <w:r>
              <w:rPr>
                <w:b/>
                <w:color w:val="auto"/>
              </w:rPr>
              <w:t>标率（%）</w:t>
            </w:r>
          </w:p>
        </w:tc>
        <w:tc>
          <w:tcPr>
            <w:tcW w:w="480" w:type="pct"/>
            <w:tcBorders>
              <w:tl2br w:val="nil"/>
              <w:tr2bl w:val="nil"/>
            </w:tcBorders>
            <w:shd w:val="clear" w:color="auto" w:fill="auto"/>
            <w:noWrap w:val="0"/>
            <w:vAlign w:val="center"/>
          </w:tcPr>
          <w:p w14:paraId="2DB5B17A">
            <w:pPr>
              <w:spacing w:before="31" w:beforeLines="10" w:line="264" w:lineRule="auto"/>
              <w:jc w:val="center"/>
              <w:rPr>
                <w:b/>
                <w:color w:val="auto"/>
              </w:rPr>
            </w:pPr>
            <w:r>
              <w:rPr>
                <w:b/>
                <w:color w:val="auto"/>
              </w:rPr>
              <w:t>超标</w:t>
            </w:r>
          </w:p>
          <w:p w14:paraId="6019EA50">
            <w:pPr>
              <w:spacing w:before="31" w:beforeLines="10" w:line="264" w:lineRule="auto"/>
              <w:jc w:val="center"/>
              <w:rPr>
                <w:b/>
                <w:color w:val="auto"/>
              </w:rPr>
            </w:pPr>
            <w:r>
              <w:rPr>
                <w:b/>
                <w:color w:val="auto"/>
              </w:rPr>
              <w:t>个数</w:t>
            </w:r>
          </w:p>
        </w:tc>
        <w:tc>
          <w:tcPr>
            <w:tcW w:w="533" w:type="pct"/>
            <w:tcBorders>
              <w:tl2br w:val="nil"/>
              <w:tr2bl w:val="nil"/>
            </w:tcBorders>
            <w:shd w:val="clear" w:color="auto" w:fill="auto"/>
            <w:noWrap w:val="0"/>
            <w:vAlign w:val="center"/>
          </w:tcPr>
          <w:p w14:paraId="36C4426A">
            <w:pPr>
              <w:spacing w:before="31" w:beforeLines="10" w:line="264" w:lineRule="auto"/>
              <w:jc w:val="center"/>
              <w:rPr>
                <w:b/>
                <w:color w:val="auto"/>
              </w:rPr>
            </w:pPr>
            <w:r>
              <w:rPr>
                <w:b/>
                <w:color w:val="auto"/>
              </w:rPr>
              <w:t>超标率</w:t>
            </w:r>
          </w:p>
          <w:p w14:paraId="3F083A4C">
            <w:pPr>
              <w:spacing w:before="31" w:beforeLines="10" w:line="264" w:lineRule="auto"/>
              <w:jc w:val="center"/>
              <w:rPr>
                <w:b/>
                <w:color w:val="auto"/>
              </w:rPr>
            </w:pPr>
            <w:r>
              <w:rPr>
                <w:b/>
                <w:color w:val="auto"/>
              </w:rPr>
              <w:t>（%）</w:t>
            </w:r>
          </w:p>
        </w:tc>
        <w:tc>
          <w:tcPr>
            <w:tcW w:w="726" w:type="pct"/>
            <w:tcBorders>
              <w:tl2br w:val="nil"/>
              <w:tr2bl w:val="nil"/>
            </w:tcBorders>
            <w:shd w:val="clear" w:color="auto" w:fill="auto"/>
            <w:noWrap w:val="0"/>
            <w:vAlign w:val="center"/>
          </w:tcPr>
          <w:p w14:paraId="691C24FF">
            <w:pPr>
              <w:spacing w:before="31" w:beforeLines="10" w:line="264" w:lineRule="auto"/>
              <w:jc w:val="center"/>
              <w:rPr>
                <w:b/>
                <w:color w:val="auto"/>
              </w:rPr>
            </w:pPr>
            <w:r>
              <w:rPr>
                <w:b/>
                <w:color w:val="auto"/>
              </w:rPr>
              <w:t>达标</w:t>
            </w:r>
          </w:p>
          <w:p w14:paraId="57793A46">
            <w:pPr>
              <w:spacing w:before="31" w:beforeLines="10" w:line="264" w:lineRule="auto"/>
              <w:jc w:val="center"/>
              <w:rPr>
                <w:b/>
                <w:color w:val="auto"/>
              </w:rPr>
            </w:pPr>
            <w:r>
              <w:rPr>
                <w:b/>
                <w:color w:val="auto"/>
              </w:rPr>
              <w:t>情况</w:t>
            </w:r>
          </w:p>
        </w:tc>
      </w:tr>
      <w:tr w14:paraId="0E0CD73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5D110B3E">
            <w:pPr>
              <w:spacing w:before="31" w:beforeLines="10" w:line="264" w:lineRule="auto"/>
              <w:jc w:val="center"/>
              <w:rPr>
                <w:color w:val="auto"/>
              </w:rPr>
            </w:pPr>
            <w:r>
              <w:rPr>
                <w:color w:val="auto"/>
              </w:rPr>
              <w:t>G1</w:t>
            </w:r>
          </w:p>
        </w:tc>
        <w:tc>
          <w:tcPr>
            <w:tcW w:w="1263" w:type="pct"/>
            <w:tcBorders>
              <w:tl2br w:val="nil"/>
              <w:tr2bl w:val="nil"/>
            </w:tcBorders>
            <w:shd w:val="clear" w:color="auto" w:fill="auto"/>
            <w:noWrap w:val="0"/>
            <w:vAlign w:val="top"/>
          </w:tcPr>
          <w:p w14:paraId="3E0BE508">
            <w:pPr>
              <w:jc w:val="center"/>
              <w:rPr>
                <w:color w:val="auto"/>
              </w:rPr>
            </w:pPr>
            <w:r>
              <w:rPr>
                <w:color w:val="auto"/>
              </w:rPr>
              <w:t>星河花园小区</w:t>
            </w:r>
          </w:p>
        </w:tc>
        <w:tc>
          <w:tcPr>
            <w:tcW w:w="885" w:type="pct"/>
            <w:tcBorders>
              <w:tl2br w:val="nil"/>
              <w:tr2bl w:val="nil"/>
            </w:tcBorders>
            <w:shd w:val="clear" w:color="auto" w:fill="auto"/>
            <w:noWrap w:val="0"/>
            <w:vAlign w:val="center"/>
          </w:tcPr>
          <w:p w14:paraId="22C88801">
            <w:pPr>
              <w:spacing w:before="31" w:beforeLines="10" w:line="264" w:lineRule="auto"/>
              <w:jc w:val="center"/>
              <w:rPr>
                <w:color w:val="auto"/>
              </w:rPr>
            </w:pPr>
            <w:r>
              <w:rPr>
                <w:color w:val="auto"/>
              </w:rPr>
              <w:t>24</w:t>
            </w:r>
            <w:r>
              <w:rPr>
                <w:color w:val="auto"/>
                <w:szCs w:val="21"/>
              </w:rPr>
              <w:t>～29</w:t>
            </w:r>
          </w:p>
        </w:tc>
        <w:tc>
          <w:tcPr>
            <w:tcW w:w="720" w:type="pct"/>
            <w:tcBorders>
              <w:tl2br w:val="nil"/>
              <w:tr2bl w:val="nil"/>
            </w:tcBorders>
            <w:shd w:val="clear" w:color="auto" w:fill="auto"/>
            <w:noWrap w:val="0"/>
            <w:vAlign w:val="center"/>
          </w:tcPr>
          <w:p w14:paraId="2E8BB138">
            <w:pPr>
              <w:jc w:val="center"/>
              <w:rPr>
                <w:color w:val="auto"/>
                <w:sz w:val="24"/>
              </w:rPr>
            </w:pPr>
            <w:r>
              <w:rPr>
                <w:color w:val="auto"/>
              </w:rPr>
              <w:t>19.33</w:t>
            </w:r>
          </w:p>
        </w:tc>
        <w:tc>
          <w:tcPr>
            <w:tcW w:w="480" w:type="pct"/>
            <w:tcBorders>
              <w:tl2br w:val="nil"/>
              <w:tr2bl w:val="nil"/>
            </w:tcBorders>
            <w:shd w:val="clear" w:color="auto" w:fill="auto"/>
            <w:noWrap w:val="0"/>
            <w:vAlign w:val="center"/>
          </w:tcPr>
          <w:p w14:paraId="44C8FA7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5E9D309A">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095EA06B">
            <w:pPr>
              <w:spacing w:before="31" w:beforeLines="10" w:line="264" w:lineRule="auto"/>
              <w:jc w:val="center"/>
              <w:rPr>
                <w:color w:val="auto"/>
              </w:rPr>
            </w:pPr>
            <w:r>
              <w:rPr>
                <w:color w:val="auto"/>
              </w:rPr>
              <w:t>达标</w:t>
            </w:r>
          </w:p>
        </w:tc>
      </w:tr>
      <w:tr w14:paraId="183B9A2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7DE29B28">
            <w:pPr>
              <w:spacing w:before="31" w:beforeLines="10" w:line="264" w:lineRule="auto"/>
              <w:jc w:val="center"/>
              <w:rPr>
                <w:color w:val="auto"/>
              </w:rPr>
            </w:pPr>
            <w:r>
              <w:rPr>
                <w:color w:val="auto"/>
              </w:rPr>
              <w:t>G2</w:t>
            </w:r>
          </w:p>
        </w:tc>
        <w:tc>
          <w:tcPr>
            <w:tcW w:w="1263" w:type="pct"/>
            <w:tcBorders>
              <w:tl2br w:val="nil"/>
              <w:tr2bl w:val="nil"/>
            </w:tcBorders>
            <w:shd w:val="clear" w:color="auto" w:fill="auto"/>
            <w:noWrap w:val="0"/>
            <w:vAlign w:val="top"/>
          </w:tcPr>
          <w:p w14:paraId="5D64B59D">
            <w:pPr>
              <w:jc w:val="center"/>
              <w:rPr>
                <w:color w:val="auto"/>
              </w:rPr>
            </w:pPr>
            <w:r>
              <w:rPr>
                <w:color w:val="auto"/>
              </w:rPr>
              <w:t>项目地</w:t>
            </w:r>
          </w:p>
        </w:tc>
        <w:tc>
          <w:tcPr>
            <w:tcW w:w="885" w:type="pct"/>
            <w:tcBorders>
              <w:tl2br w:val="nil"/>
              <w:tr2bl w:val="nil"/>
            </w:tcBorders>
            <w:shd w:val="clear" w:color="auto" w:fill="auto"/>
            <w:noWrap w:val="0"/>
            <w:vAlign w:val="center"/>
          </w:tcPr>
          <w:p w14:paraId="7AAAAEF7">
            <w:pPr>
              <w:spacing w:before="31" w:beforeLines="10" w:line="264" w:lineRule="auto"/>
              <w:jc w:val="center"/>
              <w:rPr>
                <w:color w:val="auto"/>
              </w:rPr>
            </w:pPr>
            <w:r>
              <w:rPr>
                <w:color w:val="auto"/>
              </w:rPr>
              <w:t>25</w:t>
            </w:r>
            <w:r>
              <w:rPr>
                <w:color w:val="auto"/>
                <w:szCs w:val="21"/>
              </w:rPr>
              <w:t>～30</w:t>
            </w:r>
          </w:p>
        </w:tc>
        <w:tc>
          <w:tcPr>
            <w:tcW w:w="720" w:type="pct"/>
            <w:tcBorders>
              <w:tl2br w:val="nil"/>
              <w:tr2bl w:val="nil"/>
            </w:tcBorders>
            <w:shd w:val="clear" w:color="auto" w:fill="auto"/>
            <w:noWrap w:val="0"/>
            <w:vAlign w:val="center"/>
          </w:tcPr>
          <w:p w14:paraId="14325A1C">
            <w:pPr>
              <w:jc w:val="center"/>
              <w:rPr>
                <w:color w:val="auto"/>
                <w:sz w:val="24"/>
              </w:rPr>
            </w:pPr>
            <w:r>
              <w:rPr>
                <w:color w:val="auto"/>
              </w:rPr>
              <w:t>20.00</w:t>
            </w:r>
          </w:p>
        </w:tc>
        <w:tc>
          <w:tcPr>
            <w:tcW w:w="480" w:type="pct"/>
            <w:tcBorders>
              <w:tl2br w:val="nil"/>
              <w:tr2bl w:val="nil"/>
            </w:tcBorders>
            <w:shd w:val="clear" w:color="auto" w:fill="auto"/>
            <w:noWrap w:val="0"/>
            <w:vAlign w:val="center"/>
          </w:tcPr>
          <w:p w14:paraId="0E616BAA">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60157507">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33304936">
            <w:pPr>
              <w:spacing w:before="31" w:beforeLines="10" w:line="264" w:lineRule="auto"/>
              <w:jc w:val="center"/>
              <w:rPr>
                <w:color w:val="auto"/>
              </w:rPr>
            </w:pPr>
            <w:r>
              <w:rPr>
                <w:color w:val="auto"/>
              </w:rPr>
              <w:t>达标</w:t>
            </w:r>
          </w:p>
        </w:tc>
      </w:tr>
      <w:tr w14:paraId="12513F7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5B18B609">
            <w:pPr>
              <w:spacing w:before="31" w:beforeLines="10" w:line="264" w:lineRule="auto"/>
              <w:jc w:val="center"/>
              <w:rPr>
                <w:color w:val="auto"/>
              </w:rPr>
            </w:pPr>
            <w:r>
              <w:rPr>
                <w:color w:val="auto"/>
              </w:rPr>
              <w:t>G3</w:t>
            </w:r>
          </w:p>
        </w:tc>
        <w:tc>
          <w:tcPr>
            <w:tcW w:w="1263" w:type="pct"/>
            <w:tcBorders>
              <w:tl2br w:val="nil"/>
              <w:tr2bl w:val="nil"/>
            </w:tcBorders>
            <w:shd w:val="clear" w:color="auto" w:fill="auto"/>
            <w:noWrap w:val="0"/>
            <w:vAlign w:val="top"/>
          </w:tcPr>
          <w:p w14:paraId="6B4A906B">
            <w:pPr>
              <w:jc w:val="center"/>
              <w:rPr>
                <w:color w:val="auto"/>
              </w:rPr>
            </w:pPr>
            <w:r>
              <w:rPr>
                <w:color w:val="auto"/>
              </w:rPr>
              <w:t>刘桥镇</w:t>
            </w:r>
          </w:p>
        </w:tc>
        <w:tc>
          <w:tcPr>
            <w:tcW w:w="885" w:type="pct"/>
            <w:tcBorders>
              <w:tl2br w:val="nil"/>
              <w:tr2bl w:val="nil"/>
            </w:tcBorders>
            <w:shd w:val="clear" w:color="auto" w:fill="auto"/>
            <w:noWrap w:val="0"/>
            <w:vAlign w:val="center"/>
          </w:tcPr>
          <w:p w14:paraId="77E07C51">
            <w:pPr>
              <w:spacing w:before="31" w:beforeLines="10" w:line="264" w:lineRule="auto"/>
              <w:jc w:val="center"/>
              <w:rPr>
                <w:color w:val="auto"/>
              </w:rPr>
            </w:pPr>
            <w:r>
              <w:rPr>
                <w:color w:val="auto"/>
                <w:szCs w:val="21"/>
              </w:rPr>
              <w:t>25～30</w:t>
            </w:r>
          </w:p>
        </w:tc>
        <w:tc>
          <w:tcPr>
            <w:tcW w:w="720" w:type="pct"/>
            <w:tcBorders>
              <w:tl2br w:val="nil"/>
              <w:tr2bl w:val="nil"/>
            </w:tcBorders>
            <w:shd w:val="clear" w:color="auto" w:fill="auto"/>
            <w:noWrap w:val="0"/>
            <w:vAlign w:val="center"/>
          </w:tcPr>
          <w:p w14:paraId="1DE45EF8">
            <w:pPr>
              <w:jc w:val="center"/>
              <w:rPr>
                <w:color w:val="auto"/>
                <w:sz w:val="24"/>
              </w:rPr>
            </w:pPr>
            <w:r>
              <w:rPr>
                <w:color w:val="auto"/>
              </w:rPr>
              <w:t>20.00</w:t>
            </w:r>
          </w:p>
        </w:tc>
        <w:tc>
          <w:tcPr>
            <w:tcW w:w="480" w:type="pct"/>
            <w:tcBorders>
              <w:tl2br w:val="nil"/>
              <w:tr2bl w:val="nil"/>
            </w:tcBorders>
            <w:shd w:val="clear" w:color="auto" w:fill="auto"/>
            <w:noWrap w:val="0"/>
            <w:vAlign w:val="center"/>
          </w:tcPr>
          <w:p w14:paraId="2E0A0928">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6D25815">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238CC0D1">
            <w:pPr>
              <w:spacing w:before="31" w:beforeLines="10" w:line="264" w:lineRule="auto"/>
              <w:jc w:val="center"/>
              <w:rPr>
                <w:color w:val="auto"/>
              </w:rPr>
            </w:pPr>
            <w:r>
              <w:rPr>
                <w:color w:val="auto"/>
              </w:rPr>
              <w:t>达标</w:t>
            </w:r>
          </w:p>
        </w:tc>
      </w:tr>
      <w:tr w14:paraId="4152FE2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0B86062B">
            <w:pPr>
              <w:spacing w:before="31" w:beforeLines="10" w:line="264" w:lineRule="auto"/>
              <w:jc w:val="center"/>
              <w:rPr>
                <w:color w:val="auto"/>
              </w:rPr>
            </w:pPr>
            <w:r>
              <w:rPr>
                <w:color w:val="auto"/>
              </w:rPr>
              <w:t>G4</w:t>
            </w:r>
          </w:p>
        </w:tc>
        <w:tc>
          <w:tcPr>
            <w:tcW w:w="1263" w:type="pct"/>
            <w:tcBorders>
              <w:tl2br w:val="nil"/>
              <w:tr2bl w:val="nil"/>
            </w:tcBorders>
            <w:shd w:val="clear" w:color="auto" w:fill="auto"/>
            <w:noWrap w:val="0"/>
            <w:vAlign w:val="top"/>
          </w:tcPr>
          <w:p w14:paraId="0991A4C5">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885" w:type="pct"/>
            <w:tcBorders>
              <w:tl2br w:val="nil"/>
              <w:tr2bl w:val="nil"/>
            </w:tcBorders>
            <w:shd w:val="clear" w:color="auto" w:fill="auto"/>
            <w:noWrap w:val="0"/>
            <w:vAlign w:val="center"/>
          </w:tcPr>
          <w:p w14:paraId="03B9DA9B">
            <w:pPr>
              <w:spacing w:before="31" w:beforeLines="10" w:line="264" w:lineRule="auto"/>
              <w:jc w:val="center"/>
              <w:rPr>
                <w:color w:val="auto"/>
              </w:rPr>
            </w:pPr>
            <w:r>
              <w:rPr>
                <w:color w:val="auto"/>
                <w:szCs w:val="21"/>
              </w:rPr>
              <w:t>23～29</w:t>
            </w:r>
          </w:p>
        </w:tc>
        <w:tc>
          <w:tcPr>
            <w:tcW w:w="720" w:type="pct"/>
            <w:tcBorders>
              <w:tl2br w:val="nil"/>
              <w:tr2bl w:val="nil"/>
            </w:tcBorders>
            <w:shd w:val="clear" w:color="auto" w:fill="auto"/>
            <w:noWrap w:val="0"/>
            <w:vAlign w:val="center"/>
          </w:tcPr>
          <w:p w14:paraId="71A1ECC1">
            <w:pPr>
              <w:jc w:val="center"/>
              <w:rPr>
                <w:color w:val="auto"/>
                <w:sz w:val="24"/>
              </w:rPr>
            </w:pPr>
            <w:r>
              <w:rPr>
                <w:color w:val="auto"/>
              </w:rPr>
              <w:t>19.33</w:t>
            </w:r>
          </w:p>
        </w:tc>
        <w:tc>
          <w:tcPr>
            <w:tcW w:w="480" w:type="pct"/>
            <w:tcBorders>
              <w:tl2br w:val="nil"/>
              <w:tr2bl w:val="nil"/>
            </w:tcBorders>
            <w:shd w:val="clear" w:color="auto" w:fill="auto"/>
            <w:noWrap w:val="0"/>
            <w:vAlign w:val="center"/>
          </w:tcPr>
          <w:p w14:paraId="76B24FA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59D72212">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00E65F7E">
            <w:pPr>
              <w:spacing w:before="31" w:beforeLines="10" w:line="264" w:lineRule="auto"/>
              <w:jc w:val="center"/>
              <w:rPr>
                <w:color w:val="auto"/>
              </w:rPr>
            </w:pPr>
            <w:r>
              <w:rPr>
                <w:color w:val="auto"/>
              </w:rPr>
              <w:t>达标</w:t>
            </w:r>
          </w:p>
        </w:tc>
      </w:tr>
      <w:tr w14:paraId="3721C1F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46926C39">
            <w:pPr>
              <w:spacing w:before="31" w:beforeLines="10" w:line="264" w:lineRule="auto"/>
              <w:jc w:val="center"/>
              <w:rPr>
                <w:color w:val="auto"/>
              </w:rPr>
            </w:pPr>
            <w:r>
              <w:rPr>
                <w:color w:val="auto"/>
              </w:rPr>
              <w:t>G5</w:t>
            </w:r>
          </w:p>
        </w:tc>
        <w:tc>
          <w:tcPr>
            <w:tcW w:w="1263" w:type="pct"/>
            <w:tcBorders>
              <w:tl2br w:val="nil"/>
              <w:tr2bl w:val="nil"/>
            </w:tcBorders>
            <w:shd w:val="clear" w:color="auto" w:fill="auto"/>
            <w:noWrap w:val="0"/>
            <w:vAlign w:val="top"/>
          </w:tcPr>
          <w:p w14:paraId="1D8755EB">
            <w:pPr>
              <w:jc w:val="center"/>
              <w:rPr>
                <w:color w:val="auto"/>
              </w:rPr>
            </w:pPr>
            <w:r>
              <w:rPr>
                <w:color w:val="auto"/>
              </w:rPr>
              <w:t>赵楼村</w:t>
            </w:r>
          </w:p>
        </w:tc>
        <w:tc>
          <w:tcPr>
            <w:tcW w:w="885" w:type="pct"/>
            <w:tcBorders>
              <w:tl2br w:val="nil"/>
              <w:tr2bl w:val="nil"/>
            </w:tcBorders>
            <w:shd w:val="clear" w:color="auto" w:fill="auto"/>
            <w:noWrap w:val="0"/>
            <w:vAlign w:val="center"/>
          </w:tcPr>
          <w:p w14:paraId="38AB2295">
            <w:pPr>
              <w:spacing w:before="31" w:beforeLines="10" w:line="264" w:lineRule="auto"/>
              <w:jc w:val="center"/>
              <w:rPr>
                <w:color w:val="auto"/>
                <w:szCs w:val="21"/>
              </w:rPr>
            </w:pPr>
            <w:r>
              <w:rPr>
                <w:color w:val="auto"/>
                <w:szCs w:val="21"/>
              </w:rPr>
              <w:t>25～32</w:t>
            </w:r>
          </w:p>
        </w:tc>
        <w:tc>
          <w:tcPr>
            <w:tcW w:w="720" w:type="pct"/>
            <w:tcBorders>
              <w:tl2br w:val="nil"/>
              <w:tr2bl w:val="nil"/>
            </w:tcBorders>
            <w:shd w:val="clear" w:color="auto" w:fill="auto"/>
            <w:noWrap w:val="0"/>
            <w:vAlign w:val="center"/>
          </w:tcPr>
          <w:p w14:paraId="7D611639">
            <w:pPr>
              <w:jc w:val="center"/>
              <w:rPr>
                <w:color w:val="auto"/>
                <w:sz w:val="24"/>
              </w:rPr>
            </w:pPr>
            <w:r>
              <w:rPr>
                <w:color w:val="auto"/>
              </w:rPr>
              <w:t>21.33</w:t>
            </w:r>
          </w:p>
        </w:tc>
        <w:tc>
          <w:tcPr>
            <w:tcW w:w="480" w:type="pct"/>
            <w:tcBorders>
              <w:tl2br w:val="nil"/>
              <w:tr2bl w:val="nil"/>
            </w:tcBorders>
            <w:shd w:val="clear" w:color="auto" w:fill="auto"/>
            <w:noWrap w:val="0"/>
            <w:vAlign w:val="center"/>
          </w:tcPr>
          <w:p w14:paraId="5049D9FA">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76938075">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C552A04">
            <w:pPr>
              <w:spacing w:before="31" w:beforeLines="10" w:line="264" w:lineRule="auto"/>
              <w:jc w:val="center"/>
              <w:rPr>
                <w:color w:val="auto"/>
              </w:rPr>
            </w:pPr>
            <w:r>
              <w:rPr>
                <w:color w:val="auto"/>
              </w:rPr>
              <w:t>达标</w:t>
            </w:r>
          </w:p>
        </w:tc>
      </w:tr>
      <w:tr w14:paraId="41BB6A0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4C7D7EE1">
            <w:pPr>
              <w:spacing w:before="31" w:beforeLines="10" w:line="264" w:lineRule="auto"/>
              <w:jc w:val="center"/>
              <w:rPr>
                <w:color w:val="auto"/>
              </w:rPr>
            </w:pPr>
            <w:r>
              <w:rPr>
                <w:color w:val="auto"/>
              </w:rPr>
              <w:t>G6</w:t>
            </w:r>
          </w:p>
        </w:tc>
        <w:tc>
          <w:tcPr>
            <w:tcW w:w="1263" w:type="pct"/>
            <w:tcBorders>
              <w:tl2br w:val="nil"/>
              <w:tr2bl w:val="nil"/>
            </w:tcBorders>
            <w:shd w:val="clear" w:color="auto" w:fill="auto"/>
            <w:noWrap w:val="0"/>
            <w:vAlign w:val="top"/>
          </w:tcPr>
          <w:p w14:paraId="011286E9">
            <w:pPr>
              <w:jc w:val="center"/>
              <w:rPr>
                <w:color w:val="auto"/>
              </w:rPr>
            </w:pPr>
            <w:r>
              <w:rPr>
                <w:color w:val="auto"/>
              </w:rPr>
              <w:t>王埝村</w:t>
            </w:r>
          </w:p>
        </w:tc>
        <w:tc>
          <w:tcPr>
            <w:tcW w:w="885" w:type="pct"/>
            <w:tcBorders>
              <w:tl2br w:val="nil"/>
              <w:tr2bl w:val="nil"/>
            </w:tcBorders>
            <w:shd w:val="clear" w:color="auto" w:fill="auto"/>
            <w:noWrap w:val="0"/>
            <w:vAlign w:val="center"/>
          </w:tcPr>
          <w:p w14:paraId="28E3F370">
            <w:pPr>
              <w:spacing w:before="31" w:beforeLines="10" w:line="264" w:lineRule="auto"/>
              <w:jc w:val="center"/>
              <w:rPr>
                <w:color w:val="auto"/>
                <w:szCs w:val="21"/>
              </w:rPr>
            </w:pPr>
            <w:r>
              <w:rPr>
                <w:color w:val="auto"/>
                <w:szCs w:val="21"/>
              </w:rPr>
              <w:t>25～30</w:t>
            </w:r>
          </w:p>
        </w:tc>
        <w:tc>
          <w:tcPr>
            <w:tcW w:w="720" w:type="pct"/>
            <w:tcBorders>
              <w:tl2br w:val="nil"/>
              <w:tr2bl w:val="nil"/>
            </w:tcBorders>
            <w:shd w:val="clear" w:color="auto" w:fill="auto"/>
            <w:noWrap w:val="0"/>
            <w:vAlign w:val="center"/>
          </w:tcPr>
          <w:p w14:paraId="114B36C5">
            <w:pPr>
              <w:jc w:val="center"/>
              <w:rPr>
                <w:color w:val="auto"/>
                <w:sz w:val="24"/>
              </w:rPr>
            </w:pPr>
            <w:r>
              <w:rPr>
                <w:color w:val="auto"/>
              </w:rPr>
              <w:t>20.00</w:t>
            </w:r>
          </w:p>
        </w:tc>
        <w:tc>
          <w:tcPr>
            <w:tcW w:w="480" w:type="pct"/>
            <w:tcBorders>
              <w:tl2br w:val="nil"/>
              <w:tr2bl w:val="nil"/>
            </w:tcBorders>
            <w:shd w:val="clear" w:color="auto" w:fill="auto"/>
            <w:noWrap w:val="0"/>
            <w:vAlign w:val="center"/>
          </w:tcPr>
          <w:p w14:paraId="28A5E343">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78862C79">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1DF6475">
            <w:pPr>
              <w:spacing w:before="31" w:beforeLines="10" w:line="264" w:lineRule="auto"/>
              <w:jc w:val="center"/>
              <w:rPr>
                <w:color w:val="auto"/>
              </w:rPr>
            </w:pPr>
            <w:r>
              <w:rPr>
                <w:color w:val="auto"/>
              </w:rPr>
              <w:t>达标</w:t>
            </w:r>
          </w:p>
        </w:tc>
      </w:tr>
    </w:tbl>
    <w:p w14:paraId="44DA6CA9">
      <w:pPr>
        <w:spacing w:line="360" w:lineRule="auto"/>
        <w:jc w:val="center"/>
        <w:rPr>
          <w:rFonts w:hint="default"/>
          <w:b/>
          <w:bCs/>
          <w:color w:val="auto"/>
          <w:sz w:val="24"/>
          <w:szCs w:val="32"/>
          <w:vertAlign w:val="superscript"/>
          <w:lang w:val="en-US" w:eastAsia="zh-CN"/>
        </w:rPr>
      </w:pPr>
      <w:r>
        <w:rPr>
          <w:rFonts w:hint="eastAsia"/>
          <w:b/>
          <w:bCs/>
          <w:color w:val="auto"/>
          <w:sz w:val="24"/>
          <w:szCs w:val="32"/>
          <w:lang w:val="en-US" w:eastAsia="zh-CN"/>
        </w:rPr>
        <w:t>表2-10 各监测点NO</w:t>
      </w:r>
      <w:r>
        <w:rPr>
          <w:rFonts w:hint="eastAsia"/>
          <w:b/>
          <w:bCs/>
          <w:color w:val="auto"/>
          <w:sz w:val="24"/>
          <w:szCs w:val="32"/>
          <w:vertAlign w:val="subscript"/>
          <w:lang w:val="en-US" w:eastAsia="zh-CN"/>
        </w:rPr>
        <w:t>2</w:t>
      </w:r>
      <w:r>
        <w:rPr>
          <w:rFonts w:hint="eastAsia"/>
          <w:b/>
          <w:bCs/>
          <w:color w:val="auto"/>
          <w:sz w:val="24"/>
          <w:szCs w:val="32"/>
          <w:lang w:val="en-US" w:eastAsia="zh-CN"/>
        </w:rPr>
        <w:t>日均浓度统计表   标准值：80ug/Nm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75"/>
        <w:gridCol w:w="2517"/>
        <w:gridCol w:w="1764"/>
        <w:gridCol w:w="1435"/>
        <w:gridCol w:w="957"/>
        <w:gridCol w:w="1062"/>
        <w:gridCol w:w="1448"/>
      </w:tblGrid>
      <w:tr w14:paraId="4C0A017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652" w:type="pct"/>
            <w:gridSpan w:val="2"/>
            <w:tcBorders>
              <w:tl2br w:val="nil"/>
              <w:tr2bl w:val="nil"/>
            </w:tcBorders>
            <w:shd w:val="clear" w:color="auto" w:fill="auto"/>
            <w:noWrap w:val="0"/>
            <w:vAlign w:val="center"/>
          </w:tcPr>
          <w:p w14:paraId="6C7A6A21">
            <w:pPr>
              <w:spacing w:before="31" w:beforeLines="10" w:line="264" w:lineRule="auto"/>
              <w:jc w:val="center"/>
              <w:rPr>
                <w:b/>
                <w:color w:val="auto"/>
              </w:rPr>
            </w:pPr>
            <w:r>
              <w:rPr>
                <w:b/>
                <w:color w:val="auto"/>
              </w:rPr>
              <w:t>监测点位</w:t>
            </w:r>
          </w:p>
        </w:tc>
        <w:tc>
          <w:tcPr>
            <w:tcW w:w="885" w:type="pct"/>
            <w:tcBorders>
              <w:tl2br w:val="nil"/>
              <w:tr2bl w:val="nil"/>
            </w:tcBorders>
            <w:shd w:val="clear" w:color="auto" w:fill="auto"/>
            <w:noWrap w:val="0"/>
            <w:vAlign w:val="center"/>
          </w:tcPr>
          <w:p w14:paraId="1FC597A7">
            <w:pPr>
              <w:spacing w:before="31" w:beforeLines="10" w:line="264" w:lineRule="auto"/>
              <w:jc w:val="center"/>
              <w:rPr>
                <w:b/>
                <w:color w:val="auto"/>
              </w:rPr>
            </w:pPr>
            <w:r>
              <w:rPr>
                <w:b/>
                <w:color w:val="auto"/>
              </w:rPr>
              <w:t>浓度范围</w:t>
            </w:r>
          </w:p>
          <w:p w14:paraId="78BA85FC">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20" w:type="pct"/>
            <w:tcBorders>
              <w:tl2br w:val="nil"/>
              <w:tr2bl w:val="nil"/>
            </w:tcBorders>
            <w:shd w:val="clear" w:color="auto" w:fill="auto"/>
            <w:noWrap w:val="0"/>
            <w:vAlign w:val="center"/>
          </w:tcPr>
          <w:p w14:paraId="742A13A3">
            <w:pPr>
              <w:spacing w:before="31" w:beforeLines="10" w:line="264" w:lineRule="auto"/>
              <w:jc w:val="center"/>
              <w:rPr>
                <w:b/>
                <w:color w:val="auto"/>
              </w:rPr>
            </w:pPr>
            <w:r>
              <w:rPr>
                <w:b/>
                <w:color w:val="auto"/>
              </w:rPr>
              <w:t>最大占</w:t>
            </w:r>
          </w:p>
          <w:p w14:paraId="0F847D51">
            <w:pPr>
              <w:spacing w:before="31" w:beforeLines="10" w:line="264" w:lineRule="auto"/>
              <w:jc w:val="center"/>
              <w:rPr>
                <w:b/>
                <w:color w:val="auto"/>
              </w:rPr>
            </w:pPr>
            <w:r>
              <w:rPr>
                <w:b/>
                <w:color w:val="auto"/>
              </w:rPr>
              <w:t>标率（%）</w:t>
            </w:r>
          </w:p>
        </w:tc>
        <w:tc>
          <w:tcPr>
            <w:tcW w:w="480" w:type="pct"/>
            <w:tcBorders>
              <w:tl2br w:val="nil"/>
              <w:tr2bl w:val="nil"/>
            </w:tcBorders>
            <w:shd w:val="clear" w:color="auto" w:fill="auto"/>
            <w:noWrap w:val="0"/>
            <w:vAlign w:val="center"/>
          </w:tcPr>
          <w:p w14:paraId="75C24D9D">
            <w:pPr>
              <w:spacing w:before="31" w:beforeLines="10" w:line="264" w:lineRule="auto"/>
              <w:jc w:val="center"/>
              <w:rPr>
                <w:b/>
                <w:color w:val="auto"/>
              </w:rPr>
            </w:pPr>
            <w:r>
              <w:rPr>
                <w:b/>
                <w:color w:val="auto"/>
              </w:rPr>
              <w:t>超标</w:t>
            </w:r>
          </w:p>
          <w:p w14:paraId="55DCE118">
            <w:pPr>
              <w:spacing w:before="31" w:beforeLines="10" w:line="264" w:lineRule="auto"/>
              <w:jc w:val="center"/>
              <w:rPr>
                <w:b/>
                <w:color w:val="auto"/>
              </w:rPr>
            </w:pPr>
            <w:r>
              <w:rPr>
                <w:b/>
                <w:color w:val="auto"/>
              </w:rPr>
              <w:t>个数</w:t>
            </w:r>
          </w:p>
        </w:tc>
        <w:tc>
          <w:tcPr>
            <w:tcW w:w="533" w:type="pct"/>
            <w:tcBorders>
              <w:tl2br w:val="nil"/>
              <w:tr2bl w:val="nil"/>
            </w:tcBorders>
            <w:shd w:val="clear" w:color="auto" w:fill="auto"/>
            <w:noWrap w:val="0"/>
            <w:vAlign w:val="center"/>
          </w:tcPr>
          <w:p w14:paraId="5510F45C">
            <w:pPr>
              <w:spacing w:before="31" w:beforeLines="10" w:line="264" w:lineRule="auto"/>
              <w:jc w:val="center"/>
              <w:rPr>
                <w:b/>
                <w:color w:val="auto"/>
              </w:rPr>
            </w:pPr>
            <w:r>
              <w:rPr>
                <w:b/>
                <w:color w:val="auto"/>
              </w:rPr>
              <w:t>超标率</w:t>
            </w:r>
          </w:p>
          <w:p w14:paraId="605F4EBB">
            <w:pPr>
              <w:spacing w:before="31" w:beforeLines="10" w:line="264" w:lineRule="auto"/>
              <w:jc w:val="center"/>
              <w:rPr>
                <w:b/>
                <w:color w:val="auto"/>
              </w:rPr>
            </w:pPr>
            <w:r>
              <w:rPr>
                <w:b/>
                <w:color w:val="auto"/>
              </w:rPr>
              <w:t>（%）</w:t>
            </w:r>
          </w:p>
        </w:tc>
        <w:tc>
          <w:tcPr>
            <w:tcW w:w="726" w:type="pct"/>
            <w:tcBorders>
              <w:tl2br w:val="nil"/>
              <w:tr2bl w:val="nil"/>
            </w:tcBorders>
            <w:shd w:val="clear" w:color="auto" w:fill="auto"/>
            <w:noWrap w:val="0"/>
            <w:vAlign w:val="center"/>
          </w:tcPr>
          <w:p w14:paraId="37B50C3A">
            <w:pPr>
              <w:spacing w:before="31" w:beforeLines="10" w:line="264" w:lineRule="auto"/>
              <w:jc w:val="center"/>
              <w:rPr>
                <w:b/>
                <w:color w:val="auto"/>
              </w:rPr>
            </w:pPr>
            <w:r>
              <w:rPr>
                <w:b/>
                <w:color w:val="auto"/>
              </w:rPr>
              <w:t>达标</w:t>
            </w:r>
          </w:p>
          <w:p w14:paraId="57105072">
            <w:pPr>
              <w:spacing w:before="31" w:beforeLines="10" w:line="264" w:lineRule="auto"/>
              <w:jc w:val="center"/>
              <w:rPr>
                <w:b/>
                <w:color w:val="auto"/>
              </w:rPr>
            </w:pPr>
            <w:r>
              <w:rPr>
                <w:b/>
                <w:color w:val="auto"/>
              </w:rPr>
              <w:t>情况</w:t>
            </w:r>
          </w:p>
        </w:tc>
      </w:tr>
      <w:tr w14:paraId="113B895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64131722">
            <w:pPr>
              <w:spacing w:before="31" w:beforeLines="10" w:line="264" w:lineRule="auto"/>
              <w:jc w:val="center"/>
              <w:rPr>
                <w:color w:val="auto"/>
              </w:rPr>
            </w:pPr>
            <w:r>
              <w:rPr>
                <w:color w:val="auto"/>
              </w:rPr>
              <w:t>G1</w:t>
            </w:r>
          </w:p>
        </w:tc>
        <w:tc>
          <w:tcPr>
            <w:tcW w:w="1263" w:type="pct"/>
            <w:tcBorders>
              <w:tl2br w:val="nil"/>
              <w:tr2bl w:val="nil"/>
            </w:tcBorders>
            <w:shd w:val="clear" w:color="auto" w:fill="auto"/>
            <w:noWrap w:val="0"/>
            <w:vAlign w:val="top"/>
          </w:tcPr>
          <w:p w14:paraId="2280DEEA">
            <w:pPr>
              <w:jc w:val="center"/>
              <w:rPr>
                <w:color w:val="auto"/>
              </w:rPr>
            </w:pPr>
            <w:r>
              <w:rPr>
                <w:color w:val="auto"/>
              </w:rPr>
              <w:t>星河花园小区</w:t>
            </w:r>
          </w:p>
        </w:tc>
        <w:tc>
          <w:tcPr>
            <w:tcW w:w="885" w:type="pct"/>
            <w:tcBorders>
              <w:tl2br w:val="nil"/>
              <w:tr2bl w:val="nil"/>
            </w:tcBorders>
            <w:shd w:val="clear" w:color="auto" w:fill="auto"/>
            <w:noWrap w:val="0"/>
            <w:vAlign w:val="center"/>
          </w:tcPr>
          <w:p w14:paraId="23506926">
            <w:pPr>
              <w:spacing w:before="31" w:beforeLines="10" w:line="264" w:lineRule="auto"/>
              <w:jc w:val="center"/>
              <w:rPr>
                <w:color w:val="auto"/>
              </w:rPr>
            </w:pPr>
            <w:r>
              <w:rPr>
                <w:color w:val="auto"/>
                <w:szCs w:val="21"/>
              </w:rPr>
              <w:t>17～24</w:t>
            </w:r>
          </w:p>
        </w:tc>
        <w:tc>
          <w:tcPr>
            <w:tcW w:w="720" w:type="pct"/>
            <w:tcBorders>
              <w:tl2br w:val="nil"/>
              <w:tr2bl w:val="nil"/>
            </w:tcBorders>
            <w:shd w:val="clear" w:color="auto" w:fill="auto"/>
            <w:noWrap w:val="0"/>
            <w:vAlign w:val="center"/>
          </w:tcPr>
          <w:p w14:paraId="605C56FF">
            <w:pPr>
              <w:jc w:val="center"/>
              <w:rPr>
                <w:color w:val="auto"/>
                <w:sz w:val="24"/>
              </w:rPr>
            </w:pPr>
            <w:r>
              <w:rPr>
                <w:color w:val="auto"/>
              </w:rPr>
              <w:t>30.00</w:t>
            </w:r>
          </w:p>
        </w:tc>
        <w:tc>
          <w:tcPr>
            <w:tcW w:w="480" w:type="pct"/>
            <w:tcBorders>
              <w:tl2br w:val="nil"/>
              <w:tr2bl w:val="nil"/>
            </w:tcBorders>
            <w:shd w:val="clear" w:color="auto" w:fill="auto"/>
            <w:noWrap w:val="0"/>
            <w:vAlign w:val="center"/>
          </w:tcPr>
          <w:p w14:paraId="40CAD71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38302211">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7E60BFF4">
            <w:pPr>
              <w:spacing w:before="31" w:beforeLines="10" w:line="264" w:lineRule="auto"/>
              <w:jc w:val="center"/>
              <w:rPr>
                <w:color w:val="auto"/>
              </w:rPr>
            </w:pPr>
            <w:r>
              <w:rPr>
                <w:color w:val="auto"/>
              </w:rPr>
              <w:t>达标</w:t>
            </w:r>
          </w:p>
        </w:tc>
      </w:tr>
      <w:tr w14:paraId="5996845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70A3B2F3">
            <w:pPr>
              <w:spacing w:before="31" w:beforeLines="10" w:line="264" w:lineRule="auto"/>
              <w:jc w:val="center"/>
              <w:rPr>
                <w:color w:val="auto"/>
              </w:rPr>
            </w:pPr>
            <w:r>
              <w:rPr>
                <w:color w:val="auto"/>
              </w:rPr>
              <w:t>G2</w:t>
            </w:r>
          </w:p>
        </w:tc>
        <w:tc>
          <w:tcPr>
            <w:tcW w:w="1263" w:type="pct"/>
            <w:tcBorders>
              <w:tl2br w:val="nil"/>
              <w:tr2bl w:val="nil"/>
            </w:tcBorders>
            <w:shd w:val="clear" w:color="auto" w:fill="auto"/>
            <w:noWrap w:val="0"/>
            <w:vAlign w:val="top"/>
          </w:tcPr>
          <w:p w14:paraId="6E923F38">
            <w:pPr>
              <w:jc w:val="center"/>
              <w:rPr>
                <w:color w:val="auto"/>
              </w:rPr>
            </w:pPr>
            <w:r>
              <w:rPr>
                <w:color w:val="auto"/>
              </w:rPr>
              <w:t>项目地</w:t>
            </w:r>
          </w:p>
        </w:tc>
        <w:tc>
          <w:tcPr>
            <w:tcW w:w="885" w:type="pct"/>
            <w:tcBorders>
              <w:tl2br w:val="nil"/>
              <w:tr2bl w:val="nil"/>
            </w:tcBorders>
            <w:shd w:val="clear" w:color="auto" w:fill="auto"/>
            <w:noWrap w:val="0"/>
            <w:vAlign w:val="center"/>
          </w:tcPr>
          <w:p w14:paraId="01345514">
            <w:pPr>
              <w:spacing w:before="31" w:beforeLines="10" w:line="264" w:lineRule="auto"/>
              <w:jc w:val="center"/>
              <w:rPr>
                <w:color w:val="auto"/>
                <w:szCs w:val="21"/>
              </w:rPr>
            </w:pPr>
            <w:r>
              <w:rPr>
                <w:color w:val="auto"/>
                <w:szCs w:val="21"/>
              </w:rPr>
              <w:t>14～25</w:t>
            </w:r>
          </w:p>
        </w:tc>
        <w:tc>
          <w:tcPr>
            <w:tcW w:w="720" w:type="pct"/>
            <w:tcBorders>
              <w:tl2br w:val="nil"/>
              <w:tr2bl w:val="nil"/>
            </w:tcBorders>
            <w:shd w:val="clear" w:color="auto" w:fill="auto"/>
            <w:noWrap w:val="0"/>
            <w:vAlign w:val="center"/>
          </w:tcPr>
          <w:p w14:paraId="0CBDEB8E">
            <w:pPr>
              <w:jc w:val="center"/>
              <w:rPr>
                <w:color w:val="auto"/>
              </w:rPr>
            </w:pPr>
            <w:r>
              <w:rPr>
                <w:color w:val="auto"/>
              </w:rPr>
              <w:t>31.25</w:t>
            </w:r>
          </w:p>
        </w:tc>
        <w:tc>
          <w:tcPr>
            <w:tcW w:w="480" w:type="pct"/>
            <w:tcBorders>
              <w:tl2br w:val="nil"/>
              <w:tr2bl w:val="nil"/>
            </w:tcBorders>
            <w:shd w:val="clear" w:color="auto" w:fill="auto"/>
            <w:noWrap w:val="0"/>
            <w:vAlign w:val="center"/>
          </w:tcPr>
          <w:p w14:paraId="3FE9C89A">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6C664904">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7F484FD5">
            <w:pPr>
              <w:spacing w:before="31" w:beforeLines="10" w:line="264" w:lineRule="auto"/>
              <w:jc w:val="center"/>
              <w:rPr>
                <w:color w:val="auto"/>
              </w:rPr>
            </w:pPr>
            <w:r>
              <w:rPr>
                <w:color w:val="auto"/>
              </w:rPr>
              <w:t>达标</w:t>
            </w:r>
          </w:p>
        </w:tc>
      </w:tr>
      <w:tr w14:paraId="5058402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15E24FCC">
            <w:pPr>
              <w:spacing w:before="31" w:beforeLines="10" w:line="264" w:lineRule="auto"/>
              <w:jc w:val="center"/>
              <w:rPr>
                <w:color w:val="auto"/>
              </w:rPr>
            </w:pPr>
            <w:r>
              <w:rPr>
                <w:color w:val="auto"/>
              </w:rPr>
              <w:t>G3</w:t>
            </w:r>
          </w:p>
        </w:tc>
        <w:tc>
          <w:tcPr>
            <w:tcW w:w="1263" w:type="pct"/>
            <w:tcBorders>
              <w:tl2br w:val="nil"/>
              <w:tr2bl w:val="nil"/>
            </w:tcBorders>
            <w:shd w:val="clear" w:color="auto" w:fill="auto"/>
            <w:noWrap w:val="0"/>
            <w:vAlign w:val="top"/>
          </w:tcPr>
          <w:p w14:paraId="7215A17F">
            <w:pPr>
              <w:jc w:val="center"/>
              <w:rPr>
                <w:color w:val="auto"/>
              </w:rPr>
            </w:pPr>
            <w:r>
              <w:rPr>
                <w:color w:val="auto"/>
              </w:rPr>
              <w:t>刘桥镇</w:t>
            </w:r>
          </w:p>
        </w:tc>
        <w:tc>
          <w:tcPr>
            <w:tcW w:w="885" w:type="pct"/>
            <w:tcBorders>
              <w:tl2br w:val="nil"/>
              <w:tr2bl w:val="nil"/>
            </w:tcBorders>
            <w:shd w:val="clear" w:color="auto" w:fill="auto"/>
            <w:noWrap w:val="0"/>
            <w:vAlign w:val="center"/>
          </w:tcPr>
          <w:p w14:paraId="452A51F6">
            <w:pPr>
              <w:spacing w:before="31" w:beforeLines="10" w:line="264" w:lineRule="auto"/>
              <w:jc w:val="center"/>
              <w:rPr>
                <w:color w:val="auto"/>
                <w:szCs w:val="21"/>
              </w:rPr>
            </w:pPr>
            <w:r>
              <w:rPr>
                <w:color w:val="auto"/>
                <w:szCs w:val="21"/>
              </w:rPr>
              <w:t>18～24</w:t>
            </w:r>
          </w:p>
        </w:tc>
        <w:tc>
          <w:tcPr>
            <w:tcW w:w="720" w:type="pct"/>
            <w:tcBorders>
              <w:tl2br w:val="nil"/>
              <w:tr2bl w:val="nil"/>
            </w:tcBorders>
            <w:shd w:val="clear" w:color="auto" w:fill="auto"/>
            <w:noWrap w:val="0"/>
            <w:vAlign w:val="center"/>
          </w:tcPr>
          <w:p w14:paraId="6817AE62">
            <w:pPr>
              <w:jc w:val="center"/>
              <w:rPr>
                <w:color w:val="auto"/>
                <w:sz w:val="24"/>
              </w:rPr>
            </w:pPr>
            <w:r>
              <w:rPr>
                <w:color w:val="auto"/>
              </w:rPr>
              <w:t>30.00</w:t>
            </w:r>
          </w:p>
        </w:tc>
        <w:tc>
          <w:tcPr>
            <w:tcW w:w="480" w:type="pct"/>
            <w:tcBorders>
              <w:tl2br w:val="nil"/>
              <w:tr2bl w:val="nil"/>
            </w:tcBorders>
            <w:shd w:val="clear" w:color="auto" w:fill="auto"/>
            <w:noWrap w:val="0"/>
            <w:vAlign w:val="center"/>
          </w:tcPr>
          <w:p w14:paraId="01EE8810">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9089EB7">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B829EB1">
            <w:pPr>
              <w:spacing w:before="31" w:beforeLines="10" w:line="264" w:lineRule="auto"/>
              <w:jc w:val="center"/>
              <w:rPr>
                <w:color w:val="auto"/>
              </w:rPr>
            </w:pPr>
            <w:r>
              <w:rPr>
                <w:color w:val="auto"/>
              </w:rPr>
              <w:t>达标</w:t>
            </w:r>
          </w:p>
        </w:tc>
      </w:tr>
      <w:tr w14:paraId="4D24FC0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1403C874">
            <w:pPr>
              <w:spacing w:before="31" w:beforeLines="10" w:line="264" w:lineRule="auto"/>
              <w:jc w:val="center"/>
              <w:rPr>
                <w:color w:val="auto"/>
              </w:rPr>
            </w:pPr>
            <w:r>
              <w:rPr>
                <w:color w:val="auto"/>
              </w:rPr>
              <w:t>G4</w:t>
            </w:r>
          </w:p>
        </w:tc>
        <w:tc>
          <w:tcPr>
            <w:tcW w:w="1263" w:type="pct"/>
            <w:tcBorders>
              <w:tl2br w:val="nil"/>
              <w:tr2bl w:val="nil"/>
            </w:tcBorders>
            <w:shd w:val="clear" w:color="auto" w:fill="auto"/>
            <w:noWrap w:val="0"/>
            <w:vAlign w:val="top"/>
          </w:tcPr>
          <w:p w14:paraId="7376CEFC">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885" w:type="pct"/>
            <w:tcBorders>
              <w:tl2br w:val="nil"/>
              <w:tr2bl w:val="nil"/>
            </w:tcBorders>
            <w:shd w:val="clear" w:color="auto" w:fill="auto"/>
            <w:noWrap w:val="0"/>
            <w:vAlign w:val="center"/>
          </w:tcPr>
          <w:p w14:paraId="4CAEF3F8">
            <w:pPr>
              <w:spacing w:before="31" w:beforeLines="10" w:line="264" w:lineRule="auto"/>
              <w:jc w:val="center"/>
              <w:rPr>
                <w:color w:val="auto"/>
              </w:rPr>
            </w:pPr>
            <w:r>
              <w:rPr>
                <w:color w:val="auto"/>
                <w:szCs w:val="21"/>
              </w:rPr>
              <w:t>18～23</w:t>
            </w:r>
          </w:p>
        </w:tc>
        <w:tc>
          <w:tcPr>
            <w:tcW w:w="720" w:type="pct"/>
            <w:tcBorders>
              <w:tl2br w:val="nil"/>
              <w:tr2bl w:val="nil"/>
            </w:tcBorders>
            <w:shd w:val="clear" w:color="auto" w:fill="auto"/>
            <w:noWrap w:val="0"/>
            <w:vAlign w:val="center"/>
          </w:tcPr>
          <w:p w14:paraId="06ED9D32">
            <w:pPr>
              <w:jc w:val="center"/>
              <w:rPr>
                <w:color w:val="auto"/>
                <w:sz w:val="24"/>
              </w:rPr>
            </w:pPr>
            <w:r>
              <w:rPr>
                <w:color w:val="auto"/>
              </w:rPr>
              <w:t>28.75</w:t>
            </w:r>
          </w:p>
        </w:tc>
        <w:tc>
          <w:tcPr>
            <w:tcW w:w="480" w:type="pct"/>
            <w:tcBorders>
              <w:tl2br w:val="nil"/>
              <w:tr2bl w:val="nil"/>
            </w:tcBorders>
            <w:shd w:val="clear" w:color="auto" w:fill="auto"/>
            <w:noWrap w:val="0"/>
            <w:vAlign w:val="center"/>
          </w:tcPr>
          <w:p w14:paraId="3BDC7FD4">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005C385">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09E3328E">
            <w:pPr>
              <w:spacing w:before="31" w:beforeLines="10" w:line="264" w:lineRule="auto"/>
              <w:jc w:val="center"/>
              <w:rPr>
                <w:color w:val="auto"/>
              </w:rPr>
            </w:pPr>
            <w:r>
              <w:rPr>
                <w:color w:val="auto"/>
              </w:rPr>
              <w:t>达标</w:t>
            </w:r>
          </w:p>
        </w:tc>
      </w:tr>
      <w:tr w14:paraId="156903A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33FBB6F2">
            <w:pPr>
              <w:spacing w:before="31" w:beforeLines="10" w:line="264" w:lineRule="auto"/>
              <w:jc w:val="center"/>
              <w:rPr>
                <w:color w:val="auto"/>
              </w:rPr>
            </w:pPr>
            <w:r>
              <w:rPr>
                <w:color w:val="auto"/>
              </w:rPr>
              <w:t>G5</w:t>
            </w:r>
          </w:p>
        </w:tc>
        <w:tc>
          <w:tcPr>
            <w:tcW w:w="1263" w:type="pct"/>
            <w:tcBorders>
              <w:tl2br w:val="nil"/>
              <w:tr2bl w:val="nil"/>
            </w:tcBorders>
            <w:shd w:val="clear" w:color="auto" w:fill="auto"/>
            <w:noWrap w:val="0"/>
            <w:vAlign w:val="top"/>
          </w:tcPr>
          <w:p w14:paraId="5F05D884">
            <w:pPr>
              <w:jc w:val="center"/>
              <w:rPr>
                <w:color w:val="auto"/>
              </w:rPr>
            </w:pPr>
            <w:r>
              <w:rPr>
                <w:color w:val="auto"/>
              </w:rPr>
              <w:t>赵楼村</w:t>
            </w:r>
          </w:p>
        </w:tc>
        <w:tc>
          <w:tcPr>
            <w:tcW w:w="885" w:type="pct"/>
            <w:tcBorders>
              <w:tl2br w:val="nil"/>
              <w:tr2bl w:val="nil"/>
            </w:tcBorders>
            <w:shd w:val="clear" w:color="auto" w:fill="auto"/>
            <w:noWrap w:val="0"/>
            <w:vAlign w:val="center"/>
          </w:tcPr>
          <w:p w14:paraId="7DC4999A">
            <w:pPr>
              <w:spacing w:before="31" w:beforeLines="10" w:line="264" w:lineRule="auto"/>
              <w:jc w:val="center"/>
              <w:rPr>
                <w:color w:val="auto"/>
                <w:szCs w:val="21"/>
              </w:rPr>
            </w:pPr>
            <w:r>
              <w:rPr>
                <w:color w:val="auto"/>
                <w:szCs w:val="21"/>
              </w:rPr>
              <w:t>20～25</w:t>
            </w:r>
          </w:p>
        </w:tc>
        <w:tc>
          <w:tcPr>
            <w:tcW w:w="720" w:type="pct"/>
            <w:tcBorders>
              <w:tl2br w:val="nil"/>
              <w:tr2bl w:val="nil"/>
            </w:tcBorders>
            <w:shd w:val="clear" w:color="auto" w:fill="auto"/>
            <w:noWrap w:val="0"/>
            <w:vAlign w:val="center"/>
          </w:tcPr>
          <w:p w14:paraId="5A66E26F">
            <w:pPr>
              <w:jc w:val="center"/>
              <w:rPr>
                <w:color w:val="auto"/>
                <w:sz w:val="24"/>
              </w:rPr>
            </w:pPr>
            <w:r>
              <w:rPr>
                <w:color w:val="auto"/>
              </w:rPr>
              <w:t>31.25</w:t>
            </w:r>
          </w:p>
        </w:tc>
        <w:tc>
          <w:tcPr>
            <w:tcW w:w="480" w:type="pct"/>
            <w:tcBorders>
              <w:tl2br w:val="nil"/>
              <w:tr2bl w:val="nil"/>
            </w:tcBorders>
            <w:shd w:val="clear" w:color="auto" w:fill="auto"/>
            <w:noWrap w:val="0"/>
            <w:vAlign w:val="center"/>
          </w:tcPr>
          <w:p w14:paraId="60E7312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F4426D6">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C92FD37">
            <w:pPr>
              <w:spacing w:before="31" w:beforeLines="10" w:line="264" w:lineRule="auto"/>
              <w:jc w:val="center"/>
              <w:rPr>
                <w:color w:val="auto"/>
              </w:rPr>
            </w:pPr>
            <w:r>
              <w:rPr>
                <w:color w:val="auto"/>
              </w:rPr>
              <w:t>达标</w:t>
            </w:r>
          </w:p>
        </w:tc>
      </w:tr>
      <w:tr w14:paraId="718A6C0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3D41D3A6">
            <w:pPr>
              <w:spacing w:before="31" w:beforeLines="10" w:line="264" w:lineRule="auto"/>
              <w:jc w:val="center"/>
              <w:rPr>
                <w:color w:val="auto"/>
              </w:rPr>
            </w:pPr>
            <w:r>
              <w:rPr>
                <w:color w:val="auto"/>
              </w:rPr>
              <w:t>G6</w:t>
            </w:r>
          </w:p>
        </w:tc>
        <w:tc>
          <w:tcPr>
            <w:tcW w:w="1263" w:type="pct"/>
            <w:tcBorders>
              <w:tl2br w:val="nil"/>
              <w:tr2bl w:val="nil"/>
            </w:tcBorders>
            <w:shd w:val="clear" w:color="auto" w:fill="auto"/>
            <w:noWrap w:val="0"/>
            <w:vAlign w:val="top"/>
          </w:tcPr>
          <w:p w14:paraId="2EF79C31">
            <w:pPr>
              <w:jc w:val="center"/>
              <w:rPr>
                <w:color w:val="auto"/>
              </w:rPr>
            </w:pPr>
            <w:r>
              <w:rPr>
                <w:color w:val="auto"/>
              </w:rPr>
              <w:t>王埝村</w:t>
            </w:r>
          </w:p>
        </w:tc>
        <w:tc>
          <w:tcPr>
            <w:tcW w:w="885" w:type="pct"/>
            <w:tcBorders>
              <w:tl2br w:val="nil"/>
              <w:tr2bl w:val="nil"/>
            </w:tcBorders>
            <w:shd w:val="clear" w:color="auto" w:fill="auto"/>
            <w:noWrap w:val="0"/>
            <w:vAlign w:val="center"/>
          </w:tcPr>
          <w:p w14:paraId="6135B669">
            <w:pPr>
              <w:spacing w:before="31" w:beforeLines="10" w:line="264" w:lineRule="auto"/>
              <w:jc w:val="center"/>
              <w:rPr>
                <w:color w:val="auto"/>
                <w:szCs w:val="21"/>
              </w:rPr>
            </w:pPr>
            <w:r>
              <w:rPr>
                <w:color w:val="auto"/>
                <w:szCs w:val="21"/>
              </w:rPr>
              <w:t>17～25</w:t>
            </w:r>
          </w:p>
        </w:tc>
        <w:tc>
          <w:tcPr>
            <w:tcW w:w="720" w:type="pct"/>
            <w:tcBorders>
              <w:tl2br w:val="nil"/>
              <w:tr2bl w:val="nil"/>
            </w:tcBorders>
            <w:shd w:val="clear" w:color="auto" w:fill="auto"/>
            <w:noWrap w:val="0"/>
            <w:vAlign w:val="center"/>
          </w:tcPr>
          <w:p w14:paraId="133C30B2">
            <w:pPr>
              <w:jc w:val="center"/>
              <w:rPr>
                <w:color w:val="auto"/>
                <w:sz w:val="24"/>
              </w:rPr>
            </w:pPr>
            <w:r>
              <w:rPr>
                <w:color w:val="auto"/>
              </w:rPr>
              <w:t>31.25</w:t>
            </w:r>
          </w:p>
        </w:tc>
        <w:tc>
          <w:tcPr>
            <w:tcW w:w="480" w:type="pct"/>
            <w:tcBorders>
              <w:tl2br w:val="nil"/>
              <w:tr2bl w:val="nil"/>
            </w:tcBorders>
            <w:shd w:val="clear" w:color="auto" w:fill="auto"/>
            <w:noWrap w:val="0"/>
            <w:vAlign w:val="center"/>
          </w:tcPr>
          <w:p w14:paraId="0DDBBC00">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C64ECA4">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1A8BACA1">
            <w:pPr>
              <w:spacing w:before="31" w:beforeLines="10" w:line="264" w:lineRule="auto"/>
              <w:jc w:val="center"/>
              <w:rPr>
                <w:color w:val="auto"/>
              </w:rPr>
            </w:pPr>
            <w:r>
              <w:rPr>
                <w:color w:val="auto"/>
              </w:rPr>
              <w:t>达标</w:t>
            </w:r>
          </w:p>
        </w:tc>
      </w:tr>
    </w:tbl>
    <w:p w14:paraId="78C89DA3">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表2-11 各监测点二噁英类日均浓度统计表   标准值：1.65pg-TEQ /Nm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12"/>
        <w:gridCol w:w="2459"/>
        <w:gridCol w:w="2120"/>
        <w:gridCol w:w="1379"/>
        <w:gridCol w:w="897"/>
        <w:gridCol w:w="1004"/>
        <w:gridCol w:w="1387"/>
      </w:tblGrid>
      <w:tr w14:paraId="6B2C3CB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592" w:type="pct"/>
            <w:gridSpan w:val="2"/>
            <w:tcBorders>
              <w:tl2br w:val="nil"/>
              <w:tr2bl w:val="nil"/>
            </w:tcBorders>
            <w:shd w:val="clear" w:color="auto" w:fill="auto"/>
            <w:noWrap w:val="0"/>
            <w:vAlign w:val="center"/>
          </w:tcPr>
          <w:p w14:paraId="0ADA4A6A">
            <w:pPr>
              <w:spacing w:before="31" w:beforeLines="10" w:line="264" w:lineRule="auto"/>
              <w:jc w:val="center"/>
              <w:rPr>
                <w:b/>
                <w:color w:val="auto"/>
              </w:rPr>
            </w:pPr>
            <w:r>
              <w:rPr>
                <w:b/>
                <w:color w:val="auto"/>
              </w:rPr>
              <w:t>监测点位</w:t>
            </w:r>
          </w:p>
        </w:tc>
        <w:tc>
          <w:tcPr>
            <w:tcW w:w="1064" w:type="pct"/>
            <w:tcBorders>
              <w:tl2br w:val="nil"/>
              <w:tr2bl w:val="nil"/>
            </w:tcBorders>
            <w:shd w:val="clear" w:color="auto" w:fill="auto"/>
            <w:noWrap w:val="0"/>
            <w:vAlign w:val="center"/>
          </w:tcPr>
          <w:p w14:paraId="41A5774A">
            <w:pPr>
              <w:spacing w:before="31" w:beforeLines="10" w:line="264" w:lineRule="auto"/>
              <w:jc w:val="center"/>
              <w:rPr>
                <w:b/>
                <w:color w:val="auto"/>
              </w:rPr>
            </w:pPr>
            <w:r>
              <w:rPr>
                <w:b/>
                <w:color w:val="auto"/>
              </w:rPr>
              <w:t>浓度范围</w:t>
            </w:r>
          </w:p>
          <w:p w14:paraId="5D4C01C4">
            <w:pPr>
              <w:spacing w:before="31" w:beforeLines="10" w:line="264" w:lineRule="auto"/>
              <w:jc w:val="center"/>
              <w:rPr>
                <w:b/>
                <w:color w:val="auto"/>
              </w:rPr>
            </w:pPr>
            <w:r>
              <w:rPr>
                <w:b/>
                <w:color w:val="auto"/>
              </w:rPr>
              <w:t>（pg-TEQ/Nm</w:t>
            </w:r>
            <w:r>
              <w:rPr>
                <w:b/>
                <w:color w:val="auto"/>
                <w:vertAlign w:val="superscript"/>
              </w:rPr>
              <w:t>3</w:t>
            </w:r>
            <w:r>
              <w:rPr>
                <w:b/>
                <w:color w:val="auto"/>
              </w:rPr>
              <w:t>）</w:t>
            </w:r>
          </w:p>
        </w:tc>
        <w:tc>
          <w:tcPr>
            <w:tcW w:w="692" w:type="pct"/>
            <w:tcBorders>
              <w:tl2br w:val="nil"/>
              <w:tr2bl w:val="nil"/>
            </w:tcBorders>
            <w:shd w:val="clear" w:color="auto" w:fill="auto"/>
            <w:noWrap w:val="0"/>
            <w:vAlign w:val="center"/>
          </w:tcPr>
          <w:p w14:paraId="595BED5B">
            <w:pPr>
              <w:spacing w:before="31" w:beforeLines="10" w:line="264" w:lineRule="auto"/>
              <w:jc w:val="center"/>
              <w:rPr>
                <w:b/>
                <w:color w:val="auto"/>
              </w:rPr>
            </w:pPr>
            <w:r>
              <w:rPr>
                <w:b/>
                <w:color w:val="auto"/>
              </w:rPr>
              <w:t>最大占</w:t>
            </w:r>
          </w:p>
          <w:p w14:paraId="7FF8F6F4">
            <w:pPr>
              <w:spacing w:before="31" w:beforeLines="10" w:line="264" w:lineRule="auto"/>
              <w:jc w:val="center"/>
              <w:rPr>
                <w:b/>
                <w:color w:val="auto"/>
              </w:rPr>
            </w:pPr>
            <w:r>
              <w:rPr>
                <w:b/>
                <w:color w:val="auto"/>
              </w:rPr>
              <w:t>标率（%）</w:t>
            </w:r>
          </w:p>
        </w:tc>
        <w:tc>
          <w:tcPr>
            <w:tcW w:w="450" w:type="pct"/>
            <w:tcBorders>
              <w:tl2br w:val="nil"/>
              <w:tr2bl w:val="nil"/>
            </w:tcBorders>
            <w:shd w:val="clear" w:color="auto" w:fill="auto"/>
            <w:noWrap w:val="0"/>
            <w:vAlign w:val="center"/>
          </w:tcPr>
          <w:p w14:paraId="49500533">
            <w:pPr>
              <w:spacing w:before="31" w:beforeLines="10" w:line="264" w:lineRule="auto"/>
              <w:jc w:val="center"/>
              <w:rPr>
                <w:b/>
                <w:color w:val="auto"/>
              </w:rPr>
            </w:pPr>
            <w:r>
              <w:rPr>
                <w:b/>
                <w:color w:val="auto"/>
              </w:rPr>
              <w:t>超标</w:t>
            </w:r>
          </w:p>
          <w:p w14:paraId="352BD44A">
            <w:pPr>
              <w:spacing w:before="31" w:beforeLines="10" w:line="264" w:lineRule="auto"/>
              <w:jc w:val="center"/>
              <w:rPr>
                <w:b/>
                <w:color w:val="auto"/>
              </w:rPr>
            </w:pPr>
            <w:r>
              <w:rPr>
                <w:b/>
                <w:color w:val="auto"/>
              </w:rPr>
              <w:t>个数</w:t>
            </w:r>
          </w:p>
        </w:tc>
        <w:tc>
          <w:tcPr>
            <w:tcW w:w="504" w:type="pct"/>
            <w:tcBorders>
              <w:tl2br w:val="nil"/>
              <w:tr2bl w:val="nil"/>
            </w:tcBorders>
            <w:shd w:val="clear" w:color="auto" w:fill="auto"/>
            <w:noWrap w:val="0"/>
            <w:vAlign w:val="center"/>
          </w:tcPr>
          <w:p w14:paraId="6AA5D677">
            <w:pPr>
              <w:spacing w:before="31" w:beforeLines="10" w:line="264" w:lineRule="auto"/>
              <w:jc w:val="center"/>
              <w:rPr>
                <w:b/>
                <w:color w:val="auto"/>
              </w:rPr>
            </w:pPr>
            <w:r>
              <w:rPr>
                <w:b/>
                <w:color w:val="auto"/>
              </w:rPr>
              <w:t>超标率</w:t>
            </w:r>
          </w:p>
          <w:p w14:paraId="5867A9CC">
            <w:pPr>
              <w:spacing w:before="31" w:beforeLines="10" w:line="264" w:lineRule="auto"/>
              <w:jc w:val="center"/>
              <w:rPr>
                <w:b/>
                <w:color w:val="auto"/>
              </w:rPr>
            </w:pPr>
            <w:r>
              <w:rPr>
                <w:b/>
                <w:color w:val="auto"/>
              </w:rPr>
              <w:t>（%）</w:t>
            </w:r>
          </w:p>
        </w:tc>
        <w:tc>
          <w:tcPr>
            <w:tcW w:w="696" w:type="pct"/>
            <w:tcBorders>
              <w:tl2br w:val="nil"/>
              <w:tr2bl w:val="nil"/>
            </w:tcBorders>
            <w:shd w:val="clear" w:color="auto" w:fill="auto"/>
            <w:noWrap w:val="0"/>
            <w:vAlign w:val="center"/>
          </w:tcPr>
          <w:p w14:paraId="173456CE">
            <w:pPr>
              <w:spacing w:before="31" w:beforeLines="10" w:line="264" w:lineRule="auto"/>
              <w:jc w:val="center"/>
              <w:rPr>
                <w:b/>
                <w:color w:val="auto"/>
              </w:rPr>
            </w:pPr>
            <w:r>
              <w:rPr>
                <w:b/>
                <w:color w:val="auto"/>
              </w:rPr>
              <w:t>达标</w:t>
            </w:r>
          </w:p>
          <w:p w14:paraId="5FBD9BA5">
            <w:pPr>
              <w:spacing w:before="31" w:beforeLines="10" w:line="264" w:lineRule="auto"/>
              <w:jc w:val="center"/>
              <w:rPr>
                <w:b/>
                <w:color w:val="auto"/>
              </w:rPr>
            </w:pPr>
            <w:r>
              <w:rPr>
                <w:b/>
                <w:color w:val="auto"/>
              </w:rPr>
              <w:t>情况</w:t>
            </w:r>
          </w:p>
        </w:tc>
      </w:tr>
      <w:tr w14:paraId="6141A90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58" w:type="pct"/>
            <w:tcBorders>
              <w:tl2br w:val="nil"/>
              <w:tr2bl w:val="nil"/>
            </w:tcBorders>
            <w:shd w:val="clear" w:color="auto" w:fill="auto"/>
            <w:noWrap w:val="0"/>
            <w:vAlign w:val="center"/>
          </w:tcPr>
          <w:p w14:paraId="1C62B3B1">
            <w:pPr>
              <w:spacing w:before="31" w:beforeLines="10" w:line="264" w:lineRule="auto"/>
              <w:jc w:val="center"/>
              <w:rPr>
                <w:color w:val="auto"/>
              </w:rPr>
            </w:pPr>
            <w:r>
              <w:rPr>
                <w:color w:val="auto"/>
              </w:rPr>
              <w:t>G1</w:t>
            </w:r>
          </w:p>
        </w:tc>
        <w:tc>
          <w:tcPr>
            <w:tcW w:w="1233" w:type="pct"/>
            <w:tcBorders>
              <w:tl2br w:val="nil"/>
              <w:tr2bl w:val="nil"/>
            </w:tcBorders>
            <w:shd w:val="clear" w:color="auto" w:fill="auto"/>
            <w:noWrap w:val="0"/>
            <w:vAlign w:val="top"/>
          </w:tcPr>
          <w:p w14:paraId="2628AC55">
            <w:pPr>
              <w:jc w:val="center"/>
              <w:rPr>
                <w:color w:val="auto"/>
              </w:rPr>
            </w:pPr>
            <w:r>
              <w:rPr>
                <w:color w:val="auto"/>
              </w:rPr>
              <w:t>星河花园小区</w:t>
            </w:r>
          </w:p>
        </w:tc>
        <w:tc>
          <w:tcPr>
            <w:tcW w:w="1064" w:type="pct"/>
            <w:tcBorders>
              <w:tl2br w:val="nil"/>
              <w:tr2bl w:val="nil"/>
            </w:tcBorders>
            <w:shd w:val="clear" w:color="auto" w:fill="auto"/>
            <w:noWrap w:val="0"/>
            <w:vAlign w:val="center"/>
          </w:tcPr>
          <w:p w14:paraId="5461EEEF">
            <w:pPr>
              <w:spacing w:before="31" w:beforeLines="10" w:line="264" w:lineRule="auto"/>
              <w:jc w:val="center"/>
              <w:rPr>
                <w:color w:val="auto"/>
              </w:rPr>
            </w:pPr>
            <w:r>
              <w:rPr>
                <w:color w:val="auto"/>
                <w:szCs w:val="21"/>
              </w:rPr>
              <w:t>0.086</w:t>
            </w:r>
          </w:p>
        </w:tc>
        <w:tc>
          <w:tcPr>
            <w:tcW w:w="692" w:type="pct"/>
            <w:tcBorders>
              <w:tl2br w:val="nil"/>
              <w:tr2bl w:val="nil"/>
            </w:tcBorders>
            <w:shd w:val="clear" w:color="auto" w:fill="auto"/>
            <w:noWrap w:val="0"/>
            <w:vAlign w:val="center"/>
          </w:tcPr>
          <w:p w14:paraId="7664E26B">
            <w:pPr>
              <w:spacing w:before="31" w:beforeLines="10" w:line="264" w:lineRule="auto"/>
              <w:jc w:val="center"/>
              <w:rPr>
                <w:color w:val="auto"/>
              </w:rPr>
            </w:pPr>
            <w:r>
              <w:rPr>
                <w:color w:val="auto"/>
              </w:rPr>
              <w:t>5.21</w:t>
            </w:r>
          </w:p>
        </w:tc>
        <w:tc>
          <w:tcPr>
            <w:tcW w:w="450" w:type="pct"/>
            <w:tcBorders>
              <w:tl2br w:val="nil"/>
              <w:tr2bl w:val="nil"/>
            </w:tcBorders>
            <w:shd w:val="clear" w:color="auto" w:fill="auto"/>
            <w:noWrap w:val="0"/>
            <w:vAlign w:val="center"/>
          </w:tcPr>
          <w:p w14:paraId="0DBFB7FF">
            <w:pPr>
              <w:spacing w:before="31" w:beforeLines="10" w:line="264" w:lineRule="auto"/>
              <w:jc w:val="center"/>
              <w:rPr>
                <w:color w:val="auto"/>
              </w:rPr>
            </w:pPr>
            <w:r>
              <w:rPr>
                <w:color w:val="auto"/>
              </w:rPr>
              <w:t>0</w:t>
            </w:r>
          </w:p>
        </w:tc>
        <w:tc>
          <w:tcPr>
            <w:tcW w:w="504" w:type="pct"/>
            <w:tcBorders>
              <w:tl2br w:val="nil"/>
              <w:tr2bl w:val="nil"/>
            </w:tcBorders>
            <w:shd w:val="clear" w:color="auto" w:fill="auto"/>
            <w:noWrap w:val="0"/>
            <w:vAlign w:val="center"/>
          </w:tcPr>
          <w:p w14:paraId="674407CE">
            <w:pPr>
              <w:spacing w:before="31" w:beforeLines="10" w:line="264" w:lineRule="auto"/>
              <w:jc w:val="center"/>
              <w:rPr>
                <w:color w:val="auto"/>
              </w:rPr>
            </w:pPr>
            <w:r>
              <w:rPr>
                <w:color w:val="auto"/>
              </w:rPr>
              <w:t>0</w:t>
            </w:r>
          </w:p>
        </w:tc>
        <w:tc>
          <w:tcPr>
            <w:tcW w:w="696" w:type="pct"/>
            <w:tcBorders>
              <w:tl2br w:val="nil"/>
              <w:tr2bl w:val="nil"/>
            </w:tcBorders>
            <w:shd w:val="clear" w:color="auto" w:fill="auto"/>
            <w:noWrap w:val="0"/>
            <w:vAlign w:val="center"/>
          </w:tcPr>
          <w:p w14:paraId="5286A17D">
            <w:pPr>
              <w:spacing w:before="31" w:beforeLines="10" w:line="264" w:lineRule="auto"/>
              <w:jc w:val="center"/>
              <w:rPr>
                <w:color w:val="auto"/>
              </w:rPr>
            </w:pPr>
            <w:r>
              <w:rPr>
                <w:color w:val="auto"/>
              </w:rPr>
              <w:t>达标</w:t>
            </w:r>
          </w:p>
        </w:tc>
      </w:tr>
      <w:tr w14:paraId="5B50C7C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c>
          <w:tcPr>
            <w:tcW w:w="358" w:type="pct"/>
            <w:tcBorders>
              <w:tl2br w:val="nil"/>
              <w:tr2bl w:val="nil"/>
            </w:tcBorders>
            <w:shd w:val="clear" w:color="auto" w:fill="auto"/>
            <w:noWrap w:val="0"/>
            <w:vAlign w:val="center"/>
          </w:tcPr>
          <w:p w14:paraId="62419191">
            <w:pPr>
              <w:spacing w:before="31" w:beforeLines="10" w:line="264" w:lineRule="auto"/>
              <w:jc w:val="center"/>
              <w:rPr>
                <w:color w:val="auto"/>
              </w:rPr>
            </w:pPr>
            <w:r>
              <w:rPr>
                <w:color w:val="auto"/>
              </w:rPr>
              <w:t>G2</w:t>
            </w:r>
          </w:p>
        </w:tc>
        <w:tc>
          <w:tcPr>
            <w:tcW w:w="1233" w:type="pct"/>
            <w:tcBorders>
              <w:tl2br w:val="nil"/>
              <w:tr2bl w:val="nil"/>
            </w:tcBorders>
            <w:shd w:val="clear" w:color="auto" w:fill="auto"/>
            <w:noWrap w:val="0"/>
            <w:vAlign w:val="top"/>
          </w:tcPr>
          <w:p w14:paraId="69C5CC36">
            <w:pPr>
              <w:jc w:val="center"/>
              <w:rPr>
                <w:color w:val="auto"/>
              </w:rPr>
            </w:pPr>
            <w:r>
              <w:rPr>
                <w:color w:val="auto"/>
              </w:rPr>
              <w:t>项目地</w:t>
            </w:r>
          </w:p>
        </w:tc>
        <w:tc>
          <w:tcPr>
            <w:tcW w:w="1064" w:type="pct"/>
            <w:tcBorders>
              <w:tl2br w:val="nil"/>
              <w:tr2bl w:val="nil"/>
            </w:tcBorders>
            <w:shd w:val="clear" w:color="auto" w:fill="auto"/>
            <w:noWrap w:val="0"/>
            <w:vAlign w:val="center"/>
          </w:tcPr>
          <w:p w14:paraId="6B18C473">
            <w:pPr>
              <w:spacing w:before="31" w:beforeLines="10" w:line="264" w:lineRule="auto"/>
              <w:jc w:val="center"/>
              <w:rPr>
                <w:color w:val="auto"/>
              </w:rPr>
            </w:pPr>
            <w:r>
              <w:rPr>
                <w:color w:val="auto"/>
              </w:rPr>
              <w:t>0.035</w:t>
            </w:r>
          </w:p>
        </w:tc>
        <w:tc>
          <w:tcPr>
            <w:tcW w:w="692" w:type="pct"/>
            <w:tcBorders>
              <w:tl2br w:val="nil"/>
              <w:tr2bl w:val="nil"/>
            </w:tcBorders>
            <w:shd w:val="clear" w:color="auto" w:fill="auto"/>
            <w:noWrap w:val="0"/>
            <w:vAlign w:val="center"/>
          </w:tcPr>
          <w:p w14:paraId="46CC70BC">
            <w:pPr>
              <w:spacing w:before="31" w:beforeLines="10" w:line="264" w:lineRule="auto"/>
              <w:jc w:val="center"/>
              <w:rPr>
                <w:color w:val="auto"/>
              </w:rPr>
            </w:pPr>
            <w:r>
              <w:rPr>
                <w:color w:val="auto"/>
              </w:rPr>
              <w:t>2.12</w:t>
            </w:r>
          </w:p>
        </w:tc>
        <w:tc>
          <w:tcPr>
            <w:tcW w:w="450" w:type="pct"/>
            <w:tcBorders>
              <w:tl2br w:val="nil"/>
              <w:tr2bl w:val="nil"/>
            </w:tcBorders>
            <w:shd w:val="clear" w:color="auto" w:fill="auto"/>
            <w:noWrap w:val="0"/>
            <w:vAlign w:val="center"/>
          </w:tcPr>
          <w:p w14:paraId="214AA39C">
            <w:pPr>
              <w:spacing w:before="31" w:beforeLines="10" w:line="264" w:lineRule="auto"/>
              <w:jc w:val="center"/>
              <w:rPr>
                <w:color w:val="auto"/>
              </w:rPr>
            </w:pPr>
            <w:r>
              <w:rPr>
                <w:color w:val="auto"/>
              </w:rPr>
              <w:t>0</w:t>
            </w:r>
          </w:p>
        </w:tc>
        <w:tc>
          <w:tcPr>
            <w:tcW w:w="504" w:type="pct"/>
            <w:tcBorders>
              <w:tl2br w:val="nil"/>
              <w:tr2bl w:val="nil"/>
            </w:tcBorders>
            <w:shd w:val="clear" w:color="auto" w:fill="auto"/>
            <w:noWrap w:val="0"/>
            <w:vAlign w:val="center"/>
          </w:tcPr>
          <w:p w14:paraId="7C08A759">
            <w:pPr>
              <w:spacing w:before="31" w:beforeLines="10" w:line="264" w:lineRule="auto"/>
              <w:jc w:val="center"/>
              <w:rPr>
                <w:color w:val="auto"/>
              </w:rPr>
            </w:pPr>
            <w:r>
              <w:rPr>
                <w:color w:val="auto"/>
              </w:rPr>
              <w:t>0</w:t>
            </w:r>
          </w:p>
        </w:tc>
        <w:tc>
          <w:tcPr>
            <w:tcW w:w="696" w:type="pct"/>
            <w:tcBorders>
              <w:tl2br w:val="nil"/>
              <w:tr2bl w:val="nil"/>
            </w:tcBorders>
            <w:shd w:val="clear" w:color="auto" w:fill="auto"/>
            <w:noWrap w:val="0"/>
            <w:vAlign w:val="center"/>
          </w:tcPr>
          <w:p w14:paraId="3F749392">
            <w:pPr>
              <w:spacing w:before="31" w:beforeLines="10" w:line="264" w:lineRule="auto"/>
              <w:jc w:val="center"/>
              <w:rPr>
                <w:color w:val="auto"/>
              </w:rPr>
            </w:pPr>
            <w:r>
              <w:rPr>
                <w:color w:val="auto"/>
              </w:rPr>
              <w:t>达标</w:t>
            </w:r>
          </w:p>
        </w:tc>
      </w:tr>
      <w:tr w14:paraId="41CEF17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c>
          <w:tcPr>
            <w:tcW w:w="358" w:type="pct"/>
            <w:tcBorders>
              <w:tl2br w:val="nil"/>
              <w:tr2bl w:val="nil"/>
            </w:tcBorders>
            <w:shd w:val="clear" w:color="auto" w:fill="auto"/>
            <w:noWrap w:val="0"/>
            <w:vAlign w:val="center"/>
          </w:tcPr>
          <w:p w14:paraId="70A1B7B3">
            <w:pPr>
              <w:spacing w:before="31" w:beforeLines="10" w:line="264" w:lineRule="auto"/>
              <w:jc w:val="center"/>
              <w:rPr>
                <w:color w:val="auto"/>
              </w:rPr>
            </w:pPr>
            <w:r>
              <w:rPr>
                <w:color w:val="auto"/>
              </w:rPr>
              <w:t>G5</w:t>
            </w:r>
          </w:p>
        </w:tc>
        <w:tc>
          <w:tcPr>
            <w:tcW w:w="1233" w:type="pct"/>
            <w:tcBorders>
              <w:tl2br w:val="nil"/>
              <w:tr2bl w:val="nil"/>
            </w:tcBorders>
            <w:shd w:val="clear" w:color="auto" w:fill="auto"/>
            <w:noWrap w:val="0"/>
            <w:vAlign w:val="center"/>
          </w:tcPr>
          <w:p w14:paraId="5661C109">
            <w:pPr>
              <w:spacing w:before="31" w:beforeLines="10" w:line="264" w:lineRule="auto"/>
              <w:jc w:val="center"/>
              <w:rPr>
                <w:color w:val="auto"/>
              </w:rPr>
            </w:pPr>
            <w:r>
              <w:rPr>
                <w:color w:val="auto"/>
              </w:rPr>
              <w:t>赵楼村</w:t>
            </w:r>
          </w:p>
        </w:tc>
        <w:tc>
          <w:tcPr>
            <w:tcW w:w="1064" w:type="pct"/>
            <w:tcBorders>
              <w:tl2br w:val="nil"/>
              <w:tr2bl w:val="nil"/>
            </w:tcBorders>
            <w:shd w:val="clear" w:color="auto" w:fill="auto"/>
            <w:noWrap w:val="0"/>
            <w:vAlign w:val="center"/>
          </w:tcPr>
          <w:p w14:paraId="7B07F8C6">
            <w:pPr>
              <w:spacing w:before="31" w:beforeLines="10" w:line="264" w:lineRule="auto"/>
              <w:jc w:val="center"/>
              <w:rPr>
                <w:color w:val="auto"/>
              </w:rPr>
            </w:pPr>
            <w:r>
              <w:rPr>
                <w:color w:val="auto"/>
              </w:rPr>
              <w:t>0.040</w:t>
            </w:r>
          </w:p>
        </w:tc>
        <w:tc>
          <w:tcPr>
            <w:tcW w:w="692" w:type="pct"/>
            <w:tcBorders>
              <w:tl2br w:val="nil"/>
              <w:tr2bl w:val="nil"/>
            </w:tcBorders>
            <w:shd w:val="clear" w:color="auto" w:fill="auto"/>
            <w:noWrap w:val="0"/>
            <w:vAlign w:val="center"/>
          </w:tcPr>
          <w:p w14:paraId="166EF6A4">
            <w:pPr>
              <w:spacing w:before="31" w:beforeLines="10" w:line="264" w:lineRule="auto"/>
              <w:jc w:val="center"/>
              <w:rPr>
                <w:color w:val="auto"/>
              </w:rPr>
            </w:pPr>
            <w:r>
              <w:rPr>
                <w:color w:val="auto"/>
              </w:rPr>
              <w:t>2.42</w:t>
            </w:r>
          </w:p>
        </w:tc>
        <w:tc>
          <w:tcPr>
            <w:tcW w:w="450" w:type="pct"/>
            <w:tcBorders>
              <w:tl2br w:val="nil"/>
              <w:tr2bl w:val="nil"/>
            </w:tcBorders>
            <w:shd w:val="clear" w:color="auto" w:fill="auto"/>
            <w:noWrap w:val="0"/>
            <w:vAlign w:val="center"/>
          </w:tcPr>
          <w:p w14:paraId="40B8CFC5">
            <w:pPr>
              <w:spacing w:before="31" w:beforeLines="10" w:line="264" w:lineRule="auto"/>
              <w:jc w:val="center"/>
              <w:rPr>
                <w:color w:val="auto"/>
              </w:rPr>
            </w:pPr>
            <w:r>
              <w:rPr>
                <w:color w:val="auto"/>
              </w:rPr>
              <w:t>0</w:t>
            </w:r>
          </w:p>
        </w:tc>
        <w:tc>
          <w:tcPr>
            <w:tcW w:w="504" w:type="pct"/>
            <w:tcBorders>
              <w:tl2br w:val="nil"/>
              <w:tr2bl w:val="nil"/>
            </w:tcBorders>
            <w:shd w:val="clear" w:color="auto" w:fill="auto"/>
            <w:noWrap w:val="0"/>
            <w:vAlign w:val="center"/>
          </w:tcPr>
          <w:p w14:paraId="7E485B36">
            <w:pPr>
              <w:spacing w:before="31" w:beforeLines="10" w:line="264" w:lineRule="auto"/>
              <w:jc w:val="center"/>
              <w:rPr>
                <w:color w:val="auto"/>
              </w:rPr>
            </w:pPr>
            <w:r>
              <w:rPr>
                <w:color w:val="auto"/>
              </w:rPr>
              <w:t>0</w:t>
            </w:r>
          </w:p>
        </w:tc>
        <w:tc>
          <w:tcPr>
            <w:tcW w:w="696" w:type="pct"/>
            <w:tcBorders>
              <w:tl2br w:val="nil"/>
              <w:tr2bl w:val="nil"/>
            </w:tcBorders>
            <w:shd w:val="clear" w:color="auto" w:fill="auto"/>
            <w:noWrap w:val="0"/>
            <w:vAlign w:val="center"/>
          </w:tcPr>
          <w:p w14:paraId="3AAE5306">
            <w:pPr>
              <w:spacing w:before="31" w:beforeLines="10" w:line="264" w:lineRule="auto"/>
              <w:jc w:val="center"/>
              <w:rPr>
                <w:color w:val="auto"/>
              </w:rPr>
            </w:pPr>
            <w:r>
              <w:rPr>
                <w:color w:val="auto"/>
              </w:rPr>
              <w:t>达标</w:t>
            </w:r>
          </w:p>
        </w:tc>
      </w:tr>
    </w:tbl>
    <w:p w14:paraId="061FE370">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表2-12 各监测点HCl小时浓度统计表    标准值：50ug/Nm</w:t>
      </w:r>
      <w:r>
        <w:rPr>
          <w:rFonts w:hint="eastAsia"/>
          <w:b/>
          <w:bCs/>
          <w:color w:val="auto"/>
          <w:sz w:val="24"/>
          <w:szCs w:val="32"/>
          <w:vertAlign w:val="superscript"/>
          <w:lang w:val="en-US" w:eastAsia="zh-CN"/>
        </w:rPr>
        <w:t>3</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94"/>
        <w:gridCol w:w="2301"/>
        <w:gridCol w:w="1588"/>
        <w:gridCol w:w="1472"/>
        <w:gridCol w:w="978"/>
        <w:gridCol w:w="1337"/>
        <w:gridCol w:w="1486"/>
      </w:tblGrid>
      <w:tr w14:paraId="74CFF55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554" w:type="pct"/>
            <w:gridSpan w:val="2"/>
            <w:tcBorders>
              <w:tl2br w:val="nil"/>
              <w:tr2bl w:val="nil"/>
            </w:tcBorders>
            <w:shd w:val="clear" w:color="auto" w:fill="auto"/>
            <w:noWrap w:val="0"/>
            <w:vAlign w:val="center"/>
          </w:tcPr>
          <w:p w14:paraId="61CF92A1">
            <w:pPr>
              <w:spacing w:before="31" w:beforeLines="10" w:line="264" w:lineRule="auto"/>
              <w:jc w:val="center"/>
              <w:rPr>
                <w:b/>
                <w:color w:val="auto"/>
              </w:rPr>
            </w:pPr>
            <w:r>
              <w:rPr>
                <w:b/>
                <w:color w:val="auto"/>
              </w:rPr>
              <w:t>监测点位</w:t>
            </w:r>
          </w:p>
        </w:tc>
        <w:tc>
          <w:tcPr>
            <w:tcW w:w="797" w:type="pct"/>
            <w:tcBorders>
              <w:tl2br w:val="nil"/>
              <w:tr2bl w:val="nil"/>
            </w:tcBorders>
            <w:shd w:val="clear" w:color="auto" w:fill="auto"/>
            <w:noWrap w:val="0"/>
            <w:vAlign w:val="center"/>
          </w:tcPr>
          <w:p w14:paraId="65F1656F">
            <w:pPr>
              <w:spacing w:before="31" w:beforeLines="10" w:line="264" w:lineRule="auto"/>
              <w:jc w:val="center"/>
              <w:rPr>
                <w:b/>
                <w:color w:val="auto"/>
              </w:rPr>
            </w:pPr>
            <w:r>
              <w:rPr>
                <w:b/>
                <w:color w:val="auto"/>
              </w:rPr>
              <w:t>浓度范围</w:t>
            </w:r>
          </w:p>
          <w:p w14:paraId="1D292DD8">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39" w:type="pct"/>
            <w:tcBorders>
              <w:tl2br w:val="nil"/>
              <w:tr2bl w:val="nil"/>
            </w:tcBorders>
            <w:shd w:val="clear" w:color="auto" w:fill="auto"/>
            <w:noWrap w:val="0"/>
            <w:vAlign w:val="center"/>
          </w:tcPr>
          <w:p w14:paraId="3E9F5EC9">
            <w:pPr>
              <w:spacing w:before="31" w:beforeLines="10" w:line="264" w:lineRule="auto"/>
              <w:jc w:val="center"/>
              <w:rPr>
                <w:b/>
                <w:color w:val="auto"/>
              </w:rPr>
            </w:pPr>
            <w:r>
              <w:rPr>
                <w:b/>
                <w:color w:val="auto"/>
              </w:rPr>
              <w:t>最大占</w:t>
            </w:r>
          </w:p>
          <w:p w14:paraId="665A11EB">
            <w:pPr>
              <w:spacing w:before="31" w:beforeLines="10" w:line="264" w:lineRule="auto"/>
              <w:jc w:val="center"/>
              <w:rPr>
                <w:b/>
                <w:color w:val="auto"/>
              </w:rPr>
            </w:pPr>
            <w:r>
              <w:rPr>
                <w:b/>
                <w:color w:val="auto"/>
              </w:rPr>
              <w:t>标率（%）</w:t>
            </w:r>
          </w:p>
        </w:tc>
        <w:tc>
          <w:tcPr>
            <w:tcW w:w="491" w:type="pct"/>
            <w:tcBorders>
              <w:tl2br w:val="nil"/>
              <w:tr2bl w:val="nil"/>
            </w:tcBorders>
            <w:shd w:val="clear" w:color="auto" w:fill="auto"/>
            <w:noWrap w:val="0"/>
            <w:vAlign w:val="center"/>
          </w:tcPr>
          <w:p w14:paraId="28FF04AD">
            <w:pPr>
              <w:spacing w:before="31" w:beforeLines="10" w:line="264" w:lineRule="auto"/>
              <w:jc w:val="center"/>
              <w:rPr>
                <w:b/>
                <w:color w:val="auto"/>
              </w:rPr>
            </w:pPr>
            <w:r>
              <w:rPr>
                <w:b/>
                <w:color w:val="auto"/>
              </w:rPr>
              <w:t>超标</w:t>
            </w:r>
          </w:p>
          <w:p w14:paraId="0A54DAFE">
            <w:pPr>
              <w:spacing w:before="31" w:beforeLines="10" w:line="264" w:lineRule="auto"/>
              <w:jc w:val="center"/>
              <w:rPr>
                <w:b/>
                <w:color w:val="auto"/>
              </w:rPr>
            </w:pPr>
            <w:r>
              <w:rPr>
                <w:b/>
                <w:color w:val="auto"/>
              </w:rPr>
              <w:t>个数</w:t>
            </w:r>
          </w:p>
        </w:tc>
        <w:tc>
          <w:tcPr>
            <w:tcW w:w="671" w:type="pct"/>
            <w:tcBorders>
              <w:tl2br w:val="nil"/>
              <w:tr2bl w:val="nil"/>
            </w:tcBorders>
            <w:shd w:val="clear" w:color="auto" w:fill="auto"/>
            <w:noWrap w:val="0"/>
            <w:vAlign w:val="center"/>
          </w:tcPr>
          <w:p w14:paraId="1B73DFBE">
            <w:pPr>
              <w:spacing w:before="31" w:beforeLines="10" w:line="264" w:lineRule="auto"/>
              <w:jc w:val="center"/>
              <w:rPr>
                <w:b/>
                <w:color w:val="auto"/>
              </w:rPr>
            </w:pPr>
            <w:r>
              <w:rPr>
                <w:b/>
                <w:color w:val="auto"/>
              </w:rPr>
              <w:t>超标率</w:t>
            </w:r>
          </w:p>
          <w:p w14:paraId="152EC980">
            <w:pPr>
              <w:spacing w:before="31" w:beforeLines="10" w:line="264" w:lineRule="auto"/>
              <w:jc w:val="center"/>
              <w:rPr>
                <w:b/>
                <w:color w:val="auto"/>
              </w:rPr>
            </w:pPr>
            <w:r>
              <w:rPr>
                <w:b/>
                <w:color w:val="auto"/>
              </w:rPr>
              <w:t>（%）</w:t>
            </w:r>
          </w:p>
        </w:tc>
        <w:tc>
          <w:tcPr>
            <w:tcW w:w="746" w:type="pct"/>
            <w:tcBorders>
              <w:tl2br w:val="nil"/>
              <w:tr2bl w:val="nil"/>
            </w:tcBorders>
            <w:shd w:val="clear" w:color="auto" w:fill="auto"/>
            <w:noWrap w:val="0"/>
            <w:vAlign w:val="center"/>
          </w:tcPr>
          <w:p w14:paraId="6A32A1DF">
            <w:pPr>
              <w:spacing w:before="31" w:beforeLines="10" w:line="264" w:lineRule="auto"/>
              <w:jc w:val="center"/>
              <w:rPr>
                <w:b/>
                <w:color w:val="auto"/>
              </w:rPr>
            </w:pPr>
            <w:r>
              <w:rPr>
                <w:b/>
                <w:color w:val="auto"/>
              </w:rPr>
              <w:t>达标</w:t>
            </w:r>
          </w:p>
          <w:p w14:paraId="2919A465">
            <w:pPr>
              <w:spacing w:before="31" w:beforeLines="10" w:line="264" w:lineRule="auto"/>
              <w:jc w:val="center"/>
              <w:rPr>
                <w:b/>
                <w:color w:val="auto"/>
              </w:rPr>
            </w:pPr>
            <w:r>
              <w:rPr>
                <w:b/>
                <w:color w:val="auto"/>
              </w:rPr>
              <w:t>情况</w:t>
            </w:r>
          </w:p>
        </w:tc>
      </w:tr>
      <w:tr w14:paraId="1EBEB04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F04650D">
            <w:pPr>
              <w:spacing w:before="31" w:beforeLines="10" w:line="264" w:lineRule="auto"/>
              <w:jc w:val="center"/>
              <w:rPr>
                <w:color w:val="auto"/>
              </w:rPr>
            </w:pPr>
            <w:r>
              <w:rPr>
                <w:color w:val="auto"/>
              </w:rPr>
              <w:t>G1</w:t>
            </w:r>
          </w:p>
        </w:tc>
        <w:tc>
          <w:tcPr>
            <w:tcW w:w="1155" w:type="pct"/>
            <w:tcBorders>
              <w:tl2br w:val="nil"/>
              <w:tr2bl w:val="nil"/>
            </w:tcBorders>
            <w:shd w:val="clear" w:color="auto" w:fill="auto"/>
            <w:noWrap w:val="0"/>
            <w:vAlign w:val="top"/>
          </w:tcPr>
          <w:p w14:paraId="1F3CDBD2">
            <w:pPr>
              <w:jc w:val="center"/>
              <w:rPr>
                <w:color w:val="auto"/>
              </w:rPr>
            </w:pPr>
            <w:r>
              <w:rPr>
                <w:color w:val="auto"/>
              </w:rPr>
              <w:t>星河花园小区</w:t>
            </w:r>
          </w:p>
        </w:tc>
        <w:tc>
          <w:tcPr>
            <w:tcW w:w="797" w:type="pct"/>
            <w:tcBorders>
              <w:tl2br w:val="nil"/>
              <w:tr2bl w:val="nil"/>
            </w:tcBorders>
            <w:shd w:val="clear" w:color="auto" w:fill="auto"/>
            <w:noWrap w:val="0"/>
            <w:vAlign w:val="center"/>
          </w:tcPr>
          <w:p w14:paraId="218551FA">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7271B7F2">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2DA88A32">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527BFA16">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234F26AB">
            <w:pPr>
              <w:spacing w:before="31" w:beforeLines="10" w:line="264" w:lineRule="auto"/>
              <w:jc w:val="center"/>
              <w:rPr>
                <w:color w:val="auto"/>
              </w:rPr>
            </w:pPr>
            <w:r>
              <w:rPr>
                <w:color w:val="auto"/>
              </w:rPr>
              <w:t>达标</w:t>
            </w:r>
          </w:p>
        </w:tc>
      </w:tr>
      <w:tr w14:paraId="6D8EE7E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675E995F">
            <w:pPr>
              <w:spacing w:before="31" w:beforeLines="10" w:line="264" w:lineRule="auto"/>
              <w:jc w:val="center"/>
              <w:rPr>
                <w:color w:val="auto"/>
              </w:rPr>
            </w:pPr>
            <w:r>
              <w:rPr>
                <w:color w:val="auto"/>
              </w:rPr>
              <w:t>G2</w:t>
            </w:r>
          </w:p>
        </w:tc>
        <w:tc>
          <w:tcPr>
            <w:tcW w:w="1155" w:type="pct"/>
            <w:tcBorders>
              <w:tl2br w:val="nil"/>
              <w:tr2bl w:val="nil"/>
            </w:tcBorders>
            <w:shd w:val="clear" w:color="auto" w:fill="auto"/>
            <w:noWrap w:val="0"/>
            <w:vAlign w:val="top"/>
          </w:tcPr>
          <w:p w14:paraId="6C6065A0">
            <w:pPr>
              <w:jc w:val="center"/>
              <w:rPr>
                <w:color w:val="auto"/>
              </w:rPr>
            </w:pPr>
            <w:r>
              <w:rPr>
                <w:color w:val="auto"/>
              </w:rPr>
              <w:t>项目地</w:t>
            </w:r>
          </w:p>
        </w:tc>
        <w:tc>
          <w:tcPr>
            <w:tcW w:w="797" w:type="pct"/>
            <w:tcBorders>
              <w:tl2br w:val="nil"/>
              <w:tr2bl w:val="nil"/>
            </w:tcBorders>
            <w:shd w:val="clear" w:color="auto" w:fill="auto"/>
            <w:noWrap w:val="0"/>
            <w:vAlign w:val="center"/>
          </w:tcPr>
          <w:p w14:paraId="07D846A8">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60C36F99">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46BA12BD">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06FAF495">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5A5550E8">
            <w:pPr>
              <w:spacing w:before="31" w:beforeLines="10" w:line="264" w:lineRule="auto"/>
              <w:jc w:val="center"/>
              <w:rPr>
                <w:color w:val="auto"/>
              </w:rPr>
            </w:pPr>
            <w:r>
              <w:rPr>
                <w:color w:val="auto"/>
              </w:rPr>
              <w:t>达标</w:t>
            </w:r>
          </w:p>
        </w:tc>
      </w:tr>
      <w:tr w14:paraId="06B73E8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3693FF34">
            <w:pPr>
              <w:spacing w:before="31" w:beforeLines="10" w:line="264" w:lineRule="auto"/>
              <w:jc w:val="center"/>
              <w:rPr>
                <w:color w:val="auto"/>
              </w:rPr>
            </w:pPr>
            <w:r>
              <w:rPr>
                <w:color w:val="auto"/>
              </w:rPr>
              <w:t>G3</w:t>
            </w:r>
          </w:p>
        </w:tc>
        <w:tc>
          <w:tcPr>
            <w:tcW w:w="1155" w:type="pct"/>
            <w:tcBorders>
              <w:tl2br w:val="nil"/>
              <w:tr2bl w:val="nil"/>
            </w:tcBorders>
            <w:shd w:val="clear" w:color="auto" w:fill="auto"/>
            <w:noWrap w:val="0"/>
            <w:vAlign w:val="top"/>
          </w:tcPr>
          <w:p w14:paraId="3AE5E61C">
            <w:pPr>
              <w:jc w:val="center"/>
              <w:rPr>
                <w:color w:val="auto"/>
              </w:rPr>
            </w:pPr>
            <w:r>
              <w:rPr>
                <w:color w:val="auto"/>
              </w:rPr>
              <w:t>刘桥镇</w:t>
            </w:r>
          </w:p>
        </w:tc>
        <w:tc>
          <w:tcPr>
            <w:tcW w:w="797" w:type="pct"/>
            <w:tcBorders>
              <w:tl2br w:val="nil"/>
              <w:tr2bl w:val="nil"/>
            </w:tcBorders>
            <w:shd w:val="clear" w:color="auto" w:fill="auto"/>
            <w:noWrap w:val="0"/>
            <w:vAlign w:val="center"/>
          </w:tcPr>
          <w:p w14:paraId="257762D6">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5ECBD754">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7D1EEC17">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789B9036">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466C92FE">
            <w:pPr>
              <w:spacing w:before="31" w:beforeLines="10" w:line="264" w:lineRule="auto"/>
              <w:jc w:val="center"/>
              <w:rPr>
                <w:color w:val="auto"/>
              </w:rPr>
            </w:pPr>
            <w:r>
              <w:rPr>
                <w:color w:val="auto"/>
              </w:rPr>
              <w:t>达标</w:t>
            </w:r>
          </w:p>
        </w:tc>
      </w:tr>
      <w:tr w14:paraId="007E44A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253DC505">
            <w:pPr>
              <w:spacing w:before="31" w:beforeLines="10" w:line="264" w:lineRule="auto"/>
              <w:jc w:val="center"/>
              <w:rPr>
                <w:color w:val="auto"/>
              </w:rPr>
            </w:pPr>
            <w:r>
              <w:rPr>
                <w:color w:val="auto"/>
              </w:rPr>
              <w:t>G4</w:t>
            </w:r>
          </w:p>
        </w:tc>
        <w:tc>
          <w:tcPr>
            <w:tcW w:w="1155" w:type="pct"/>
            <w:tcBorders>
              <w:tl2br w:val="nil"/>
              <w:tr2bl w:val="nil"/>
            </w:tcBorders>
            <w:shd w:val="clear" w:color="auto" w:fill="auto"/>
            <w:noWrap w:val="0"/>
            <w:vAlign w:val="top"/>
          </w:tcPr>
          <w:p w14:paraId="742668F1">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797" w:type="pct"/>
            <w:tcBorders>
              <w:tl2br w:val="nil"/>
              <w:tr2bl w:val="nil"/>
            </w:tcBorders>
            <w:shd w:val="clear" w:color="auto" w:fill="auto"/>
            <w:noWrap w:val="0"/>
            <w:vAlign w:val="center"/>
          </w:tcPr>
          <w:p w14:paraId="6BC11AEC">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6132B2F7">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53A7CC8A">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6ED42EB7">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229AF1DD">
            <w:pPr>
              <w:spacing w:before="31" w:beforeLines="10" w:line="264" w:lineRule="auto"/>
              <w:jc w:val="center"/>
              <w:rPr>
                <w:color w:val="auto"/>
              </w:rPr>
            </w:pPr>
            <w:r>
              <w:rPr>
                <w:color w:val="auto"/>
              </w:rPr>
              <w:t>达标</w:t>
            </w:r>
          </w:p>
        </w:tc>
      </w:tr>
      <w:tr w14:paraId="0F0F0B8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173E6E1F">
            <w:pPr>
              <w:spacing w:before="31" w:beforeLines="10" w:line="264" w:lineRule="auto"/>
              <w:jc w:val="center"/>
              <w:rPr>
                <w:color w:val="auto"/>
              </w:rPr>
            </w:pPr>
            <w:r>
              <w:rPr>
                <w:color w:val="auto"/>
              </w:rPr>
              <w:t>G5</w:t>
            </w:r>
          </w:p>
        </w:tc>
        <w:tc>
          <w:tcPr>
            <w:tcW w:w="1155" w:type="pct"/>
            <w:tcBorders>
              <w:tl2br w:val="nil"/>
              <w:tr2bl w:val="nil"/>
            </w:tcBorders>
            <w:shd w:val="clear" w:color="auto" w:fill="auto"/>
            <w:noWrap w:val="0"/>
            <w:vAlign w:val="top"/>
          </w:tcPr>
          <w:p w14:paraId="6B6EBAA3">
            <w:pPr>
              <w:jc w:val="center"/>
              <w:rPr>
                <w:color w:val="auto"/>
              </w:rPr>
            </w:pPr>
            <w:r>
              <w:rPr>
                <w:color w:val="auto"/>
              </w:rPr>
              <w:t>赵楼村</w:t>
            </w:r>
          </w:p>
        </w:tc>
        <w:tc>
          <w:tcPr>
            <w:tcW w:w="797" w:type="pct"/>
            <w:tcBorders>
              <w:tl2br w:val="nil"/>
              <w:tr2bl w:val="nil"/>
            </w:tcBorders>
            <w:shd w:val="clear" w:color="auto" w:fill="auto"/>
            <w:noWrap w:val="0"/>
            <w:vAlign w:val="center"/>
          </w:tcPr>
          <w:p w14:paraId="5E1DDEE8">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F4E9D20">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3D2AF4EA">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7602C3A8">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34686B30">
            <w:pPr>
              <w:spacing w:before="31" w:beforeLines="10" w:line="264" w:lineRule="auto"/>
              <w:jc w:val="center"/>
              <w:rPr>
                <w:color w:val="auto"/>
              </w:rPr>
            </w:pPr>
            <w:r>
              <w:rPr>
                <w:color w:val="auto"/>
              </w:rPr>
              <w:t>达标</w:t>
            </w:r>
          </w:p>
        </w:tc>
      </w:tr>
      <w:tr w14:paraId="0BA024C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674885B">
            <w:pPr>
              <w:spacing w:before="31" w:beforeLines="10" w:line="264" w:lineRule="auto"/>
              <w:jc w:val="center"/>
              <w:rPr>
                <w:color w:val="auto"/>
              </w:rPr>
            </w:pPr>
            <w:r>
              <w:rPr>
                <w:color w:val="auto"/>
              </w:rPr>
              <w:t>G6</w:t>
            </w:r>
          </w:p>
        </w:tc>
        <w:tc>
          <w:tcPr>
            <w:tcW w:w="1155" w:type="pct"/>
            <w:tcBorders>
              <w:tl2br w:val="nil"/>
              <w:tr2bl w:val="nil"/>
            </w:tcBorders>
            <w:shd w:val="clear" w:color="auto" w:fill="auto"/>
            <w:noWrap w:val="0"/>
            <w:vAlign w:val="top"/>
          </w:tcPr>
          <w:p w14:paraId="1D2CCA1E">
            <w:pPr>
              <w:jc w:val="center"/>
              <w:rPr>
                <w:color w:val="auto"/>
              </w:rPr>
            </w:pPr>
            <w:r>
              <w:rPr>
                <w:color w:val="auto"/>
              </w:rPr>
              <w:t>王埝村</w:t>
            </w:r>
          </w:p>
        </w:tc>
        <w:tc>
          <w:tcPr>
            <w:tcW w:w="797" w:type="pct"/>
            <w:tcBorders>
              <w:tl2br w:val="nil"/>
              <w:tr2bl w:val="nil"/>
            </w:tcBorders>
            <w:shd w:val="clear" w:color="auto" w:fill="auto"/>
            <w:noWrap w:val="0"/>
            <w:vAlign w:val="center"/>
          </w:tcPr>
          <w:p w14:paraId="7378BC38">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88A8628">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02858812">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76508060">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40305D65">
            <w:pPr>
              <w:spacing w:before="31" w:beforeLines="10" w:line="264" w:lineRule="auto"/>
              <w:jc w:val="center"/>
              <w:rPr>
                <w:color w:val="auto"/>
              </w:rPr>
            </w:pPr>
            <w:r>
              <w:rPr>
                <w:color w:val="auto"/>
              </w:rPr>
              <w:t>达标</w:t>
            </w:r>
          </w:p>
        </w:tc>
      </w:tr>
    </w:tbl>
    <w:p w14:paraId="2F3588F0">
      <w:pPr>
        <w:spacing w:line="360" w:lineRule="auto"/>
        <w:jc w:val="center"/>
        <w:rPr>
          <w:rFonts w:hint="default"/>
          <w:b/>
          <w:bCs/>
          <w:color w:val="auto"/>
          <w:sz w:val="24"/>
          <w:szCs w:val="32"/>
          <w:vertAlign w:val="superscript"/>
          <w:lang w:val="en-US" w:eastAsia="zh-CN"/>
        </w:rPr>
      </w:pPr>
      <w:r>
        <w:rPr>
          <w:rFonts w:hint="eastAsia"/>
          <w:b/>
          <w:bCs/>
          <w:color w:val="auto"/>
          <w:sz w:val="24"/>
          <w:szCs w:val="32"/>
          <w:lang w:val="en-US" w:eastAsia="zh-CN"/>
        </w:rPr>
        <w:t>表2-13 各监测点氟化物小时浓度统计表   标准值： 20ug/Nm</w:t>
      </w:r>
      <w:r>
        <w:rPr>
          <w:rFonts w:hint="eastAsia"/>
          <w:b/>
          <w:bCs/>
          <w:color w:val="auto"/>
          <w:sz w:val="24"/>
          <w:szCs w:val="32"/>
          <w:vertAlign w:val="superscript"/>
          <w:lang w:val="en-US" w:eastAsia="zh-CN"/>
        </w:rPr>
        <w:t>3</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95"/>
        <w:gridCol w:w="2321"/>
        <w:gridCol w:w="1570"/>
        <w:gridCol w:w="1472"/>
        <w:gridCol w:w="976"/>
        <w:gridCol w:w="1337"/>
        <w:gridCol w:w="1485"/>
      </w:tblGrid>
      <w:tr w14:paraId="71735D7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564" w:type="pct"/>
            <w:gridSpan w:val="2"/>
            <w:tcBorders>
              <w:tl2br w:val="nil"/>
              <w:tr2bl w:val="nil"/>
            </w:tcBorders>
            <w:shd w:val="clear" w:color="auto" w:fill="auto"/>
            <w:noWrap w:val="0"/>
            <w:vAlign w:val="center"/>
          </w:tcPr>
          <w:p w14:paraId="3CF1A127">
            <w:pPr>
              <w:spacing w:before="31" w:beforeLines="10" w:line="264" w:lineRule="auto"/>
              <w:jc w:val="center"/>
              <w:rPr>
                <w:b/>
                <w:color w:val="auto"/>
              </w:rPr>
            </w:pPr>
            <w:r>
              <w:rPr>
                <w:b/>
                <w:color w:val="auto"/>
              </w:rPr>
              <w:t>监测点位</w:t>
            </w:r>
          </w:p>
        </w:tc>
        <w:tc>
          <w:tcPr>
            <w:tcW w:w="788" w:type="pct"/>
            <w:tcBorders>
              <w:tl2br w:val="nil"/>
              <w:tr2bl w:val="nil"/>
            </w:tcBorders>
            <w:shd w:val="clear" w:color="auto" w:fill="auto"/>
            <w:noWrap w:val="0"/>
            <w:vAlign w:val="center"/>
          </w:tcPr>
          <w:p w14:paraId="65232C7E">
            <w:pPr>
              <w:spacing w:before="31" w:beforeLines="10" w:line="264" w:lineRule="auto"/>
              <w:jc w:val="center"/>
              <w:rPr>
                <w:b/>
                <w:color w:val="auto"/>
              </w:rPr>
            </w:pPr>
            <w:r>
              <w:rPr>
                <w:b/>
                <w:color w:val="auto"/>
              </w:rPr>
              <w:t>浓度范围</w:t>
            </w:r>
          </w:p>
          <w:p w14:paraId="43DF7887">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39" w:type="pct"/>
            <w:tcBorders>
              <w:tl2br w:val="nil"/>
              <w:tr2bl w:val="nil"/>
            </w:tcBorders>
            <w:shd w:val="clear" w:color="auto" w:fill="auto"/>
            <w:noWrap w:val="0"/>
            <w:vAlign w:val="center"/>
          </w:tcPr>
          <w:p w14:paraId="3051140B">
            <w:pPr>
              <w:spacing w:before="31" w:beforeLines="10" w:line="264" w:lineRule="auto"/>
              <w:jc w:val="center"/>
              <w:rPr>
                <w:b/>
                <w:color w:val="auto"/>
              </w:rPr>
            </w:pPr>
            <w:r>
              <w:rPr>
                <w:b/>
                <w:color w:val="auto"/>
              </w:rPr>
              <w:t>最大占</w:t>
            </w:r>
          </w:p>
          <w:p w14:paraId="739E56B0">
            <w:pPr>
              <w:spacing w:before="31" w:beforeLines="10" w:line="264" w:lineRule="auto"/>
              <w:jc w:val="center"/>
              <w:rPr>
                <w:b/>
                <w:color w:val="auto"/>
              </w:rPr>
            </w:pPr>
            <w:r>
              <w:rPr>
                <w:b/>
                <w:color w:val="auto"/>
              </w:rPr>
              <w:t>标率（%）</w:t>
            </w:r>
          </w:p>
        </w:tc>
        <w:tc>
          <w:tcPr>
            <w:tcW w:w="490" w:type="pct"/>
            <w:tcBorders>
              <w:tl2br w:val="nil"/>
              <w:tr2bl w:val="nil"/>
            </w:tcBorders>
            <w:shd w:val="clear" w:color="auto" w:fill="auto"/>
            <w:noWrap w:val="0"/>
            <w:vAlign w:val="center"/>
          </w:tcPr>
          <w:p w14:paraId="259FA3FD">
            <w:pPr>
              <w:spacing w:before="31" w:beforeLines="10" w:line="264" w:lineRule="auto"/>
              <w:jc w:val="center"/>
              <w:rPr>
                <w:b/>
                <w:color w:val="auto"/>
              </w:rPr>
            </w:pPr>
            <w:r>
              <w:rPr>
                <w:b/>
                <w:color w:val="auto"/>
              </w:rPr>
              <w:t>超标</w:t>
            </w:r>
          </w:p>
          <w:p w14:paraId="5A4AC4F0">
            <w:pPr>
              <w:spacing w:before="31" w:beforeLines="10" w:line="264" w:lineRule="auto"/>
              <w:jc w:val="center"/>
              <w:rPr>
                <w:b/>
                <w:color w:val="auto"/>
              </w:rPr>
            </w:pPr>
            <w:r>
              <w:rPr>
                <w:b/>
                <w:color w:val="auto"/>
              </w:rPr>
              <w:t>个数</w:t>
            </w:r>
          </w:p>
        </w:tc>
        <w:tc>
          <w:tcPr>
            <w:tcW w:w="671" w:type="pct"/>
            <w:tcBorders>
              <w:tl2br w:val="nil"/>
              <w:tr2bl w:val="nil"/>
            </w:tcBorders>
            <w:shd w:val="clear" w:color="auto" w:fill="auto"/>
            <w:noWrap w:val="0"/>
            <w:vAlign w:val="center"/>
          </w:tcPr>
          <w:p w14:paraId="22F98960">
            <w:pPr>
              <w:spacing w:before="31" w:beforeLines="10" w:line="264" w:lineRule="auto"/>
              <w:jc w:val="center"/>
              <w:rPr>
                <w:b/>
                <w:color w:val="auto"/>
              </w:rPr>
            </w:pPr>
            <w:r>
              <w:rPr>
                <w:b/>
                <w:color w:val="auto"/>
              </w:rPr>
              <w:t>超标率</w:t>
            </w:r>
          </w:p>
          <w:p w14:paraId="609C57E9">
            <w:pPr>
              <w:spacing w:before="31" w:beforeLines="10" w:line="264" w:lineRule="auto"/>
              <w:jc w:val="center"/>
              <w:rPr>
                <w:b/>
                <w:color w:val="auto"/>
              </w:rPr>
            </w:pPr>
            <w:r>
              <w:rPr>
                <w:b/>
                <w:color w:val="auto"/>
              </w:rPr>
              <w:t>（%）</w:t>
            </w:r>
          </w:p>
        </w:tc>
        <w:tc>
          <w:tcPr>
            <w:tcW w:w="745" w:type="pct"/>
            <w:tcBorders>
              <w:tl2br w:val="nil"/>
              <w:tr2bl w:val="nil"/>
            </w:tcBorders>
            <w:shd w:val="clear" w:color="auto" w:fill="auto"/>
            <w:noWrap w:val="0"/>
            <w:vAlign w:val="center"/>
          </w:tcPr>
          <w:p w14:paraId="13754645">
            <w:pPr>
              <w:spacing w:before="31" w:beforeLines="10" w:line="264" w:lineRule="auto"/>
              <w:jc w:val="center"/>
              <w:rPr>
                <w:b/>
                <w:color w:val="auto"/>
              </w:rPr>
            </w:pPr>
            <w:r>
              <w:rPr>
                <w:b/>
                <w:color w:val="auto"/>
              </w:rPr>
              <w:t>达标</w:t>
            </w:r>
          </w:p>
          <w:p w14:paraId="0722AD31">
            <w:pPr>
              <w:spacing w:before="31" w:beforeLines="10" w:line="264" w:lineRule="auto"/>
              <w:jc w:val="center"/>
              <w:rPr>
                <w:b/>
                <w:color w:val="auto"/>
              </w:rPr>
            </w:pPr>
            <w:r>
              <w:rPr>
                <w:b/>
                <w:color w:val="auto"/>
              </w:rPr>
              <w:t>情况</w:t>
            </w:r>
          </w:p>
        </w:tc>
      </w:tr>
      <w:tr w14:paraId="0D1486F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FE11428">
            <w:pPr>
              <w:spacing w:before="31" w:beforeLines="10" w:line="264" w:lineRule="auto"/>
              <w:jc w:val="center"/>
              <w:rPr>
                <w:color w:val="auto"/>
              </w:rPr>
            </w:pPr>
            <w:r>
              <w:rPr>
                <w:color w:val="auto"/>
              </w:rPr>
              <w:t>G1</w:t>
            </w:r>
          </w:p>
        </w:tc>
        <w:tc>
          <w:tcPr>
            <w:tcW w:w="1165" w:type="pct"/>
            <w:tcBorders>
              <w:tl2br w:val="nil"/>
              <w:tr2bl w:val="nil"/>
            </w:tcBorders>
            <w:shd w:val="clear" w:color="auto" w:fill="auto"/>
            <w:noWrap w:val="0"/>
            <w:vAlign w:val="top"/>
          </w:tcPr>
          <w:p w14:paraId="2F2C6DAE">
            <w:pPr>
              <w:jc w:val="center"/>
              <w:rPr>
                <w:color w:val="auto"/>
              </w:rPr>
            </w:pPr>
            <w:r>
              <w:rPr>
                <w:color w:val="auto"/>
              </w:rPr>
              <w:t>星河花园小区</w:t>
            </w:r>
          </w:p>
        </w:tc>
        <w:tc>
          <w:tcPr>
            <w:tcW w:w="788" w:type="pct"/>
            <w:tcBorders>
              <w:tl2br w:val="nil"/>
              <w:tr2bl w:val="nil"/>
            </w:tcBorders>
            <w:shd w:val="clear" w:color="auto" w:fill="auto"/>
            <w:noWrap w:val="0"/>
            <w:vAlign w:val="center"/>
          </w:tcPr>
          <w:p w14:paraId="1C65B683">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827A76A">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7DBA5779">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12B0B972">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47166B0C">
            <w:pPr>
              <w:spacing w:before="31" w:beforeLines="10" w:line="264" w:lineRule="auto"/>
              <w:jc w:val="center"/>
              <w:rPr>
                <w:color w:val="auto"/>
              </w:rPr>
            </w:pPr>
            <w:r>
              <w:rPr>
                <w:color w:val="auto"/>
              </w:rPr>
              <w:t>达标</w:t>
            </w:r>
          </w:p>
        </w:tc>
      </w:tr>
      <w:tr w14:paraId="446DBBC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3294913D">
            <w:pPr>
              <w:spacing w:before="31" w:beforeLines="10" w:line="264" w:lineRule="auto"/>
              <w:jc w:val="center"/>
              <w:rPr>
                <w:color w:val="auto"/>
              </w:rPr>
            </w:pPr>
            <w:r>
              <w:rPr>
                <w:color w:val="auto"/>
              </w:rPr>
              <w:t>G2</w:t>
            </w:r>
          </w:p>
        </w:tc>
        <w:tc>
          <w:tcPr>
            <w:tcW w:w="1165" w:type="pct"/>
            <w:tcBorders>
              <w:tl2br w:val="nil"/>
              <w:tr2bl w:val="nil"/>
            </w:tcBorders>
            <w:shd w:val="clear" w:color="auto" w:fill="auto"/>
            <w:noWrap w:val="0"/>
            <w:vAlign w:val="top"/>
          </w:tcPr>
          <w:p w14:paraId="60FD42CC">
            <w:pPr>
              <w:jc w:val="center"/>
              <w:rPr>
                <w:color w:val="auto"/>
              </w:rPr>
            </w:pPr>
            <w:r>
              <w:rPr>
                <w:color w:val="auto"/>
              </w:rPr>
              <w:t>项目地</w:t>
            </w:r>
          </w:p>
        </w:tc>
        <w:tc>
          <w:tcPr>
            <w:tcW w:w="788" w:type="pct"/>
            <w:tcBorders>
              <w:tl2br w:val="nil"/>
              <w:tr2bl w:val="nil"/>
            </w:tcBorders>
            <w:shd w:val="clear" w:color="auto" w:fill="auto"/>
            <w:noWrap w:val="0"/>
            <w:vAlign w:val="center"/>
          </w:tcPr>
          <w:p w14:paraId="7447E42C">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0D2279F4">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684F7647">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2BCFF1F7">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4EA9D898">
            <w:pPr>
              <w:spacing w:before="31" w:beforeLines="10" w:line="264" w:lineRule="auto"/>
              <w:jc w:val="center"/>
              <w:rPr>
                <w:color w:val="auto"/>
              </w:rPr>
            </w:pPr>
            <w:r>
              <w:rPr>
                <w:color w:val="auto"/>
              </w:rPr>
              <w:t>达标</w:t>
            </w:r>
          </w:p>
        </w:tc>
      </w:tr>
      <w:tr w14:paraId="1D4E73D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4C346B3C">
            <w:pPr>
              <w:spacing w:before="31" w:beforeLines="10" w:line="264" w:lineRule="auto"/>
              <w:jc w:val="center"/>
              <w:rPr>
                <w:color w:val="auto"/>
              </w:rPr>
            </w:pPr>
            <w:r>
              <w:rPr>
                <w:color w:val="auto"/>
              </w:rPr>
              <w:t>G3</w:t>
            </w:r>
          </w:p>
        </w:tc>
        <w:tc>
          <w:tcPr>
            <w:tcW w:w="1165" w:type="pct"/>
            <w:tcBorders>
              <w:tl2br w:val="nil"/>
              <w:tr2bl w:val="nil"/>
            </w:tcBorders>
            <w:shd w:val="clear" w:color="auto" w:fill="auto"/>
            <w:noWrap w:val="0"/>
            <w:vAlign w:val="top"/>
          </w:tcPr>
          <w:p w14:paraId="4FF790CE">
            <w:pPr>
              <w:jc w:val="center"/>
              <w:rPr>
                <w:color w:val="auto"/>
              </w:rPr>
            </w:pPr>
            <w:r>
              <w:rPr>
                <w:color w:val="auto"/>
              </w:rPr>
              <w:t>刘桥镇</w:t>
            </w:r>
          </w:p>
        </w:tc>
        <w:tc>
          <w:tcPr>
            <w:tcW w:w="788" w:type="pct"/>
            <w:tcBorders>
              <w:tl2br w:val="nil"/>
              <w:tr2bl w:val="nil"/>
            </w:tcBorders>
            <w:shd w:val="clear" w:color="auto" w:fill="auto"/>
            <w:noWrap w:val="0"/>
            <w:vAlign w:val="center"/>
          </w:tcPr>
          <w:p w14:paraId="095E1FDE">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79FDF16B">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74D89C6E">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571CF33D">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2EA3A0E2">
            <w:pPr>
              <w:spacing w:before="31" w:beforeLines="10" w:line="264" w:lineRule="auto"/>
              <w:jc w:val="center"/>
              <w:rPr>
                <w:color w:val="auto"/>
              </w:rPr>
            </w:pPr>
            <w:r>
              <w:rPr>
                <w:color w:val="auto"/>
              </w:rPr>
              <w:t>达标</w:t>
            </w:r>
          </w:p>
        </w:tc>
      </w:tr>
      <w:tr w14:paraId="6AF65BD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58301587">
            <w:pPr>
              <w:spacing w:before="31" w:beforeLines="10" w:line="264" w:lineRule="auto"/>
              <w:jc w:val="center"/>
              <w:rPr>
                <w:color w:val="auto"/>
              </w:rPr>
            </w:pPr>
            <w:r>
              <w:rPr>
                <w:color w:val="auto"/>
              </w:rPr>
              <w:t>G4</w:t>
            </w:r>
          </w:p>
        </w:tc>
        <w:tc>
          <w:tcPr>
            <w:tcW w:w="1165" w:type="pct"/>
            <w:tcBorders>
              <w:tl2br w:val="nil"/>
              <w:tr2bl w:val="nil"/>
            </w:tcBorders>
            <w:shd w:val="clear" w:color="auto" w:fill="auto"/>
            <w:noWrap w:val="0"/>
            <w:vAlign w:val="top"/>
          </w:tcPr>
          <w:p w14:paraId="79DAC017">
            <w:pPr>
              <w:jc w:val="center"/>
              <w:rPr>
                <w:rFonts w:hint="eastAsia" w:eastAsia="宋体"/>
                <w:color w:val="auto"/>
                <w:lang w:eastAsia="zh-CN"/>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788" w:type="pct"/>
            <w:tcBorders>
              <w:tl2br w:val="nil"/>
              <w:tr2bl w:val="nil"/>
            </w:tcBorders>
            <w:shd w:val="clear" w:color="auto" w:fill="auto"/>
            <w:noWrap w:val="0"/>
            <w:vAlign w:val="center"/>
          </w:tcPr>
          <w:p w14:paraId="6C2EA167">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7513669E">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2788B882">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11A026EC">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550926FF">
            <w:pPr>
              <w:spacing w:before="31" w:beforeLines="10" w:line="264" w:lineRule="auto"/>
              <w:jc w:val="center"/>
              <w:rPr>
                <w:color w:val="auto"/>
              </w:rPr>
            </w:pPr>
            <w:r>
              <w:rPr>
                <w:color w:val="auto"/>
              </w:rPr>
              <w:t>达标</w:t>
            </w:r>
          </w:p>
        </w:tc>
      </w:tr>
      <w:tr w14:paraId="1DC5D12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1CF70EF">
            <w:pPr>
              <w:spacing w:before="31" w:beforeLines="10" w:line="264" w:lineRule="auto"/>
              <w:jc w:val="center"/>
              <w:rPr>
                <w:color w:val="auto"/>
              </w:rPr>
            </w:pPr>
            <w:r>
              <w:rPr>
                <w:color w:val="auto"/>
              </w:rPr>
              <w:t>G5</w:t>
            </w:r>
          </w:p>
        </w:tc>
        <w:tc>
          <w:tcPr>
            <w:tcW w:w="1165" w:type="pct"/>
            <w:tcBorders>
              <w:tl2br w:val="nil"/>
              <w:tr2bl w:val="nil"/>
            </w:tcBorders>
            <w:shd w:val="clear" w:color="auto" w:fill="auto"/>
            <w:noWrap w:val="0"/>
            <w:vAlign w:val="top"/>
          </w:tcPr>
          <w:p w14:paraId="75150AD5">
            <w:pPr>
              <w:jc w:val="center"/>
              <w:rPr>
                <w:color w:val="auto"/>
              </w:rPr>
            </w:pPr>
            <w:r>
              <w:rPr>
                <w:color w:val="auto"/>
              </w:rPr>
              <w:t>赵楼村</w:t>
            </w:r>
          </w:p>
        </w:tc>
        <w:tc>
          <w:tcPr>
            <w:tcW w:w="788" w:type="pct"/>
            <w:tcBorders>
              <w:tl2br w:val="nil"/>
              <w:tr2bl w:val="nil"/>
            </w:tcBorders>
            <w:shd w:val="clear" w:color="auto" w:fill="auto"/>
            <w:noWrap w:val="0"/>
            <w:vAlign w:val="center"/>
          </w:tcPr>
          <w:p w14:paraId="13E512F1">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5F28D5B8">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193BB57F">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4FD74B3C">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2F2379B0">
            <w:pPr>
              <w:spacing w:before="31" w:beforeLines="10" w:line="264" w:lineRule="auto"/>
              <w:jc w:val="center"/>
              <w:rPr>
                <w:color w:val="auto"/>
              </w:rPr>
            </w:pPr>
            <w:r>
              <w:rPr>
                <w:color w:val="auto"/>
              </w:rPr>
              <w:t>达标</w:t>
            </w:r>
          </w:p>
        </w:tc>
      </w:tr>
      <w:tr w14:paraId="2CEF487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3A45E74C">
            <w:pPr>
              <w:spacing w:before="31" w:beforeLines="10" w:line="264" w:lineRule="auto"/>
              <w:jc w:val="center"/>
              <w:rPr>
                <w:color w:val="auto"/>
              </w:rPr>
            </w:pPr>
            <w:r>
              <w:rPr>
                <w:color w:val="auto"/>
              </w:rPr>
              <w:t>G6</w:t>
            </w:r>
          </w:p>
        </w:tc>
        <w:tc>
          <w:tcPr>
            <w:tcW w:w="1165" w:type="pct"/>
            <w:tcBorders>
              <w:tl2br w:val="nil"/>
              <w:tr2bl w:val="nil"/>
            </w:tcBorders>
            <w:shd w:val="clear" w:color="auto" w:fill="auto"/>
            <w:noWrap w:val="0"/>
            <w:vAlign w:val="top"/>
          </w:tcPr>
          <w:p w14:paraId="4FA5C31F">
            <w:pPr>
              <w:jc w:val="center"/>
              <w:rPr>
                <w:color w:val="auto"/>
              </w:rPr>
            </w:pPr>
            <w:r>
              <w:rPr>
                <w:color w:val="auto"/>
              </w:rPr>
              <w:t>王埝村</w:t>
            </w:r>
          </w:p>
        </w:tc>
        <w:tc>
          <w:tcPr>
            <w:tcW w:w="788" w:type="pct"/>
            <w:tcBorders>
              <w:tl2br w:val="nil"/>
              <w:tr2bl w:val="nil"/>
            </w:tcBorders>
            <w:shd w:val="clear" w:color="auto" w:fill="auto"/>
            <w:noWrap w:val="0"/>
            <w:vAlign w:val="center"/>
          </w:tcPr>
          <w:p w14:paraId="73A5FC7B">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EFD41C1">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026D951A">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1070A503">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767F07E4">
            <w:pPr>
              <w:spacing w:before="31" w:beforeLines="10" w:line="264" w:lineRule="auto"/>
              <w:jc w:val="center"/>
              <w:rPr>
                <w:color w:val="auto"/>
              </w:rPr>
            </w:pPr>
            <w:r>
              <w:rPr>
                <w:color w:val="auto"/>
              </w:rPr>
              <w:t>达标</w:t>
            </w:r>
          </w:p>
        </w:tc>
      </w:tr>
    </w:tbl>
    <w:p w14:paraId="28C0B381">
      <w:pPr>
        <w:spacing w:line="360" w:lineRule="auto"/>
        <w:ind w:firstLine="480" w:firstLineChars="200"/>
        <w:jc w:val="left"/>
        <w:rPr>
          <w:color w:val="auto"/>
          <w:sz w:val="24"/>
          <w:szCs w:val="32"/>
        </w:rPr>
      </w:pPr>
    </w:p>
    <w:p w14:paraId="7D72A17D">
      <w:pPr>
        <w:spacing w:line="360" w:lineRule="auto"/>
        <w:ind w:firstLine="480" w:firstLineChars="200"/>
        <w:jc w:val="left"/>
        <w:rPr>
          <w:rFonts w:hint="default"/>
          <w:b w:val="0"/>
          <w:bCs w:val="0"/>
          <w:color w:val="auto"/>
          <w:sz w:val="24"/>
          <w:szCs w:val="32"/>
          <w:lang w:val="en-US" w:eastAsia="zh-CN"/>
        </w:rPr>
      </w:pPr>
      <w:r>
        <w:rPr>
          <w:rFonts w:hint="eastAsia"/>
          <w:color w:val="auto"/>
          <w:sz w:val="24"/>
          <w:szCs w:val="32"/>
          <w:lang w:val="en-US" w:eastAsia="zh-CN"/>
        </w:rPr>
        <w:t>根据上表可知，原环评阶段</w:t>
      </w:r>
      <w:r>
        <w:rPr>
          <w:color w:val="auto"/>
          <w:sz w:val="24"/>
          <w:szCs w:val="32"/>
        </w:rPr>
        <w:t>项目区域环境空气质量SO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w:t>
      </w:r>
      <w:r>
        <w:rPr>
          <w:rFonts w:hint="eastAsia"/>
          <w:color w:val="auto"/>
          <w:sz w:val="24"/>
          <w:szCs w:val="32"/>
          <w:lang w:val="en-US" w:eastAsia="zh-CN"/>
        </w:rPr>
        <w:t>氟化物监测浓度均满足</w:t>
      </w:r>
      <w:r>
        <w:rPr>
          <w:color w:val="auto"/>
          <w:sz w:val="24"/>
          <w:szCs w:val="32"/>
        </w:rPr>
        <w:t>《环境空气质量标准》（GB3095－2012）中</w:t>
      </w:r>
      <w:r>
        <w:rPr>
          <w:rFonts w:hint="eastAsia"/>
          <w:color w:val="auto"/>
          <w:sz w:val="24"/>
          <w:szCs w:val="32"/>
          <w:lang w:val="en-US" w:eastAsia="zh-CN"/>
        </w:rPr>
        <w:t>相关标准限值要求</w:t>
      </w:r>
      <w:r>
        <w:rPr>
          <w:color w:val="auto"/>
          <w:sz w:val="24"/>
          <w:szCs w:val="32"/>
        </w:rPr>
        <w:t>；</w:t>
      </w:r>
      <w:r>
        <w:rPr>
          <w:rFonts w:hint="eastAsia"/>
          <w:color w:val="auto"/>
          <w:sz w:val="24"/>
          <w:szCs w:val="32"/>
          <w:lang w:val="en-US" w:eastAsia="zh-CN"/>
        </w:rPr>
        <w:t>氯化氢监测浓度满足《工业企业设计卫生标准》（TJ36-79）中相关标准限值要求；二噁英监测浓度满足《日本环境厅中央环境审议会制定的环境标准》中相关标准限值要求。</w:t>
      </w:r>
    </w:p>
    <w:bookmarkEnd w:id="263"/>
    <w:p w14:paraId="69E70489">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rFonts w:hint="default" w:eastAsia="宋体"/>
          <w:b/>
          <w:bCs/>
          <w:color w:val="auto"/>
          <w:sz w:val="24"/>
          <w:szCs w:val="32"/>
          <w:lang w:val="en-US" w:eastAsia="zh-CN"/>
        </w:rPr>
      </w:pPr>
      <w:bookmarkStart w:id="264" w:name="_Toc406"/>
      <w:bookmarkStart w:id="265" w:name="_Toc6228"/>
      <w:bookmarkStart w:id="266" w:name="_Toc22271"/>
      <w:r>
        <w:rPr>
          <w:b/>
          <w:bCs/>
          <w:color w:val="auto"/>
          <w:sz w:val="24"/>
          <w:szCs w:val="32"/>
        </w:rPr>
        <w:t>2.</w:t>
      </w:r>
      <w:r>
        <w:rPr>
          <w:rFonts w:hint="eastAsia"/>
          <w:b/>
          <w:bCs/>
          <w:color w:val="auto"/>
          <w:sz w:val="24"/>
          <w:szCs w:val="32"/>
          <w:lang w:val="en-US" w:eastAsia="zh-CN"/>
        </w:rPr>
        <w:t>3</w:t>
      </w:r>
      <w:r>
        <w:rPr>
          <w:b/>
          <w:bCs/>
          <w:color w:val="auto"/>
          <w:sz w:val="24"/>
          <w:szCs w:val="32"/>
        </w:rPr>
        <w:t>.1.3</w:t>
      </w:r>
      <w:r>
        <w:rPr>
          <w:rFonts w:hint="eastAsia"/>
          <w:b/>
          <w:bCs/>
          <w:color w:val="auto"/>
          <w:sz w:val="24"/>
          <w:szCs w:val="32"/>
          <w:lang w:val="en-US" w:eastAsia="zh-CN"/>
        </w:rPr>
        <w:t xml:space="preserve"> 环评阶段地下水环境质量监测情况</w:t>
      </w:r>
    </w:p>
    <w:p w14:paraId="1F3220F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1</w:t>
      </w:r>
      <w:r>
        <w:rPr>
          <w:rFonts w:hint="eastAsia"/>
          <w:b w:val="0"/>
          <w:bCs w:val="0"/>
          <w:color w:val="auto"/>
          <w:sz w:val="24"/>
          <w:szCs w:val="32"/>
          <w:lang w:eastAsia="zh-CN"/>
        </w:rPr>
        <w:t>）</w:t>
      </w:r>
      <w:r>
        <w:rPr>
          <w:rFonts w:hint="eastAsia"/>
          <w:b w:val="0"/>
          <w:bCs w:val="0"/>
          <w:color w:val="auto"/>
          <w:sz w:val="24"/>
          <w:szCs w:val="32"/>
          <w:lang w:val="en-US" w:eastAsia="zh-CN"/>
        </w:rPr>
        <w:t>监测项目及监测点位</w:t>
      </w:r>
    </w:p>
    <w:p w14:paraId="2AA6A5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default"/>
          <w:b w:val="0"/>
          <w:bCs w:val="0"/>
          <w:color w:val="auto"/>
          <w:sz w:val="24"/>
          <w:szCs w:val="32"/>
          <w:lang w:val="en-US" w:eastAsia="zh-CN"/>
        </w:rPr>
      </w:pPr>
      <w:r>
        <w:rPr>
          <w:rFonts w:hint="eastAsia"/>
          <w:b w:val="0"/>
          <w:bCs w:val="0"/>
          <w:color w:val="auto"/>
          <w:sz w:val="24"/>
          <w:szCs w:val="32"/>
          <w:lang w:val="en-US" w:eastAsia="zh-CN"/>
        </w:rPr>
        <w:t>环评阶段pH、氟化物、氯化物、高锰酸盐指数、硬度、溶解性总固体、铅、铬、砷、汞指标作为地下水环境质量现状监测项目，地下水监测时间为2014年7月7日～7月8日，具体监测点位见下表。</w:t>
      </w:r>
    </w:p>
    <w:p w14:paraId="2E117A7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3"/>
        <w:rPr>
          <w:rFonts w:hint="default"/>
          <w:b/>
          <w:bCs/>
          <w:color w:val="auto"/>
          <w:sz w:val="24"/>
          <w:szCs w:val="32"/>
          <w:lang w:val="en-US" w:eastAsia="zh-CN"/>
        </w:rPr>
      </w:pPr>
      <w:r>
        <w:rPr>
          <w:rFonts w:hint="eastAsia"/>
          <w:b/>
          <w:bCs/>
          <w:color w:val="auto"/>
          <w:sz w:val="24"/>
          <w:szCs w:val="32"/>
          <w:lang w:val="en-US" w:eastAsia="zh-CN"/>
        </w:rPr>
        <w:t>表2-14 地下水现状监测点位布设一览表</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281"/>
        <w:gridCol w:w="3218"/>
        <w:gridCol w:w="1807"/>
        <w:gridCol w:w="1807"/>
        <w:gridCol w:w="1845"/>
      </w:tblGrid>
      <w:tr w14:paraId="1D3B2ED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43" w:type="pct"/>
            <w:tcBorders>
              <w:tl2br w:val="nil"/>
              <w:tr2bl w:val="nil"/>
            </w:tcBorders>
            <w:shd w:val="clear" w:color="auto" w:fill="auto"/>
            <w:noWrap w:val="0"/>
            <w:vAlign w:val="center"/>
          </w:tcPr>
          <w:p w14:paraId="014C31F5">
            <w:pPr>
              <w:spacing w:before="31" w:beforeLines="10" w:line="264" w:lineRule="auto"/>
              <w:jc w:val="center"/>
              <w:rPr>
                <w:b/>
                <w:color w:val="auto"/>
              </w:rPr>
            </w:pPr>
            <w:r>
              <w:rPr>
                <w:b/>
                <w:color w:val="auto"/>
              </w:rPr>
              <w:t>序号</w:t>
            </w:r>
          </w:p>
        </w:tc>
        <w:tc>
          <w:tcPr>
            <w:tcW w:w="1615" w:type="pct"/>
            <w:tcBorders>
              <w:tl2br w:val="nil"/>
              <w:tr2bl w:val="nil"/>
            </w:tcBorders>
            <w:shd w:val="clear" w:color="auto" w:fill="auto"/>
            <w:noWrap w:val="0"/>
            <w:vAlign w:val="center"/>
          </w:tcPr>
          <w:p w14:paraId="36C78D73">
            <w:pPr>
              <w:spacing w:before="31" w:beforeLines="10" w:line="264" w:lineRule="auto"/>
              <w:jc w:val="center"/>
              <w:rPr>
                <w:b/>
                <w:color w:val="auto"/>
              </w:rPr>
            </w:pPr>
            <w:r>
              <w:rPr>
                <w:b/>
                <w:color w:val="auto"/>
              </w:rPr>
              <w:t>监测点位</w:t>
            </w:r>
          </w:p>
        </w:tc>
        <w:tc>
          <w:tcPr>
            <w:tcW w:w="907" w:type="pct"/>
            <w:tcBorders>
              <w:tl2br w:val="nil"/>
              <w:tr2bl w:val="nil"/>
            </w:tcBorders>
            <w:shd w:val="clear" w:color="auto" w:fill="auto"/>
            <w:noWrap w:val="0"/>
            <w:vAlign w:val="center"/>
          </w:tcPr>
          <w:p w14:paraId="2BBDB4DA">
            <w:pPr>
              <w:spacing w:line="240" w:lineRule="atLeast"/>
              <w:jc w:val="center"/>
              <w:rPr>
                <w:b/>
                <w:color w:val="auto"/>
                <w:szCs w:val="21"/>
              </w:rPr>
            </w:pPr>
            <w:r>
              <w:rPr>
                <w:b/>
                <w:color w:val="auto"/>
                <w:szCs w:val="21"/>
              </w:rPr>
              <w:t>方位</w:t>
            </w:r>
          </w:p>
        </w:tc>
        <w:tc>
          <w:tcPr>
            <w:tcW w:w="907" w:type="pct"/>
            <w:tcBorders>
              <w:tl2br w:val="nil"/>
              <w:tr2bl w:val="nil"/>
            </w:tcBorders>
            <w:shd w:val="clear" w:color="auto" w:fill="auto"/>
            <w:noWrap w:val="0"/>
            <w:vAlign w:val="center"/>
          </w:tcPr>
          <w:p w14:paraId="6423537B">
            <w:pPr>
              <w:spacing w:line="240" w:lineRule="atLeast"/>
              <w:jc w:val="center"/>
              <w:rPr>
                <w:b/>
                <w:color w:val="auto"/>
                <w:szCs w:val="21"/>
              </w:rPr>
            </w:pPr>
            <w:r>
              <w:rPr>
                <w:b/>
                <w:color w:val="auto"/>
                <w:szCs w:val="21"/>
              </w:rPr>
              <w:t>距离</w:t>
            </w:r>
          </w:p>
        </w:tc>
        <w:tc>
          <w:tcPr>
            <w:tcW w:w="926" w:type="pct"/>
            <w:tcBorders>
              <w:tl2br w:val="nil"/>
              <w:tr2bl w:val="nil"/>
            </w:tcBorders>
            <w:shd w:val="clear" w:color="auto" w:fill="auto"/>
            <w:noWrap w:val="0"/>
            <w:vAlign w:val="center"/>
          </w:tcPr>
          <w:p w14:paraId="35DEFD7F">
            <w:pPr>
              <w:spacing w:before="31" w:beforeLines="10" w:line="264" w:lineRule="auto"/>
              <w:jc w:val="center"/>
              <w:rPr>
                <w:b/>
                <w:color w:val="auto"/>
              </w:rPr>
            </w:pPr>
            <w:r>
              <w:rPr>
                <w:b/>
                <w:color w:val="auto"/>
              </w:rPr>
              <w:t>备注</w:t>
            </w:r>
          </w:p>
        </w:tc>
      </w:tr>
      <w:tr w14:paraId="6631BD02">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43" w:type="pct"/>
            <w:tcBorders>
              <w:tl2br w:val="nil"/>
              <w:tr2bl w:val="nil"/>
            </w:tcBorders>
            <w:shd w:val="clear" w:color="auto" w:fill="auto"/>
            <w:noWrap w:val="0"/>
            <w:vAlign w:val="center"/>
          </w:tcPr>
          <w:p w14:paraId="2EB06651">
            <w:pPr>
              <w:spacing w:before="31" w:beforeLines="10" w:line="264" w:lineRule="auto"/>
              <w:jc w:val="center"/>
              <w:rPr>
                <w:color w:val="auto"/>
              </w:rPr>
            </w:pPr>
            <w:r>
              <w:rPr>
                <w:color w:val="auto"/>
              </w:rPr>
              <w:t>1</w:t>
            </w:r>
          </w:p>
        </w:tc>
        <w:tc>
          <w:tcPr>
            <w:tcW w:w="1615" w:type="pct"/>
            <w:tcBorders>
              <w:tl2br w:val="nil"/>
              <w:tr2bl w:val="nil"/>
            </w:tcBorders>
            <w:shd w:val="clear" w:color="auto" w:fill="auto"/>
            <w:noWrap w:val="0"/>
            <w:vAlign w:val="center"/>
          </w:tcPr>
          <w:p w14:paraId="4DF25C7C">
            <w:pPr>
              <w:spacing w:line="240" w:lineRule="atLeast"/>
              <w:jc w:val="center"/>
              <w:rPr>
                <w:color w:val="auto"/>
                <w:szCs w:val="21"/>
              </w:rPr>
            </w:pPr>
            <w:r>
              <w:rPr>
                <w:rFonts w:hint="eastAsia"/>
                <w:color w:val="auto"/>
                <w:lang w:val="en-US" w:eastAsia="zh-CN"/>
              </w:rPr>
              <w:t>D1</w:t>
            </w:r>
            <w:r>
              <w:rPr>
                <w:color w:val="auto"/>
                <w:szCs w:val="21"/>
              </w:rPr>
              <w:t>开发区管委会</w:t>
            </w:r>
          </w:p>
        </w:tc>
        <w:tc>
          <w:tcPr>
            <w:tcW w:w="907" w:type="pct"/>
            <w:tcBorders>
              <w:tl2br w:val="nil"/>
              <w:tr2bl w:val="nil"/>
            </w:tcBorders>
            <w:shd w:val="clear" w:color="auto" w:fill="auto"/>
            <w:noWrap w:val="0"/>
            <w:vAlign w:val="center"/>
          </w:tcPr>
          <w:p w14:paraId="557D3F54">
            <w:pPr>
              <w:spacing w:line="240" w:lineRule="atLeast"/>
              <w:jc w:val="center"/>
              <w:rPr>
                <w:color w:val="auto"/>
                <w:szCs w:val="21"/>
              </w:rPr>
            </w:pPr>
            <w:r>
              <w:rPr>
                <w:color w:val="auto"/>
                <w:szCs w:val="21"/>
              </w:rPr>
              <w:t>NE</w:t>
            </w:r>
          </w:p>
        </w:tc>
        <w:tc>
          <w:tcPr>
            <w:tcW w:w="907" w:type="pct"/>
            <w:tcBorders>
              <w:tl2br w:val="nil"/>
              <w:tr2bl w:val="nil"/>
            </w:tcBorders>
            <w:shd w:val="clear" w:color="auto" w:fill="auto"/>
            <w:noWrap w:val="0"/>
            <w:vAlign w:val="center"/>
          </w:tcPr>
          <w:p w14:paraId="38F5C31F">
            <w:pPr>
              <w:spacing w:line="240" w:lineRule="atLeast"/>
              <w:jc w:val="center"/>
              <w:rPr>
                <w:color w:val="auto"/>
                <w:szCs w:val="21"/>
              </w:rPr>
            </w:pPr>
            <w:r>
              <w:rPr>
                <w:color w:val="auto"/>
                <w:szCs w:val="21"/>
              </w:rPr>
              <w:t>3km</w:t>
            </w:r>
          </w:p>
        </w:tc>
        <w:tc>
          <w:tcPr>
            <w:tcW w:w="926" w:type="pct"/>
            <w:tcBorders>
              <w:tl2br w:val="nil"/>
              <w:tr2bl w:val="nil"/>
            </w:tcBorders>
            <w:shd w:val="clear" w:color="auto" w:fill="auto"/>
            <w:noWrap w:val="0"/>
            <w:vAlign w:val="center"/>
          </w:tcPr>
          <w:p w14:paraId="09D34DF4">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24541FD2">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43" w:type="pct"/>
            <w:tcBorders>
              <w:tl2br w:val="nil"/>
              <w:tr2bl w:val="nil"/>
            </w:tcBorders>
            <w:shd w:val="clear" w:color="auto" w:fill="auto"/>
            <w:noWrap w:val="0"/>
            <w:vAlign w:val="center"/>
          </w:tcPr>
          <w:p w14:paraId="06836937">
            <w:pPr>
              <w:spacing w:before="31" w:beforeLines="10" w:line="264" w:lineRule="auto"/>
              <w:jc w:val="center"/>
              <w:rPr>
                <w:color w:val="auto"/>
              </w:rPr>
            </w:pPr>
            <w:r>
              <w:rPr>
                <w:color w:val="auto"/>
              </w:rPr>
              <w:t>2</w:t>
            </w:r>
          </w:p>
        </w:tc>
        <w:tc>
          <w:tcPr>
            <w:tcW w:w="1615" w:type="pct"/>
            <w:tcBorders>
              <w:tl2br w:val="nil"/>
              <w:tr2bl w:val="nil"/>
            </w:tcBorders>
            <w:shd w:val="clear" w:color="auto" w:fill="auto"/>
            <w:noWrap w:val="0"/>
            <w:vAlign w:val="center"/>
          </w:tcPr>
          <w:p w14:paraId="6CDE36E5">
            <w:pPr>
              <w:spacing w:line="240" w:lineRule="atLeast"/>
              <w:jc w:val="center"/>
              <w:rPr>
                <w:color w:val="auto"/>
                <w:szCs w:val="21"/>
              </w:rPr>
            </w:pPr>
            <w:r>
              <w:rPr>
                <w:rFonts w:hint="eastAsia"/>
                <w:color w:val="auto"/>
                <w:lang w:val="en-US" w:eastAsia="zh-CN"/>
              </w:rPr>
              <w:t>D</w:t>
            </w:r>
            <w:r>
              <w:rPr>
                <w:color w:val="auto"/>
              </w:rPr>
              <w:t>2</w:t>
            </w:r>
            <w:r>
              <w:rPr>
                <w:color w:val="auto"/>
                <w:szCs w:val="21"/>
              </w:rPr>
              <w:t>开发区污水处理厂</w:t>
            </w:r>
          </w:p>
        </w:tc>
        <w:tc>
          <w:tcPr>
            <w:tcW w:w="907" w:type="pct"/>
            <w:tcBorders>
              <w:tl2br w:val="nil"/>
              <w:tr2bl w:val="nil"/>
            </w:tcBorders>
            <w:shd w:val="clear" w:color="auto" w:fill="auto"/>
            <w:noWrap w:val="0"/>
            <w:vAlign w:val="center"/>
          </w:tcPr>
          <w:p w14:paraId="0F9EDFE2">
            <w:pPr>
              <w:spacing w:line="240" w:lineRule="atLeast"/>
              <w:jc w:val="center"/>
              <w:rPr>
                <w:color w:val="auto"/>
                <w:szCs w:val="21"/>
              </w:rPr>
            </w:pPr>
            <w:r>
              <w:rPr>
                <w:color w:val="auto"/>
                <w:szCs w:val="21"/>
              </w:rPr>
              <w:t>SE</w:t>
            </w:r>
          </w:p>
        </w:tc>
        <w:tc>
          <w:tcPr>
            <w:tcW w:w="907" w:type="pct"/>
            <w:tcBorders>
              <w:tl2br w:val="nil"/>
              <w:tr2bl w:val="nil"/>
            </w:tcBorders>
            <w:shd w:val="clear" w:color="auto" w:fill="auto"/>
            <w:noWrap w:val="0"/>
            <w:vAlign w:val="center"/>
          </w:tcPr>
          <w:p w14:paraId="0BD67692">
            <w:pPr>
              <w:spacing w:line="240" w:lineRule="atLeast"/>
              <w:jc w:val="center"/>
              <w:rPr>
                <w:color w:val="auto"/>
                <w:szCs w:val="21"/>
              </w:rPr>
            </w:pPr>
            <w:r>
              <w:rPr>
                <w:color w:val="auto"/>
                <w:szCs w:val="21"/>
              </w:rPr>
              <w:t>2km</w:t>
            </w:r>
          </w:p>
        </w:tc>
        <w:tc>
          <w:tcPr>
            <w:tcW w:w="926" w:type="pct"/>
            <w:tcBorders>
              <w:tl2br w:val="nil"/>
              <w:tr2bl w:val="nil"/>
            </w:tcBorders>
            <w:shd w:val="clear" w:color="auto" w:fill="auto"/>
            <w:noWrap w:val="0"/>
            <w:vAlign w:val="center"/>
          </w:tcPr>
          <w:p w14:paraId="11E9C48E">
            <w:pPr>
              <w:spacing w:before="31" w:beforeLines="10" w:line="264" w:lineRule="auto"/>
              <w:jc w:val="center"/>
              <w:rPr>
                <w:rFonts w:hint="eastAsia" w:eastAsia="宋体"/>
                <w:color w:val="auto"/>
                <w:lang w:val="en-US" w:eastAsia="zh-CN"/>
              </w:rPr>
            </w:pPr>
            <w:r>
              <w:rPr>
                <w:rFonts w:hint="eastAsia"/>
                <w:color w:val="auto"/>
                <w:lang w:val="en-US" w:eastAsia="zh-CN"/>
              </w:rPr>
              <w:t>/</w:t>
            </w:r>
          </w:p>
        </w:tc>
      </w:tr>
    </w:tbl>
    <w:p w14:paraId="4EE011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p>
    <w:p w14:paraId="006AA7A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default"/>
          <w:b w:val="0"/>
          <w:bCs w:val="0"/>
          <w:color w:val="auto"/>
          <w:sz w:val="24"/>
          <w:szCs w:val="32"/>
          <w:lang w:val="en-US" w:eastAsia="zh-CN"/>
        </w:rPr>
      </w:pPr>
      <w:r>
        <w:rPr>
          <w:rFonts w:hint="eastAsia"/>
          <w:b w:val="0"/>
          <w:bCs w:val="0"/>
          <w:color w:val="auto"/>
          <w:sz w:val="24"/>
          <w:szCs w:val="32"/>
          <w:lang w:val="en-US" w:eastAsia="zh-CN"/>
        </w:rPr>
        <w:t>（2）评价标准</w:t>
      </w:r>
    </w:p>
    <w:p w14:paraId="6B27C0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default" w:eastAsia="宋体"/>
          <w:b w:val="0"/>
          <w:bCs w:val="0"/>
          <w:color w:val="auto"/>
          <w:sz w:val="24"/>
          <w:szCs w:val="32"/>
          <w:lang w:val="en-US" w:eastAsia="zh-CN"/>
        </w:rPr>
      </w:pPr>
      <w:r>
        <w:rPr>
          <w:rFonts w:hint="eastAsia"/>
          <w:color w:val="auto"/>
          <w:sz w:val="24"/>
          <w:lang w:val="en-US" w:eastAsia="zh-CN"/>
        </w:rPr>
        <w:t>环评阶段区域地下水环境</w:t>
      </w:r>
      <w:r>
        <w:rPr>
          <w:color w:val="auto"/>
          <w:sz w:val="24"/>
        </w:rPr>
        <w:t>执行《地下水质量标准》（GB/T14848-93）III类标准</w:t>
      </w:r>
      <w:r>
        <w:rPr>
          <w:rFonts w:hint="eastAsia"/>
          <w:color w:val="auto"/>
          <w:sz w:val="24"/>
          <w:lang w:eastAsia="zh-CN"/>
        </w:rPr>
        <w:t>，</w:t>
      </w:r>
      <w:r>
        <w:rPr>
          <w:rFonts w:hint="eastAsia"/>
          <w:color w:val="auto"/>
          <w:sz w:val="24"/>
          <w:lang w:val="en-US" w:eastAsia="zh-CN"/>
        </w:rPr>
        <w:t>具体标准限值如下：</w:t>
      </w:r>
    </w:p>
    <w:p w14:paraId="563B87B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3"/>
        <w:rPr>
          <w:rFonts w:hint="default"/>
          <w:b/>
          <w:bCs/>
          <w:color w:val="auto"/>
          <w:sz w:val="24"/>
          <w:szCs w:val="32"/>
          <w:lang w:val="en-US" w:eastAsia="zh-CN"/>
        </w:rPr>
      </w:pPr>
      <w:r>
        <w:rPr>
          <w:rFonts w:hint="eastAsia"/>
          <w:b/>
          <w:bCs/>
          <w:color w:val="auto"/>
          <w:sz w:val="24"/>
          <w:szCs w:val="32"/>
          <w:lang w:val="en-US" w:eastAsia="zh-CN"/>
        </w:rPr>
        <w:t>表2-15 地下水环境质量标准一览表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096"/>
        <w:gridCol w:w="2830"/>
        <w:gridCol w:w="1327"/>
        <w:gridCol w:w="4709"/>
      </w:tblGrid>
      <w:tr w14:paraId="3A3322F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550" w:type="pct"/>
            <w:tcBorders>
              <w:tl2br w:val="nil"/>
              <w:tr2bl w:val="nil"/>
            </w:tcBorders>
            <w:shd w:val="clear" w:color="auto" w:fill="auto"/>
            <w:noWrap w:val="0"/>
            <w:vAlign w:val="center"/>
          </w:tcPr>
          <w:p w14:paraId="76BE9409">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序号</w:t>
            </w:r>
          </w:p>
        </w:tc>
        <w:tc>
          <w:tcPr>
            <w:tcW w:w="1420" w:type="pct"/>
            <w:tcBorders>
              <w:tl2br w:val="nil"/>
              <w:tr2bl w:val="nil"/>
            </w:tcBorders>
            <w:shd w:val="clear" w:color="auto" w:fill="auto"/>
            <w:noWrap w:val="0"/>
            <w:vAlign w:val="center"/>
          </w:tcPr>
          <w:p w14:paraId="5CDC9228">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项  目</w:t>
            </w:r>
          </w:p>
        </w:tc>
        <w:tc>
          <w:tcPr>
            <w:tcW w:w="666" w:type="pct"/>
            <w:tcBorders>
              <w:tl2br w:val="nil"/>
              <w:tr2bl w:val="nil"/>
            </w:tcBorders>
            <w:shd w:val="clear" w:color="auto" w:fill="auto"/>
            <w:noWrap w:val="0"/>
            <w:vAlign w:val="center"/>
          </w:tcPr>
          <w:p w14:paraId="34572BED">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单位</w:t>
            </w:r>
          </w:p>
        </w:tc>
        <w:tc>
          <w:tcPr>
            <w:tcW w:w="2363" w:type="pct"/>
            <w:tcBorders>
              <w:tl2br w:val="nil"/>
              <w:tr2bl w:val="nil"/>
            </w:tcBorders>
            <w:shd w:val="clear" w:color="auto" w:fill="auto"/>
            <w:noWrap w:val="0"/>
            <w:vAlign w:val="center"/>
          </w:tcPr>
          <w:p w14:paraId="6AFCF582">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GB/T14848-93中Ⅲ类标准值</w:t>
            </w:r>
          </w:p>
        </w:tc>
      </w:tr>
      <w:tr w14:paraId="0CEAA98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1874B7C8">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1420" w:type="pct"/>
            <w:tcBorders>
              <w:tl2br w:val="nil"/>
              <w:tr2bl w:val="nil"/>
            </w:tcBorders>
            <w:shd w:val="clear" w:color="auto" w:fill="auto"/>
            <w:noWrap w:val="0"/>
            <w:vAlign w:val="center"/>
          </w:tcPr>
          <w:p w14:paraId="49E3360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pH</w:t>
            </w:r>
          </w:p>
        </w:tc>
        <w:tc>
          <w:tcPr>
            <w:tcW w:w="666" w:type="pct"/>
            <w:tcBorders>
              <w:tl2br w:val="nil"/>
              <w:tr2bl w:val="nil"/>
            </w:tcBorders>
            <w:shd w:val="clear" w:color="auto" w:fill="auto"/>
            <w:noWrap w:val="0"/>
            <w:vAlign w:val="center"/>
          </w:tcPr>
          <w:p w14:paraId="1737993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无量纲</w:t>
            </w:r>
          </w:p>
        </w:tc>
        <w:tc>
          <w:tcPr>
            <w:tcW w:w="2363" w:type="pct"/>
            <w:tcBorders>
              <w:tl2br w:val="nil"/>
              <w:tr2bl w:val="nil"/>
            </w:tcBorders>
            <w:shd w:val="clear" w:color="auto" w:fill="auto"/>
            <w:noWrap w:val="0"/>
            <w:vAlign w:val="center"/>
          </w:tcPr>
          <w:p w14:paraId="5E6CEB75">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6.5～8.5</w:t>
            </w:r>
          </w:p>
        </w:tc>
      </w:tr>
      <w:tr w14:paraId="5BE05C4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EE2F002">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1420" w:type="pct"/>
            <w:tcBorders>
              <w:tl2br w:val="nil"/>
              <w:tr2bl w:val="nil"/>
            </w:tcBorders>
            <w:shd w:val="clear" w:color="auto" w:fill="auto"/>
            <w:noWrap w:val="0"/>
            <w:vAlign w:val="center"/>
          </w:tcPr>
          <w:p w14:paraId="16C42956">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氟化物</w:t>
            </w:r>
          </w:p>
        </w:tc>
        <w:tc>
          <w:tcPr>
            <w:tcW w:w="666" w:type="pct"/>
            <w:tcBorders>
              <w:tl2br w:val="nil"/>
              <w:tr2bl w:val="nil"/>
            </w:tcBorders>
            <w:shd w:val="clear" w:color="auto" w:fill="auto"/>
            <w:noWrap w:val="0"/>
            <w:vAlign w:val="center"/>
          </w:tcPr>
          <w:p w14:paraId="0B716FEB">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76409A93">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r>
      <w:tr w14:paraId="1CD3A43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D49307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1420" w:type="pct"/>
            <w:tcBorders>
              <w:tl2br w:val="nil"/>
              <w:tr2bl w:val="nil"/>
            </w:tcBorders>
            <w:shd w:val="clear" w:color="auto" w:fill="auto"/>
            <w:noWrap w:val="0"/>
            <w:vAlign w:val="center"/>
          </w:tcPr>
          <w:p w14:paraId="464C20FE">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氯化物</w:t>
            </w:r>
          </w:p>
        </w:tc>
        <w:tc>
          <w:tcPr>
            <w:tcW w:w="666" w:type="pct"/>
            <w:tcBorders>
              <w:tl2br w:val="nil"/>
              <w:tr2bl w:val="nil"/>
            </w:tcBorders>
            <w:shd w:val="clear" w:color="auto" w:fill="auto"/>
            <w:noWrap w:val="0"/>
            <w:vAlign w:val="center"/>
          </w:tcPr>
          <w:p w14:paraId="1C69BD4D">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1F4F75D5">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≤250</w:t>
            </w:r>
          </w:p>
        </w:tc>
      </w:tr>
      <w:tr w14:paraId="3425148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5994C6C1">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1420" w:type="pct"/>
            <w:tcBorders>
              <w:tl2br w:val="nil"/>
              <w:tr2bl w:val="nil"/>
            </w:tcBorders>
            <w:shd w:val="clear" w:color="auto" w:fill="auto"/>
            <w:noWrap w:val="0"/>
            <w:vAlign w:val="center"/>
          </w:tcPr>
          <w:p w14:paraId="03FB908A">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高锰酸盐指数</w:t>
            </w:r>
          </w:p>
        </w:tc>
        <w:tc>
          <w:tcPr>
            <w:tcW w:w="666" w:type="pct"/>
            <w:tcBorders>
              <w:tl2br w:val="nil"/>
              <w:tr2bl w:val="nil"/>
            </w:tcBorders>
            <w:shd w:val="clear" w:color="auto" w:fill="auto"/>
            <w:noWrap w:val="0"/>
            <w:vAlign w:val="center"/>
          </w:tcPr>
          <w:p w14:paraId="5125A69E">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23C9E79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≤3.0</w:t>
            </w:r>
          </w:p>
        </w:tc>
      </w:tr>
      <w:tr w14:paraId="48E7763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5124EDA3">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w:t>
            </w:r>
          </w:p>
        </w:tc>
        <w:tc>
          <w:tcPr>
            <w:tcW w:w="1420" w:type="pct"/>
            <w:tcBorders>
              <w:tl2br w:val="nil"/>
              <w:tr2bl w:val="nil"/>
            </w:tcBorders>
            <w:shd w:val="clear" w:color="auto" w:fill="auto"/>
            <w:noWrap w:val="0"/>
            <w:vAlign w:val="center"/>
          </w:tcPr>
          <w:p w14:paraId="259C221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总硬度</w:t>
            </w:r>
          </w:p>
        </w:tc>
        <w:tc>
          <w:tcPr>
            <w:tcW w:w="666" w:type="pct"/>
            <w:tcBorders>
              <w:tl2br w:val="nil"/>
              <w:tr2bl w:val="nil"/>
            </w:tcBorders>
            <w:shd w:val="clear" w:color="auto" w:fill="auto"/>
            <w:noWrap w:val="0"/>
            <w:vAlign w:val="center"/>
          </w:tcPr>
          <w:p w14:paraId="399164F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70F35D69">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≤450</w:t>
            </w:r>
          </w:p>
        </w:tc>
      </w:tr>
      <w:tr w14:paraId="75D9D9F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3F781546">
            <w:pPr>
              <w:spacing w:before="31" w:beforeLines="10" w:line="264" w:lineRule="auto"/>
              <w:jc w:val="center"/>
              <w:rPr>
                <w:rFonts w:hint="eastAsia" w:ascii="Times New Roman" w:hAnsi="Times New Roman" w:eastAsia="宋体" w:cs="Times New Roman"/>
                <w:color w:val="auto"/>
                <w:sz w:val="21"/>
                <w:szCs w:val="21"/>
                <w:lang w:val="en-US" w:eastAsia="zh-CN"/>
              </w:rPr>
            </w:pPr>
            <w:bookmarkStart w:id="267" w:name="OLE_LINK5" w:colFirst="3" w:colLast="67"/>
            <w:r>
              <w:rPr>
                <w:rFonts w:hint="eastAsia" w:cs="Times New Roman"/>
                <w:color w:val="auto"/>
                <w:sz w:val="21"/>
                <w:szCs w:val="21"/>
                <w:lang w:val="en-US" w:eastAsia="zh-CN"/>
              </w:rPr>
              <w:t>6</w:t>
            </w:r>
          </w:p>
        </w:tc>
        <w:tc>
          <w:tcPr>
            <w:tcW w:w="1420" w:type="pct"/>
            <w:tcBorders>
              <w:tl2br w:val="nil"/>
              <w:tr2bl w:val="nil"/>
            </w:tcBorders>
            <w:shd w:val="clear" w:color="auto" w:fill="auto"/>
            <w:noWrap w:val="0"/>
            <w:vAlign w:val="center"/>
          </w:tcPr>
          <w:p w14:paraId="5FA105CD">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溶解性固体</w:t>
            </w:r>
          </w:p>
        </w:tc>
        <w:tc>
          <w:tcPr>
            <w:tcW w:w="666" w:type="pct"/>
            <w:tcBorders>
              <w:tl2br w:val="nil"/>
              <w:tr2bl w:val="nil"/>
            </w:tcBorders>
            <w:shd w:val="clear" w:color="auto" w:fill="auto"/>
            <w:noWrap w:val="0"/>
            <w:vAlign w:val="center"/>
          </w:tcPr>
          <w:p w14:paraId="68EAD2E6">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76A732F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≤1000</w:t>
            </w:r>
          </w:p>
        </w:tc>
      </w:tr>
      <w:tr w14:paraId="0A3B81F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21215D5">
            <w:pPr>
              <w:spacing w:before="31" w:beforeLines="10" w:line="264" w:lineRule="auto"/>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w:t>
            </w:r>
          </w:p>
        </w:tc>
        <w:tc>
          <w:tcPr>
            <w:tcW w:w="1420" w:type="pct"/>
            <w:tcBorders>
              <w:tl2br w:val="nil"/>
              <w:tr2bl w:val="nil"/>
            </w:tcBorders>
            <w:shd w:val="clear" w:color="auto" w:fill="auto"/>
            <w:noWrap w:val="0"/>
            <w:vAlign w:val="center"/>
          </w:tcPr>
          <w:p w14:paraId="7B5426A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铅</w:t>
            </w:r>
          </w:p>
        </w:tc>
        <w:tc>
          <w:tcPr>
            <w:tcW w:w="666" w:type="pct"/>
            <w:tcBorders>
              <w:tl2br w:val="nil"/>
              <w:tr2bl w:val="nil"/>
            </w:tcBorders>
            <w:shd w:val="clear" w:color="auto" w:fill="auto"/>
            <w:noWrap w:val="0"/>
            <w:vAlign w:val="center"/>
          </w:tcPr>
          <w:p w14:paraId="553605F9">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0CB0CE0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≤0.05</w:t>
            </w:r>
          </w:p>
        </w:tc>
      </w:tr>
      <w:tr w14:paraId="38D5C5C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4B4E23A6">
            <w:pPr>
              <w:spacing w:before="31" w:beforeLines="10" w:line="264" w:lineRule="auto"/>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8</w:t>
            </w:r>
          </w:p>
        </w:tc>
        <w:tc>
          <w:tcPr>
            <w:tcW w:w="1420" w:type="pct"/>
            <w:tcBorders>
              <w:tl2br w:val="nil"/>
              <w:tr2bl w:val="nil"/>
            </w:tcBorders>
            <w:shd w:val="clear" w:color="auto" w:fill="auto"/>
            <w:noWrap w:val="0"/>
            <w:vAlign w:val="center"/>
          </w:tcPr>
          <w:p w14:paraId="0787C55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六价铬</w:t>
            </w:r>
          </w:p>
        </w:tc>
        <w:tc>
          <w:tcPr>
            <w:tcW w:w="666" w:type="pct"/>
            <w:tcBorders>
              <w:tl2br w:val="nil"/>
              <w:tr2bl w:val="nil"/>
            </w:tcBorders>
            <w:shd w:val="clear" w:color="auto" w:fill="auto"/>
            <w:noWrap w:val="0"/>
            <w:vAlign w:val="center"/>
          </w:tcPr>
          <w:p w14:paraId="1DEEF79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16779BCB">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≤0.05</w:t>
            </w:r>
          </w:p>
        </w:tc>
      </w:tr>
      <w:tr w14:paraId="745CD4C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57215277">
            <w:pPr>
              <w:spacing w:before="31" w:beforeLines="10" w:line="264" w:lineRule="auto"/>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9</w:t>
            </w:r>
          </w:p>
        </w:tc>
        <w:tc>
          <w:tcPr>
            <w:tcW w:w="1420" w:type="pct"/>
            <w:tcBorders>
              <w:tl2br w:val="nil"/>
              <w:tr2bl w:val="nil"/>
            </w:tcBorders>
            <w:shd w:val="clear" w:color="auto" w:fill="auto"/>
            <w:noWrap w:val="0"/>
            <w:vAlign w:val="center"/>
          </w:tcPr>
          <w:p w14:paraId="2B24E41E">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砷</w:t>
            </w:r>
          </w:p>
        </w:tc>
        <w:tc>
          <w:tcPr>
            <w:tcW w:w="666" w:type="pct"/>
            <w:tcBorders>
              <w:tl2br w:val="nil"/>
              <w:tr2bl w:val="nil"/>
            </w:tcBorders>
            <w:shd w:val="clear" w:color="auto" w:fill="auto"/>
            <w:noWrap w:val="0"/>
            <w:vAlign w:val="center"/>
          </w:tcPr>
          <w:p w14:paraId="7A3F274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04AC978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≤0.05</w:t>
            </w:r>
          </w:p>
        </w:tc>
      </w:tr>
      <w:tr w14:paraId="76370D6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35CB1E4">
            <w:pPr>
              <w:spacing w:before="31" w:beforeLines="10" w:line="264" w:lineRule="auto"/>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w:t>
            </w:r>
          </w:p>
        </w:tc>
        <w:tc>
          <w:tcPr>
            <w:tcW w:w="1420" w:type="pct"/>
            <w:tcBorders>
              <w:tl2br w:val="nil"/>
              <w:tr2bl w:val="nil"/>
            </w:tcBorders>
            <w:shd w:val="clear" w:color="auto" w:fill="auto"/>
            <w:noWrap w:val="0"/>
            <w:vAlign w:val="center"/>
          </w:tcPr>
          <w:p w14:paraId="4C709814">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汞</w:t>
            </w:r>
          </w:p>
        </w:tc>
        <w:tc>
          <w:tcPr>
            <w:tcW w:w="666" w:type="pct"/>
            <w:tcBorders>
              <w:tl2br w:val="nil"/>
              <w:tr2bl w:val="nil"/>
            </w:tcBorders>
            <w:shd w:val="clear" w:color="auto" w:fill="auto"/>
            <w:noWrap w:val="0"/>
            <w:vAlign w:val="center"/>
          </w:tcPr>
          <w:p w14:paraId="368FAFCA">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40B0CE88">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≤0.001</w:t>
            </w:r>
          </w:p>
        </w:tc>
      </w:tr>
      <w:bookmarkEnd w:id="267"/>
    </w:tbl>
    <w:p w14:paraId="104B507D">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3"/>
        <w:rPr>
          <w:rFonts w:hint="eastAsia"/>
          <w:b w:val="0"/>
          <w:bCs w:val="0"/>
          <w:color w:val="auto"/>
          <w:sz w:val="24"/>
          <w:szCs w:val="32"/>
          <w:lang w:val="en-US" w:eastAsia="zh-CN"/>
        </w:rPr>
      </w:pPr>
      <w:r>
        <w:rPr>
          <w:rFonts w:hint="eastAsia"/>
          <w:b w:val="0"/>
          <w:bCs w:val="0"/>
          <w:color w:val="auto"/>
          <w:sz w:val="24"/>
          <w:szCs w:val="32"/>
          <w:lang w:val="en-US" w:eastAsia="zh-CN"/>
        </w:rPr>
        <w:t>（3）监测结果</w:t>
      </w:r>
    </w:p>
    <w:p w14:paraId="4C09821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3"/>
        <w:rPr>
          <w:rFonts w:hint="default"/>
          <w:b w:val="0"/>
          <w:bCs w:val="0"/>
          <w:color w:val="auto"/>
          <w:sz w:val="24"/>
          <w:szCs w:val="32"/>
          <w:lang w:val="en-US" w:eastAsia="zh-CN"/>
        </w:rPr>
      </w:pPr>
      <w:r>
        <w:rPr>
          <w:rFonts w:hint="default" w:ascii="Times New Roman" w:hAnsi="Times New Roman" w:cs="Times New Roman"/>
          <w:b/>
          <w:bCs/>
          <w:color w:val="auto"/>
          <w:sz w:val="24"/>
          <w:szCs w:val="32"/>
          <w:lang w:val="en-US" w:eastAsia="zh-CN"/>
        </w:rPr>
        <w:t>表2-16 地</w:t>
      </w:r>
      <w:r>
        <w:rPr>
          <w:rFonts w:hint="eastAsia" w:cs="Times New Roman"/>
          <w:b/>
          <w:bCs/>
          <w:color w:val="auto"/>
          <w:sz w:val="24"/>
          <w:szCs w:val="32"/>
          <w:lang w:val="en-US" w:eastAsia="zh-CN"/>
        </w:rPr>
        <w:t>下</w:t>
      </w:r>
      <w:r>
        <w:rPr>
          <w:rFonts w:hint="default" w:ascii="Times New Roman" w:hAnsi="Times New Roman" w:cs="Times New Roman"/>
          <w:b/>
          <w:bCs/>
          <w:color w:val="auto"/>
          <w:sz w:val="24"/>
          <w:szCs w:val="32"/>
          <w:lang w:val="en-US" w:eastAsia="zh-CN"/>
        </w:rPr>
        <w:t>水环境质量现状监测结果及评</w:t>
      </w:r>
      <w:r>
        <w:rPr>
          <w:rFonts w:hint="eastAsia"/>
          <w:b/>
          <w:bCs/>
          <w:color w:val="auto"/>
          <w:sz w:val="24"/>
          <w:szCs w:val="32"/>
          <w:lang w:val="en-US" w:eastAsia="zh-CN"/>
        </w:rPr>
        <w:t>价结果一览表</w:t>
      </w:r>
    </w:p>
    <w:tbl>
      <w:tblPr>
        <w:tblStyle w:val="31"/>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fixed"/>
        <w:tblCellMar>
          <w:top w:w="0" w:type="dxa"/>
          <w:left w:w="108" w:type="dxa"/>
          <w:bottom w:w="0" w:type="dxa"/>
          <w:right w:w="108" w:type="dxa"/>
        </w:tblCellMar>
      </w:tblPr>
      <w:tblGrid>
        <w:gridCol w:w="1146"/>
        <w:gridCol w:w="404"/>
        <w:gridCol w:w="878"/>
        <w:gridCol w:w="639"/>
        <w:gridCol w:w="775"/>
        <w:gridCol w:w="775"/>
        <w:gridCol w:w="775"/>
        <w:gridCol w:w="764"/>
        <w:gridCol w:w="788"/>
        <w:gridCol w:w="727"/>
        <w:gridCol w:w="727"/>
        <w:gridCol w:w="727"/>
        <w:gridCol w:w="837"/>
      </w:tblGrid>
      <w:tr w14:paraId="18BEBDF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jc w:val="center"/>
        </w:trPr>
        <w:tc>
          <w:tcPr>
            <w:tcW w:w="575" w:type="pct"/>
            <w:tcBorders>
              <w:tl2br w:val="nil"/>
              <w:tr2bl w:val="nil"/>
            </w:tcBorders>
            <w:shd w:val="clear" w:color="auto" w:fill="auto"/>
            <w:noWrap/>
            <w:vAlign w:val="center"/>
          </w:tcPr>
          <w:p w14:paraId="31224F59">
            <w:pPr>
              <w:spacing w:before="31" w:beforeLines="10" w:line="264" w:lineRule="auto"/>
              <w:jc w:val="center"/>
              <w:rPr>
                <w:b/>
                <w:color w:val="auto"/>
                <w:szCs w:val="21"/>
              </w:rPr>
            </w:pPr>
            <w:r>
              <w:rPr>
                <w:b/>
                <w:color w:val="auto"/>
                <w:szCs w:val="21"/>
              </w:rPr>
              <w:t>采样点</w:t>
            </w:r>
          </w:p>
        </w:tc>
        <w:tc>
          <w:tcPr>
            <w:tcW w:w="643" w:type="pct"/>
            <w:gridSpan w:val="2"/>
            <w:tcBorders>
              <w:tl2br w:val="nil"/>
              <w:tr2bl w:val="nil"/>
            </w:tcBorders>
            <w:shd w:val="clear" w:color="auto" w:fill="auto"/>
            <w:noWrap/>
            <w:vAlign w:val="center"/>
          </w:tcPr>
          <w:p w14:paraId="73294BB3">
            <w:pPr>
              <w:spacing w:before="31" w:beforeLines="10" w:line="264" w:lineRule="auto"/>
              <w:jc w:val="center"/>
              <w:rPr>
                <w:b/>
                <w:color w:val="auto"/>
                <w:szCs w:val="21"/>
              </w:rPr>
            </w:pPr>
            <w:r>
              <w:rPr>
                <w:b/>
                <w:color w:val="auto"/>
                <w:szCs w:val="21"/>
              </w:rPr>
              <w:t>项目</w:t>
            </w:r>
          </w:p>
        </w:tc>
        <w:tc>
          <w:tcPr>
            <w:tcW w:w="320" w:type="pct"/>
            <w:tcBorders>
              <w:tl2br w:val="nil"/>
              <w:tr2bl w:val="nil"/>
            </w:tcBorders>
            <w:shd w:val="clear" w:color="auto" w:fill="auto"/>
            <w:noWrap/>
            <w:vAlign w:val="center"/>
          </w:tcPr>
          <w:p w14:paraId="1B410645">
            <w:pPr>
              <w:spacing w:before="31" w:beforeLines="10" w:line="264" w:lineRule="auto"/>
              <w:jc w:val="center"/>
              <w:rPr>
                <w:b/>
                <w:color w:val="auto"/>
                <w:szCs w:val="21"/>
              </w:rPr>
            </w:pPr>
            <w:r>
              <w:rPr>
                <w:b/>
                <w:color w:val="auto"/>
                <w:szCs w:val="21"/>
              </w:rPr>
              <w:t>pH</w:t>
            </w:r>
          </w:p>
        </w:tc>
        <w:tc>
          <w:tcPr>
            <w:tcW w:w="388" w:type="pct"/>
            <w:tcBorders>
              <w:tl2br w:val="nil"/>
              <w:tr2bl w:val="nil"/>
            </w:tcBorders>
            <w:shd w:val="clear" w:color="auto" w:fill="auto"/>
            <w:noWrap/>
            <w:vAlign w:val="center"/>
          </w:tcPr>
          <w:p w14:paraId="6EB52F68">
            <w:pPr>
              <w:spacing w:before="31" w:beforeLines="10" w:line="264" w:lineRule="auto"/>
              <w:jc w:val="center"/>
              <w:rPr>
                <w:b/>
                <w:color w:val="auto"/>
                <w:szCs w:val="21"/>
              </w:rPr>
            </w:pPr>
            <w:r>
              <w:rPr>
                <w:b/>
                <w:color w:val="auto"/>
                <w:szCs w:val="21"/>
              </w:rPr>
              <w:t>氟化物</w:t>
            </w:r>
          </w:p>
        </w:tc>
        <w:tc>
          <w:tcPr>
            <w:tcW w:w="388" w:type="pct"/>
            <w:tcBorders>
              <w:tl2br w:val="nil"/>
              <w:tr2bl w:val="nil"/>
            </w:tcBorders>
            <w:shd w:val="clear" w:color="auto" w:fill="auto"/>
            <w:noWrap/>
            <w:vAlign w:val="center"/>
          </w:tcPr>
          <w:p w14:paraId="16FCE58C">
            <w:pPr>
              <w:spacing w:before="31" w:beforeLines="10" w:line="264" w:lineRule="auto"/>
              <w:jc w:val="center"/>
              <w:rPr>
                <w:b/>
                <w:color w:val="auto"/>
                <w:szCs w:val="21"/>
              </w:rPr>
            </w:pPr>
            <w:r>
              <w:rPr>
                <w:b/>
                <w:color w:val="auto"/>
                <w:szCs w:val="21"/>
              </w:rPr>
              <w:t>氯化物</w:t>
            </w:r>
          </w:p>
        </w:tc>
        <w:tc>
          <w:tcPr>
            <w:tcW w:w="388" w:type="pct"/>
            <w:tcBorders>
              <w:tl2br w:val="nil"/>
              <w:tr2bl w:val="nil"/>
            </w:tcBorders>
            <w:shd w:val="clear" w:color="auto" w:fill="auto"/>
            <w:noWrap/>
            <w:vAlign w:val="center"/>
          </w:tcPr>
          <w:p w14:paraId="141CF1FB">
            <w:pPr>
              <w:spacing w:before="31" w:beforeLines="10" w:line="264" w:lineRule="auto"/>
              <w:jc w:val="center"/>
              <w:rPr>
                <w:b/>
                <w:color w:val="auto"/>
                <w:szCs w:val="21"/>
              </w:rPr>
            </w:pPr>
            <w:r>
              <w:rPr>
                <w:b/>
                <w:color w:val="auto"/>
                <w:szCs w:val="21"/>
              </w:rPr>
              <w:t>高锰酸盐指数</w:t>
            </w:r>
          </w:p>
        </w:tc>
        <w:tc>
          <w:tcPr>
            <w:tcW w:w="383" w:type="pct"/>
            <w:tcBorders>
              <w:tl2br w:val="nil"/>
              <w:tr2bl w:val="nil"/>
            </w:tcBorders>
            <w:shd w:val="clear" w:color="auto" w:fill="auto"/>
            <w:noWrap/>
            <w:vAlign w:val="center"/>
          </w:tcPr>
          <w:p w14:paraId="3AD10417">
            <w:pPr>
              <w:spacing w:before="31" w:beforeLines="10" w:line="264" w:lineRule="auto"/>
              <w:jc w:val="center"/>
              <w:rPr>
                <w:b/>
                <w:color w:val="auto"/>
                <w:szCs w:val="21"/>
              </w:rPr>
            </w:pPr>
            <w:r>
              <w:rPr>
                <w:b/>
                <w:color w:val="auto"/>
                <w:szCs w:val="21"/>
              </w:rPr>
              <w:t>总硬度</w:t>
            </w:r>
          </w:p>
        </w:tc>
        <w:tc>
          <w:tcPr>
            <w:tcW w:w="395" w:type="pct"/>
            <w:tcBorders>
              <w:tl2br w:val="nil"/>
              <w:tr2bl w:val="nil"/>
            </w:tcBorders>
            <w:shd w:val="clear" w:color="auto" w:fill="auto"/>
            <w:noWrap/>
            <w:vAlign w:val="center"/>
          </w:tcPr>
          <w:p w14:paraId="683CB3FA">
            <w:pPr>
              <w:spacing w:before="31" w:beforeLines="10" w:line="264" w:lineRule="auto"/>
              <w:jc w:val="center"/>
              <w:rPr>
                <w:b/>
                <w:color w:val="auto"/>
                <w:szCs w:val="21"/>
              </w:rPr>
            </w:pPr>
            <w:r>
              <w:rPr>
                <w:b/>
                <w:color w:val="auto"/>
                <w:szCs w:val="21"/>
              </w:rPr>
              <w:t>溶解性总固体</w:t>
            </w:r>
          </w:p>
        </w:tc>
        <w:tc>
          <w:tcPr>
            <w:tcW w:w="364" w:type="pct"/>
            <w:tcBorders>
              <w:tl2br w:val="nil"/>
              <w:tr2bl w:val="nil"/>
            </w:tcBorders>
            <w:shd w:val="clear" w:color="auto" w:fill="auto"/>
            <w:noWrap/>
            <w:vAlign w:val="center"/>
          </w:tcPr>
          <w:p w14:paraId="3832B611">
            <w:pPr>
              <w:spacing w:before="31" w:beforeLines="10" w:line="264" w:lineRule="auto"/>
              <w:jc w:val="center"/>
              <w:rPr>
                <w:b/>
                <w:color w:val="auto"/>
                <w:szCs w:val="21"/>
              </w:rPr>
            </w:pPr>
            <w:r>
              <w:rPr>
                <w:b/>
                <w:color w:val="auto"/>
                <w:szCs w:val="21"/>
              </w:rPr>
              <w:t>铅</w:t>
            </w:r>
          </w:p>
        </w:tc>
        <w:tc>
          <w:tcPr>
            <w:tcW w:w="364" w:type="pct"/>
            <w:tcBorders>
              <w:tl2br w:val="nil"/>
              <w:tr2bl w:val="nil"/>
            </w:tcBorders>
            <w:shd w:val="clear" w:color="auto" w:fill="auto"/>
            <w:noWrap/>
            <w:vAlign w:val="center"/>
          </w:tcPr>
          <w:p w14:paraId="37E40A07">
            <w:pPr>
              <w:spacing w:before="31" w:beforeLines="10" w:line="264" w:lineRule="auto"/>
              <w:jc w:val="center"/>
              <w:rPr>
                <w:b/>
                <w:color w:val="auto"/>
                <w:szCs w:val="21"/>
              </w:rPr>
            </w:pPr>
            <w:r>
              <w:rPr>
                <w:b/>
                <w:color w:val="auto"/>
                <w:szCs w:val="21"/>
              </w:rPr>
              <w:t>铬</w:t>
            </w:r>
          </w:p>
        </w:tc>
        <w:tc>
          <w:tcPr>
            <w:tcW w:w="364" w:type="pct"/>
            <w:tcBorders>
              <w:tl2br w:val="nil"/>
              <w:tr2bl w:val="nil"/>
            </w:tcBorders>
            <w:shd w:val="clear" w:color="auto" w:fill="auto"/>
            <w:noWrap/>
            <w:vAlign w:val="center"/>
          </w:tcPr>
          <w:p w14:paraId="16DACBF6">
            <w:pPr>
              <w:spacing w:before="31" w:beforeLines="10" w:line="264" w:lineRule="auto"/>
              <w:jc w:val="center"/>
              <w:rPr>
                <w:b/>
                <w:color w:val="auto"/>
                <w:szCs w:val="21"/>
              </w:rPr>
            </w:pPr>
            <w:r>
              <w:rPr>
                <w:b/>
                <w:color w:val="auto"/>
                <w:szCs w:val="21"/>
              </w:rPr>
              <w:t>砷</w:t>
            </w:r>
          </w:p>
        </w:tc>
        <w:tc>
          <w:tcPr>
            <w:tcW w:w="420" w:type="pct"/>
            <w:tcBorders>
              <w:tl2br w:val="nil"/>
              <w:tr2bl w:val="nil"/>
            </w:tcBorders>
            <w:shd w:val="clear" w:color="auto" w:fill="auto"/>
            <w:noWrap/>
            <w:vAlign w:val="center"/>
          </w:tcPr>
          <w:p w14:paraId="60F66D96">
            <w:pPr>
              <w:spacing w:before="31" w:beforeLines="10" w:line="264" w:lineRule="auto"/>
              <w:jc w:val="center"/>
              <w:rPr>
                <w:b/>
                <w:color w:val="auto"/>
                <w:szCs w:val="21"/>
              </w:rPr>
            </w:pPr>
            <w:r>
              <w:rPr>
                <w:b/>
                <w:color w:val="auto"/>
                <w:szCs w:val="21"/>
              </w:rPr>
              <w:t>汞</w:t>
            </w:r>
          </w:p>
        </w:tc>
      </w:tr>
      <w:tr w14:paraId="7755134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restart"/>
            <w:tcBorders>
              <w:tl2br w:val="nil"/>
              <w:tr2bl w:val="nil"/>
            </w:tcBorders>
            <w:shd w:val="clear" w:color="auto" w:fill="auto"/>
            <w:noWrap/>
            <w:vAlign w:val="center"/>
          </w:tcPr>
          <w:p w14:paraId="09C7E2AD">
            <w:pPr>
              <w:spacing w:before="31" w:beforeLines="10" w:line="264" w:lineRule="auto"/>
              <w:jc w:val="center"/>
              <w:rPr>
                <w:color w:val="auto"/>
                <w:szCs w:val="21"/>
              </w:rPr>
            </w:pPr>
            <w:r>
              <w:rPr>
                <w:color w:val="auto"/>
                <w:szCs w:val="21"/>
              </w:rPr>
              <w:t>开发区</w:t>
            </w:r>
          </w:p>
          <w:p w14:paraId="27079389">
            <w:pPr>
              <w:spacing w:before="31" w:beforeLines="10" w:line="264" w:lineRule="auto"/>
              <w:jc w:val="center"/>
              <w:rPr>
                <w:color w:val="auto"/>
                <w:szCs w:val="21"/>
              </w:rPr>
            </w:pPr>
            <w:r>
              <w:rPr>
                <w:color w:val="auto"/>
                <w:szCs w:val="21"/>
              </w:rPr>
              <w:t>管委会</w:t>
            </w:r>
          </w:p>
        </w:tc>
        <w:tc>
          <w:tcPr>
            <w:tcW w:w="202" w:type="pct"/>
            <w:vMerge w:val="restart"/>
            <w:tcBorders>
              <w:tl2br w:val="nil"/>
              <w:tr2bl w:val="nil"/>
            </w:tcBorders>
            <w:shd w:val="clear" w:color="auto" w:fill="auto"/>
            <w:noWrap/>
            <w:vAlign w:val="center"/>
          </w:tcPr>
          <w:p w14:paraId="12EAA3EE">
            <w:pPr>
              <w:spacing w:before="31" w:beforeLines="10" w:line="264" w:lineRule="auto"/>
              <w:ind w:left="-92" w:leftChars="-44" w:right="-84" w:rightChars="-40"/>
              <w:jc w:val="center"/>
              <w:rPr>
                <w:color w:val="auto"/>
                <w:szCs w:val="21"/>
              </w:rPr>
            </w:pPr>
            <w:r>
              <w:rPr>
                <w:color w:val="auto"/>
                <w:szCs w:val="21"/>
              </w:rPr>
              <w:t>监测值</w:t>
            </w:r>
          </w:p>
        </w:tc>
        <w:tc>
          <w:tcPr>
            <w:tcW w:w="440" w:type="pct"/>
            <w:tcBorders>
              <w:tl2br w:val="nil"/>
              <w:tr2bl w:val="nil"/>
            </w:tcBorders>
            <w:shd w:val="clear" w:color="auto" w:fill="auto"/>
            <w:noWrap w:val="0"/>
            <w:vAlign w:val="center"/>
          </w:tcPr>
          <w:p w14:paraId="4C97B741">
            <w:pPr>
              <w:spacing w:before="31" w:beforeLines="10" w:line="264" w:lineRule="auto"/>
              <w:ind w:left="-92" w:leftChars="-44" w:right="-84" w:rightChars="-40"/>
              <w:jc w:val="center"/>
              <w:rPr>
                <w:rFonts w:hint="eastAsia" w:eastAsia="宋体"/>
                <w:color w:val="auto"/>
                <w:szCs w:val="21"/>
                <w:lang w:val="en-US" w:eastAsia="zh-CN"/>
              </w:rPr>
            </w:pPr>
            <w:r>
              <w:rPr>
                <w:color w:val="auto"/>
                <w:szCs w:val="21"/>
              </w:rPr>
              <w:t>7</w:t>
            </w:r>
            <w:r>
              <w:rPr>
                <w:rFonts w:hint="eastAsia"/>
                <w:color w:val="auto"/>
                <w:szCs w:val="21"/>
                <w:lang w:val="en-US" w:eastAsia="zh-CN"/>
              </w:rPr>
              <w:t>月</w:t>
            </w:r>
            <w:r>
              <w:rPr>
                <w:color w:val="auto"/>
                <w:szCs w:val="21"/>
              </w:rPr>
              <w:t>7</w:t>
            </w:r>
            <w:r>
              <w:rPr>
                <w:rFonts w:hint="eastAsia"/>
                <w:color w:val="auto"/>
                <w:szCs w:val="21"/>
                <w:lang w:val="en-US" w:eastAsia="zh-CN"/>
              </w:rPr>
              <w:t>日</w:t>
            </w:r>
          </w:p>
        </w:tc>
        <w:tc>
          <w:tcPr>
            <w:tcW w:w="320" w:type="pct"/>
            <w:tcBorders>
              <w:tl2br w:val="nil"/>
              <w:tr2bl w:val="nil"/>
            </w:tcBorders>
            <w:shd w:val="clear" w:color="auto" w:fill="auto"/>
            <w:noWrap/>
            <w:vAlign w:val="center"/>
          </w:tcPr>
          <w:p w14:paraId="24CDC622">
            <w:pPr>
              <w:jc w:val="center"/>
              <w:rPr>
                <w:color w:val="auto"/>
                <w:szCs w:val="21"/>
              </w:rPr>
            </w:pPr>
            <w:r>
              <w:rPr>
                <w:color w:val="auto"/>
                <w:szCs w:val="21"/>
              </w:rPr>
              <w:t xml:space="preserve">7.12 </w:t>
            </w:r>
          </w:p>
        </w:tc>
        <w:tc>
          <w:tcPr>
            <w:tcW w:w="388" w:type="pct"/>
            <w:tcBorders>
              <w:tl2br w:val="nil"/>
              <w:tr2bl w:val="nil"/>
            </w:tcBorders>
            <w:shd w:val="clear" w:color="auto" w:fill="auto"/>
            <w:noWrap/>
            <w:vAlign w:val="center"/>
          </w:tcPr>
          <w:p w14:paraId="2B1ABE73">
            <w:pPr>
              <w:jc w:val="center"/>
              <w:rPr>
                <w:color w:val="auto"/>
                <w:szCs w:val="21"/>
              </w:rPr>
            </w:pPr>
            <w:r>
              <w:rPr>
                <w:color w:val="auto"/>
                <w:szCs w:val="21"/>
              </w:rPr>
              <w:t xml:space="preserve">0.36 </w:t>
            </w:r>
          </w:p>
        </w:tc>
        <w:tc>
          <w:tcPr>
            <w:tcW w:w="388" w:type="pct"/>
            <w:tcBorders>
              <w:tl2br w:val="nil"/>
              <w:tr2bl w:val="nil"/>
            </w:tcBorders>
            <w:shd w:val="clear" w:color="auto" w:fill="auto"/>
            <w:noWrap/>
            <w:vAlign w:val="center"/>
          </w:tcPr>
          <w:p w14:paraId="7AFFC368">
            <w:pPr>
              <w:jc w:val="center"/>
              <w:rPr>
                <w:color w:val="auto"/>
                <w:szCs w:val="21"/>
              </w:rPr>
            </w:pPr>
            <w:r>
              <w:rPr>
                <w:color w:val="auto"/>
                <w:szCs w:val="21"/>
              </w:rPr>
              <w:t xml:space="preserve">63 </w:t>
            </w:r>
          </w:p>
        </w:tc>
        <w:tc>
          <w:tcPr>
            <w:tcW w:w="388" w:type="pct"/>
            <w:tcBorders>
              <w:tl2br w:val="nil"/>
              <w:tr2bl w:val="nil"/>
            </w:tcBorders>
            <w:shd w:val="clear" w:color="auto" w:fill="auto"/>
            <w:noWrap/>
            <w:vAlign w:val="center"/>
          </w:tcPr>
          <w:p w14:paraId="22587695">
            <w:pPr>
              <w:jc w:val="center"/>
              <w:rPr>
                <w:color w:val="auto"/>
                <w:szCs w:val="21"/>
              </w:rPr>
            </w:pPr>
            <w:r>
              <w:rPr>
                <w:color w:val="auto"/>
                <w:szCs w:val="21"/>
              </w:rPr>
              <w:t xml:space="preserve">0.83 </w:t>
            </w:r>
          </w:p>
        </w:tc>
        <w:tc>
          <w:tcPr>
            <w:tcW w:w="383" w:type="pct"/>
            <w:tcBorders>
              <w:tl2br w:val="nil"/>
              <w:tr2bl w:val="nil"/>
            </w:tcBorders>
            <w:shd w:val="clear" w:color="auto" w:fill="auto"/>
            <w:noWrap/>
            <w:vAlign w:val="center"/>
          </w:tcPr>
          <w:p w14:paraId="604E16D0">
            <w:pPr>
              <w:jc w:val="center"/>
              <w:rPr>
                <w:color w:val="auto"/>
                <w:szCs w:val="21"/>
              </w:rPr>
            </w:pPr>
            <w:r>
              <w:rPr>
                <w:color w:val="auto"/>
                <w:szCs w:val="21"/>
              </w:rPr>
              <w:t xml:space="preserve">257 </w:t>
            </w:r>
          </w:p>
        </w:tc>
        <w:tc>
          <w:tcPr>
            <w:tcW w:w="395" w:type="pct"/>
            <w:tcBorders>
              <w:tl2br w:val="nil"/>
              <w:tr2bl w:val="nil"/>
            </w:tcBorders>
            <w:shd w:val="clear" w:color="auto" w:fill="auto"/>
            <w:noWrap/>
            <w:vAlign w:val="center"/>
          </w:tcPr>
          <w:p w14:paraId="0B68EDA4">
            <w:pPr>
              <w:jc w:val="center"/>
              <w:rPr>
                <w:color w:val="auto"/>
                <w:szCs w:val="21"/>
              </w:rPr>
            </w:pPr>
            <w:r>
              <w:rPr>
                <w:color w:val="auto"/>
                <w:szCs w:val="21"/>
              </w:rPr>
              <w:t xml:space="preserve">689 </w:t>
            </w:r>
          </w:p>
        </w:tc>
        <w:tc>
          <w:tcPr>
            <w:tcW w:w="364" w:type="pct"/>
            <w:tcBorders>
              <w:tl2br w:val="nil"/>
              <w:tr2bl w:val="nil"/>
            </w:tcBorders>
            <w:shd w:val="clear" w:color="auto" w:fill="auto"/>
            <w:noWrap/>
            <w:vAlign w:val="center"/>
          </w:tcPr>
          <w:p w14:paraId="599C5687">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581F0BB4">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71A9967E">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62BA7350">
            <w:pPr>
              <w:jc w:val="center"/>
              <w:rPr>
                <w:color w:val="auto"/>
                <w:szCs w:val="21"/>
              </w:rPr>
            </w:pPr>
            <w:r>
              <w:rPr>
                <w:color w:val="auto"/>
                <w:szCs w:val="21"/>
              </w:rPr>
              <w:t>ND</w:t>
            </w:r>
          </w:p>
        </w:tc>
      </w:tr>
      <w:tr w14:paraId="6BCADFA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67455E25">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40D26D12">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68C939A6">
            <w:pPr>
              <w:spacing w:before="31" w:beforeLines="10" w:line="264" w:lineRule="auto"/>
              <w:ind w:left="-92" w:leftChars="-44" w:right="-84" w:rightChars="-40"/>
              <w:jc w:val="center"/>
              <w:rPr>
                <w:color w:val="auto"/>
                <w:szCs w:val="21"/>
              </w:rPr>
            </w:pPr>
            <w:r>
              <w:rPr>
                <w:color w:val="auto"/>
                <w:szCs w:val="21"/>
              </w:rPr>
              <w:t>7</w:t>
            </w:r>
            <w:r>
              <w:rPr>
                <w:rFonts w:hint="eastAsia"/>
                <w:color w:val="auto"/>
                <w:szCs w:val="21"/>
                <w:lang w:val="en-US" w:eastAsia="zh-CN"/>
              </w:rPr>
              <w:t>月8日</w:t>
            </w:r>
          </w:p>
        </w:tc>
        <w:tc>
          <w:tcPr>
            <w:tcW w:w="320" w:type="pct"/>
            <w:tcBorders>
              <w:tl2br w:val="nil"/>
              <w:tr2bl w:val="nil"/>
            </w:tcBorders>
            <w:shd w:val="clear" w:color="auto" w:fill="auto"/>
            <w:noWrap/>
            <w:vAlign w:val="center"/>
          </w:tcPr>
          <w:p w14:paraId="1E3B80AD">
            <w:pPr>
              <w:jc w:val="center"/>
              <w:rPr>
                <w:color w:val="auto"/>
                <w:szCs w:val="21"/>
              </w:rPr>
            </w:pPr>
            <w:r>
              <w:rPr>
                <w:color w:val="auto"/>
                <w:szCs w:val="21"/>
              </w:rPr>
              <w:t xml:space="preserve">7.24 </w:t>
            </w:r>
          </w:p>
        </w:tc>
        <w:tc>
          <w:tcPr>
            <w:tcW w:w="388" w:type="pct"/>
            <w:tcBorders>
              <w:tl2br w:val="nil"/>
              <w:tr2bl w:val="nil"/>
            </w:tcBorders>
            <w:shd w:val="clear" w:color="auto" w:fill="auto"/>
            <w:noWrap/>
            <w:vAlign w:val="center"/>
          </w:tcPr>
          <w:p w14:paraId="4955E279">
            <w:pPr>
              <w:jc w:val="center"/>
              <w:rPr>
                <w:color w:val="auto"/>
                <w:szCs w:val="21"/>
              </w:rPr>
            </w:pPr>
            <w:r>
              <w:rPr>
                <w:color w:val="auto"/>
                <w:szCs w:val="21"/>
              </w:rPr>
              <w:t xml:space="preserve">0.38 </w:t>
            </w:r>
          </w:p>
        </w:tc>
        <w:tc>
          <w:tcPr>
            <w:tcW w:w="388" w:type="pct"/>
            <w:tcBorders>
              <w:tl2br w:val="nil"/>
              <w:tr2bl w:val="nil"/>
            </w:tcBorders>
            <w:shd w:val="clear" w:color="auto" w:fill="auto"/>
            <w:noWrap/>
            <w:vAlign w:val="center"/>
          </w:tcPr>
          <w:p w14:paraId="680210AC">
            <w:pPr>
              <w:jc w:val="center"/>
              <w:rPr>
                <w:color w:val="auto"/>
                <w:szCs w:val="21"/>
              </w:rPr>
            </w:pPr>
            <w:r>
              <w:rPr>
                <w:color w:val="auto"/>
                <w:szCs w:val="21"/>
              </w:rPr>
              <w:t xml:space="preserve">60 </w:t>
            </w:r>
          </w:p>
        </w:tc>
        <w:tc>
          <w:tcPr>
            <w:tcW w:w="388" w:type="pct"/>
            <w:tcBorders>
              <w:tl2br w:val="nil"/>
              <w:tr2bl w:val="nil"/>
            </w:tcBorders>
            <w:shd w:val="clear" w:color="auto" w:fill="auto"/>
            <w:noWrap/>
            <w:vAlign w:val="center"/>
          </w:tcPr>
          <w:p w14:paraId="13652D30">
            <w:pPr>
              <w:jc w:val="center"/>
              <w:rPr>
                <w:color w:val="auto"/>
                <w:szCs w:val="21"/>
              </w:rPr>
            </w:pPr>
            <w:r>
              <w:rPr>
                <w:color w:val="auto"/>
                <w:szCs w:val="21"/>
              </w:rPr>
              <w:t xml:space="preserve">0.79 </w:t>
            </w:r>
          </w:p>
        </w:tc>
        <w:tc>
          <w:tcPr>
            <w:tcW w:w="383" w:type="pct"/>
            <w:tcBorders>
              <w:tl2br w:val="nil"/>
              <w:tr2bl w:val="nil"/>
            </w:tcBorders>
            <w:shd w:val="clear" w:color="auto" w:fill="auto"/>
            <w:noWrap/>
            <w:vAlign w:val="center"/>
          </w:tcPr>
          <w:p w14:paraId="20DDF0D5">
            <w:pPr>
              <w:jc w:val="center"/>
              <w:rPr>
                <w:color w:val="auto"/>
                <w:szCs w:val="21"/>
              </w:rPr>
            </w:pPr>
            <w:r>
              <w:rPr>
                <w:color w:val="auto"/>
                <w:szCs w:val="21"/>
              </w:rPr>
              <w:t xml:space="preserve">301 </w:t>
            </w:r>
          </w:p>
        </w:tc>
        <w:tc>
          <w:tcPr>
            <w:tcW w:w="395" w:type="pct"/>
            <w:tcBorders>
              <w:tl2br w:val="nil"/>
              <w:tr2bl w:val="nil"/>
            </w:tcBorders>
            <w:shd w:val="clear" w:color="auto" w:fill="auto"/>
            <w:noWrap/>
            <w:vAlign w:val="center"/>
          </w:tcPr>
          <w:p w14:paraId="50475638">
            <w:pPr>
              <w:jc w:val="center"/>
              <w:rPr>
                <w:color w:val="auto"/>
                <w:szCs w:val="21"/>
              </w:rPr>
            </w:pPr>
            <w:r>
              <w:rPr>
                <w:color w:val="auto"/>
                <w:szCs w:val="21"/>
              </w:rPr>
              <w:t xml:space="preserve">697 </w:t>
            </w:r>
          </w:p>
        </w:tc>
        <w:tc>
          <w:tcPr>
            <w:tcW w:w="364" w:type="pct"/>
            <w:tcBorders>
              <w:tl2br w:val="nil"/>
              <w:tr2bl w:val="nil"/>
            </w:tcBorders>
            <w:shd w:val="clear" w:color="auto" w:fill="auto"/>
            <w:noWrap/>
            <w:vAlign w:val="center"/>
          </w:tcPr>
          <w:p w14:paraId="0D6E02C8">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017AD2F8">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30DF979B">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30D4069B">
            <w:pPr>
              <w:jc w:val="center"/>
              <w:rPr>
                <w:color w:val="auto"/>
                <w:szCs w:val="21"/>
              </w:rPr>
            </w:pPr>
            <w:r>
              <w:rPr>
                <w:color w:val="auto"/>
                <w:szCs w:val="21"/>
              </w:rPr>
              <w:t>ND</w:t>
            </w:r>
          </w:p>
        </w:tc>
      </w:tr>
      <w:tr w14:paraId="1D819F7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2A0DF966">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0C3330EA">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40CC6FC1">
            <w:pPr>
              <w:spacing w:before="31" w:beforeLines="10" w:line="264" w:lineRule="auto"/>
              <w:ind w:left="-92" w:leftChars="-44" w:right="-84" w:rightChars="-40"/>
              <w:jc w:val="center"/>
              <w:rPr>
                <w:color w:val="auto"/>
                <w:szCs w:val="21"/>
              </w:rPr>
            </w:pPr>
            <w:r>
              <w:rPr>
                <w:color w:val="auto"/>
                <w:szCs w:val="21"/>
              </w:rPr>
              <w:t>均值</w:t>
            </w:r>
          </w:p>
        </w:tc>
        <w:tc>
          <w:tcPr>
            <w:tcW w:w="320" w:type="pct"/>
            <w:tcBorders>
              <w:tl2br w:val="nil"/>
              <w:tr2bl w:val="nil"/>
            </w:tcBorders>
            <w:shd w:val="clear" w:color="auto" w:fill="auto"/>
            <w:noWrap/>
            <w:vAlign w:val="center"/>
          </w:tcPr>
          <w:p w14:paraId="043D1670">
            <w:pPr>
              <w:jc w:val="center"/>
              <w:rPr>
                <w:color w:val="auto"/>
                <w:szCs w:val="21"/>
              </w:rPr>
            </w:pPr>
            <w:r>
              <w:rPr>
                <w:color w:val="auto"/>
                <w:szCs w:val="21"/>
              </w:rPr>
              <w:t xml:space="preserve">7.18 </w:t>
            </w:r>
          </w:p>
        </w:tc>
        <w:tc>
          <w:tcPr>
            <w:tcW w:w="388" w:type="pct"/>
            <w:tcBorders>
              <w:tl2br w:val="nil"/>
              <w:tr2bl w:val="nil"/>
            </w:tcBorders>
            <w:shd w:val="clear" w:color="auto" w:fill="auto"/>
            <w:noWrap/>
            <w:vAlign w:val="center"/>
          </w:tcPr>
          <w:p w14:paraId="17B4DEA4">
            <w:pPr>
              <w:jc w:val="center"/>
              <w:rPr>
                <w:color w:val="auto"/>
                <w:szCs w:val="21"/>
              </w:rPr>
            </w:pPr>
            <w:r>
              <w:rPr>
                <w:color w:val="auto"/>
                <w:szCs w:val="21"/>
              </w:rPr>
              <w:t xml:space="preserve">0.37 </w:t>
            </w:r>
          </w:p>
        </w:tc>
        <w:tc>
          <w:tcPr>
            <w:tcW w:w="388" w:type="pct"/>
            <w:tcBorders>
              <w:tl2br w:val="nil"/>
              <w:tr2bl w:val="nil"/>
            </w:tcBorders>
            <w:shd w:val="clear" w:color="auto" w:fill="auto"/>
            <w:noWrap/>
            <w:vAlign w:val="center"/>
          </w:tcPr>
          <w:p w14:paraId="149ADE07">
            <w:pPr>
              <w:jc w:val="center"/>
              <w:rPr>
                <w:color w:val="auto"/>
                <w:szCs w:val="21"/>
              </w:rPr>
            </w:pPr>
            <w:r>
              <w:rPr>
                <w:color w:val="auto"/>
                <w:szCs w:val="21"/>
              </w:rPr>
              <w:t xml:space="preserve">62 </w:t>
            </w:r>
          </w:p>
        </w:tc>
        <w:tc>
          <w:tcPr>
            <w:tcW w:w="388" w:type="pct"/>
            <w:tcBorders>
              <w:tl2br w:val="nil"/>
              <w:tr2bl w:val="nil"/>
            </w:tcBorders>
            <w:shd w:val="clear" w:color="auto" w:fill="auto"/>
            <w:noWrap/>
            <w:vAlign w:val="center"/>
          </w:tcPr>
          <w:p w14:paraId="0C06D03A">
            <w:pPr>
              <w:jc w:val="center"/>
              <w:rPr>
                <w:color w:val="auto"/>
                <w:szCs w:val="21"/>
              </w:rPr>
            </w:pPr>
            <w:r>
              <w:rPr>
                <w:color w:val="auto"/>
                <w:szCs w:val="21"/>
              </w:rPr>
              <w:t xml:space="preserve">0.81 </w:t>
            </w:r>
          </w:p>
        </w:tc>
        <w:tc>
          <w:tcPr>
            <w:tcW w:w="383" w:type="pct"/>
            <w:tcBorders>
              <w:tl2br w:val="nil"/>
              <w:tr2bl w:val="nil"/>
            </w:tcBorders>
            <w:shd w:val="clear" w:color="auto" w:fill="auto"/>
            <w:noWrap/>
            <w:vAlign w:val="center"/>
          </w:tcPr>
          <w:p w14:paraId="54BCCFBD">
            <w:pPr>
              <w:jc w:val="center"/>
              <w:rPr>
                <w:color w:val="auto"/>
                <w:szCs w:val="21"/>
              </w:rPr>
            </w:pPr>
            <w:r>
              <w:rPr>
                <w:color w:val="auto"/>
                <w:szCs w:val="21"/>
              </w:rPr>
              <w:t xml:space="preserve">279 </w:t>
            </w:r>
          </w:p>
        </w:tc>
        <w:tc>
          <w:tcPr>
            <w:tcW w:w="395" w:type="pct"/>
            <w:tcBorders>
              <w:tl2br w:val="nil"/>
              <w:tr2bl w:val="nil"/>
            </w:tcBorders>
            <w:shd w:val="clear" w:color="auto" w:fill="auto"/>
            <w:noWrap/>
            <w:vAlign w:val="center"/>
          </w:tcPr>
          <w:p w14:paraId="2A3C61BC">
            <w:pPr>
              <w:jc w:val="center"/>
              <w:rPr>
                <w:color w:val="auto"/>
                <w:szCs w:val="21"/>
              </w:rPr>
            </w:pPr>
            <w:r>
              <w:rPr>
                <w:color w:val="auto"/>
                <w:szCs w:val="21"/>
              </w:rPr>
              <w:t xml:space="preserve">693 </w:t>
            </w:r>
          </w:p>
        </w:tc>
        <w:tc>
          <w:tcPr>
            <w:tcW w:w="364" w:type="pct"/>
            <w:tcBorders>
              <w:tl2br w:val="nil"/>
              <w:tr2bl w:val="nil"/>
            </w:tcBorders>
            <w:shd w:val="clear" w:color="auto" w:fill="auto"/>
            <w:noWrap/>
            <w:vAlign w:val="center"/>
          </w:tcPr>
          <w:p w14:paraId="08A0D515">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4117F50F">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477EB034">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171D835E">
            <w:pPr>
              <w:jc w:val="center"/>
              <w:rPr>
                <w:color w:val="auto"/>
                <w:szCs w:val="21"/>
              </w:rPr>
            </w:pPr>
            <w:r>
              <w:rPr>
                <w:color w:val="auto"/>
                <w:szCs w:val="21"/>
              </w:rPr>
              <w:t>ND</w:t>
            </w:r>
          </w:p>
        </w:tc>
      </w:tr>
      <w:tr w14:paraId="6906CFC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3402D648">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4344342C">
            <w:pPr>
              <w:spacing w:before="31" w:beforeLines="10" w:line="264" w:lineRule="auto"/>
              <w:jc w:val="center"/>
              <w:rPr>
                <w:rFonts w:hint="default" w:eastAsia="宋体"/>
                <w:color w:val="auto"/>
                <w:szCs w:val="21"/>
                <w:lang w:val="en-US" w:eastAsia="zh-CN"/>
              </w:rPr>
            </w:pPr>
            <w:r>
              <w:rPr>
                <w:rFonts w:hint="eastAsia"/>
                <w:color w:val="auto"/>
                <w:szCs w:val="21"/>
                <w:lang w:val="en-US" w:eastAsia="zh-CN"/>
              </w:rPr>
              <w:t>标准限值</w:t>
            </w:r>
          </w:p>
        </w:tc>
        <w:tc>
          <w:tcPr>
            <w:tcW w:w="320" w:type="pct"/>
            <w:tcBorders>
              <w:tl2br w:val="nil"/>
              <w:tr2bl w:val="nil"/>
            </w:tcBorders>
            <w:shd w:val="clear" w:color="auto" w:fill="auto"/>
            <w:noWrap/>
            <w:vAlign w:val="center"/>
          </w:tcPr>
          <w:p w14:paraId="1AFEDC4E">
            <w:pPr>
              <w:jc w:val="center"/>
              <w:rPr>
                <w:rFonts w:hint="default" w:eastAsia="宋体"/>
                <w:color w:val="auto"/>
                <w:szCs w:val="21"/>
                <w:lang w:val="en-US" w:eastAsia="zh-CN"/>
              </w:rPr>
            </w:pPr>
            <w:r>
              <w:rPr>
                <w:rFonts w:hint="eastAsia"/>
                <w:color w:val="auto"/>
                <w:szCs w:val="21"/>
                <w:lang w:val="en-US" w:eastAsia="zh-CN"/>
              </w:rPr>
              <w:t>6.5~8.5</w:t>
            </w:r>
          </w:p>
        </w:tc>
        <w:tc>
          <w:tcPr>
            <w:tcW w:w="388" w:type="pct"/>
            <w:tcBorders>
              <w:tl2br w:val="nil"/>
              <w:tr2bl w:val="nil"/>
            </w:tcBorders>
            <w:shd w:val="clear" w:color="auto" w:fill="auto"/>
            <w:noWrap/>
            <w:vAlign w:val="center"/>
          </w:tcPr>
          <w:p w14:paraId="4F0D1CAF">
            <w:pPr>
              <w:jc w:val="center"/>
              <w:rPr>
                <w:rFonts w:hint="default" w:eastAsia="宋体"/>
                <w:color w:val="auto"/>
                <w:szCs w:val="21"/>
                <w:lang w:val="en-US" w:eastAsia="zh-CN"/>
              </w:rPr>
            </w:pPr>
            <w:r>
              <w:rPr>
                <w:rFonts w:hint="eastAsia"/>
                <w:color w:val="auto"/>
                <w:szCs w:val="21"/>
                <w:lang w:val="en-US" w:eastAsia="zh-CN"/>
              </w:rPr>
              <w:t>≤1.0</w:t>
            </w:r>
          </w:p>
        </w:tc>
        <w:tc>
          <w:tcPr>
            <w:tcW w:w="388" w:type="pct"/>
            <w:tcBorders>
              <w:tl2br w:val="nil"/>
              <w:tr2bl w:val="nil"/>
            </w:tcBorders>
            <w:shd w:val="clear" w:color="auto" w:fill="auto"/>
            <w:noWrap/>
            <w:vAlign w:val="center"/>
          </w:tcPr>
          <w:p w14:paraId="2B3E2D0B">
            <w:pPr>
              <w:jc w:val="center"/>
              <w:rPr>
                <w:color w:val="auto"/>
                <w:szCs w:val="21"/>
              </w:rPr>
            </w:pPr>
            <w:r>
              <w:rPr>
                <w:rFonts w:hint="eastAsia" w:ascii="仿宋" w:hAnsi="仿宋" w:eastAsia="仿宋" w:cs="仿宋"/>
                <w:color w:val="auto"/>
                <w:szCs w:val="21"/>
              </w:rPr>
              <w:t>≤</w:t>
            </w:r>
            <w:r>
              <w:rPr>
                <w:rFonts w:hint="default"/>
                <w:color w:val="auto"/>
                <w:szCs w:val="21"/>
              </w:rPr>
              <w:t>250</w:t>
            </w:r>
          </w:p>
        </w:tc>
        <w:tc>
          <w:tcPr>
            <w:tcW w:w="388" w:type="pct"/>
            <w:tcBorders>
              <w:tl2br w:val="nil"/>
              <w:tr2bl w:val="nil"/>
            </w:tcBorders>
            <w:shd w:val="clear" w:color="auto" w:fill="auto"/>
            <w:noWrap/>
            <w:vAlign w:val="center"/>
          </w:tcPr>
          <w:p w14:paraId="7F6E988D">
            <w:pPr>
              <w:jc w:val="center"/>
              <w:rPr>
                <w:rFonts w:hint="default"/>
                <w:color w:val="auto"/>
                <w:szCs w:val="21"/>
                <w:lang w:val="en-US"/>
              </w:rPr>
            </w:pPr>
            <w:r>
              <w:rPr>
                <w:rFonts w:hint="eastAsia"/>
                <w:color w:val="auto"/>
                <w:szCs w:val="21"/>
                <w:lang w:val="en-US" w:eastAsia="zh-CN"/>
              </w:rPr>
              <w:t>≤3</w:t>
            </w:r>
          </w:p>
        </w:tc>
        <w:tc>
          <w:tcPr>
            <w:tcW w:w="383" w:type="pct"/>
            <w:tcBorders>
              <w:tl2br w:val="nil"/>
              <w:tr2bl w:val="nil"/>
            </w:tcBorders>
            <w:shd w:val="clear" w:color="auto" w:fill="auto"/>
            <w:noWrap/>
            <w:vAlign w:val="center"/>
          </w:tcPr>
          <w:p w14:paraId="07FCB2CD">
            <w:pPr>
              <w:jc w:val="center"/>
              <w:rPr>
                <w:rFonts w:hint="default"/>
                <w:color w:val="auto"/>
                <w:szCs w:val="21"/>
                <w:lang w:val="en-US"/>
              </w:rPr>
            </w:pPr>
            <w:r>
              <w:rPr>
                <w:rFonts w:hint="eastAsia"/>
                <w:color w:val="auto"/>
                <w:szCs w:val="21"/>
                <w:lang w:val="en-US" w:eastAsia="zh-CN"/>
              </w:rPr>
              <w:t>≤450</w:t>
            </w:r>
          </w:p>
        </w:tc>
        <w:tc>
          <w:tcPr>
            <w:tcW w:w="395" w:type="pct"/>
            <w:tcBorders>
              <w:tl2br w:val="nil"/>
              <w:tr2bl w:val="nil"/>
            </w:tcBorders>
            <w:shd w:val="clear" w:color="auto" w:fill="auto"/>
            <w:noWrap/>
            <w:vAlign w:val="center"/>
          </w:tcPr>
          <w:p w14:paraId="615C7D40">
            <w:pPr>
              <w:jc w:val="center"/>
              <w:rPr>
                <w:rFonts w:hint="default"/>
                <w:color w:val="auto"/>
                <w:szCs w:val="21"/>
                <w:lang w:val="en-US"/>
              </w:rPr>
            </w:pPr>
            <w:r>
              <w:rPr>
                <w:rFonts w:hint="eastAsia"/>
                <w:color w:val="auto"/>
                <w:szCs w:val="21"/>
                <w:lang w:val="en-US" w:eastAsia="zh-CN"/>
              </w:rPr>
              <w:t>≤1000</w:t>
            </w:r>
          </w:p>
        </w:tc>
        <w:tc>
          <w:tcPr>
            <w:tcW w:w="364" w:type="pct"/>
            <w:tcBorders>
              <w:tl2br w:val="nil"/>
              <w:tr2bl w:val="nil"/>
            </w:tcBorders>
            <w:shd w:val="clear" w:color="auto" w:fill="auto"/>
            <w:noWrap/>
            <w:vAlign w:val="center"/>
          </w:tcPr>
          <w:p w14:paraId="4EF24680">
            <w:pPr>
              <w:jc w:val="center"/>
              <w:rPr>
                <w:rFonts w:hint="default"/>
                <w:color w:val="auto"/>
                <w:szCs w:val="21"/>
                <w:lang w:val="en-US"/>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05D375EA">
            <w:pPr>
              <w:jc w:val="center"/>
              <w:rPr>
                <w:color w:val="auto"/>
                <w:szCs w:val="21"/>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307863F9">
            <w:pPr>
              <w:jc w:val="center"/>
              <w:rPr>
                <w:color w:val="auto"/>
                <w:szCs w:val="21"/>
              </w:rPr>
            </w:pPr>
            <w:r>
              <w:rPr>
                <w:rFonts w:hint="eastAsia"/>
                <w:color w:val="auto"/>
                <w:szCs w:val="21"/>
                <w:lang w:val="en-US" w:eastAsia="zh-CN"/>
              </w:rPr>
              <w:t>≤0.05</w:t>
            </w:r>
          </w:p>
        </w:tc>
        <w:tc>
          <w:tcPr>
            <w:tcW w:w="420" w:type="pct"/>
            <w:tcBorders>
              <w:tl2br w:val="nil"/>
              <w:tr2bl w:val="nil"/>
            </w:tcBorders>
            <w:shd w:val="clear" w:color="auto" w:fill="auto"/>
            <w:noWrap/>
            <w:vAlign w:val="center"/>
          </w:tcPr>
          <w:p w14:paraId="424A9132">
            <w:pPr>
              <w:jc w:val="center"/>
              <w:rPr>
                <w:rFonts w:hint="default"/>
                <w:color w:val="auto"/>
                <w:szCs w:val="21"/>
                <w:lang w:val="en-US"/>
              </w:rPr>
            </w:pPr>
            <w:r>
              <w:rPr>
                <w:rFonts w:hint="eastAsia"/>
                <w:color w:val="auto"/>
                <w:szCs w:val="21"/>
                <w:lang w:val="en-US" w:eastAsia="zh-CN"/>
              </w:rPr>
              <w:t>≤0.001</w:t>
            </w:r>
          </w:p>
        </w:tc>
      </w:tr>
      <w:tr w14:paraId="392ED76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2D8DB2F4">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1899863F">
            <w:pPr>
              <w:spacing w:before="31" w:beforeLines="10" w:line="264" w:lineRule="auto"/>
              <w:jc w:val="center"/>
              <w:rPr>
                <w:rFonts w:hint="default" w:eastAsia="宋体"/>
                <w:color w:val="auto"/>
                <w:szCs w:val="21"/>
                <w:lang w:val="en-US" w:eastAsia="zh-CN"/>
              </w:rPr>
            </w:pPr>
            <w:r>
              <w:rPr>
                <w:rFonts w:hint="eastAsia"/>
                <w:color w:val="auto"/>
                <w:szCs w:val="21"/>
                <w:lang w:val="en-US" w:eastAsia="zh-CN"/>
              </w:rPr>
              <w:t>是否达标</w:t>
            </w:r>
          </w:p>
        </w:tc>
        <w:tc>
          <w:tcPr>
            <w:tcW w:w="320" w:type="pct"/>
            <w:tcBorders>
              <w:tl2br w:val="nil"/>
              <w:tr2bl w:val="nil"/>
            </w:tcBorders>
            <w:shd w:val="clear" w:color="auto" w:fill="auto"/>
            <w:noWrap/>
            <w:vAlign w:val="center"/>
          </w:tcPr>
          <w:p w14:paraId="34543398">
            <w:pPr>
              <w:jc w:val="center"/>
              <w:rPr>
                <w:rFonts w:hint="eastAsia" w:eastAsia="宋体"/>
                <w:color w:val="auto"/>
                <w:szCs w:val="21"/>
                <w:lang w:val="en-US" w:eastAsia="zh-CN"/>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3AF8C725">
            <w:pPr>
              <w:jc w:val="center"/>
              <w:rPr>
                <w:rFonts w:hint="eastAsia" w:eastAsia="宋体"/>
                <w:color w:val="auto"/>
                <w:szCs w:val="21"/>
                <w:lang w:val="en-US" w:eastAsia="zh-CN"/>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72ADA427">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716E39AC">
            <w:pPr>
              <w:jc w:val="center"/>
              <w:rPr>
                <w:color w:val="auto"/>
                <w:szCs w:val="21"/>
              </w:rPr>
            </w:pPr>
            <w:r>
              <w:rPr>
                <w:rFonts w:hint="eastAsia"/>
                <w:color w:val="auto"/>
                <w:szCs w:val="21"/>
                <w:lang w:val="en-US" w:eastAsia="zh-CN"/>
              </w:rPr>
              <w:t>达标</w:t>
            </w:r>
          </w:p>
        </w:tc>
        <w:tc>
          <w:tcPr>
            <w:tcW w:w="383" w:type="pct"/>
            <w:tcBorders>
              <w:tl2br w:val="nil"/>
              <w:tr2bl w:val="nil"/>
            </w:tcBorders>
            <w:shd w:val="clear" w:color="auto" w:fill="auto"/>
            <w:noWrap/>
            <w:vAlign w:val="center"/>
          </w:tcPr>
          <w:p w14:paraId="7B57A5AD">
            <w:pPr>
              <w:jc w:val="center"/>
              <w:rPr>
                <w:color w:val="auto"/>
                <w:szCs w:val="21"/>
              </w:rPr>
            </w:pPr>
            <w:r>
              <w:rPr>
                <w:rFonts w:hint="eastAsia"/>
                <w:color w:val="auto"/>
                <w:szCs w:val="21"/>
                <w:lang w:val="en-US" w:eastAsia="zh-CN"/>
              </w:rPr>
              <w:t>达标</w:t>
            </w:r>
          </w:p>
        </w:tc>
        <w:tc>
          <w:tcPr>
            <w:tcW w:w="395" w:type="pct"/>
            <w:tcBorders>
              <w:tl2br w:val="nil"/>
              <w:tr2bl w:val="nil"/>
            </w:tcBorders>
            <w:shd w:val="clear" w:color="auto" w:fill="auto"/>
            <w:noWrap/>
            <w:vAlign w:val="center"/>
          </w:tcPr>
          <w:p w14:paraId="66463051">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106E12DD">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3BDD0033">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1595B7CA">
            <w:pPr>
              <w:jc w:val="center"/>
              <w:rPr>
                <w:color w:val="auto"/>
                <w:szCs w:val="21"/>
              </w:rPr>
            </w:pPr>
            <w:r>
              <w:rPr>
                <w:rFonts w:hint="eastAsia"/>
                <w:color w:val="auto"/>
                <w:szCs w:val="21"/>
                <w:lang w:val="en-US" w:eastAsia="zh-CN"/>
              </w:rPr>
              <w:t>达标</w:t>
            </w:r>
          </w:p>
        </w:tc>
        <w:tc>
          <w:tcPr>
            <w:tcW w:w="420" w:type="pct"/>
            <w:tcBorders>
              <w:tl2br w:val="nil"/>
              <w:tr2bl w:val="nil"/>
            </w:tcBorders>
            <w:shd w:val="clear" w:color="auto" w:fill="auto"/>
            <w:noWrap/>
            <w:vAlign w:val="center"/>
          </w:tcPr>
          <w:p w14:paraId="27DDD58F">
            <w:pPr>
              <w:jc w:val="center"/>
              <w:rPr>
                <w:color w:val="auto"/>
                <w:szCs w:val="21"/>
              </w:rPr>
            </w:pPr>
            <w:r>
              <w:rPr>
                <w:rFonts w:hint="eastAsia"/>
                <w:color w:val="auto"/>
                <w:szCs w:val="21"/>
                <w:lang w:val="en-US" w:eastAsia="zh-CN"/>
              </w:rPr>
              <w:t>达标</w:t>
            </w:r>
          </w:p>
        </w:tc>
      </w:tr>
      <w:tr w14:paraId="7698666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restart"/>
            <w:tcBorders>
              <w:tl2br w:val="nil"/>
              <w:tr2bl w:val="nil"/>
            </w:tcBorders>
            <w:shd w:val="clear" w:color="auto" w:fill="auto"/>
            <w:noWrap/>
            <w:vAlign w:val="center"/>
          </w:tcPr>
          <w:p w14:paraId="2C4927B8">
            <w:pPr>
              <w:spacing w:before="31" w:beforeLines="10" w:line="264" w:lineRule="auto"/>
              <w:jc w:val="center"/>
              <w:rPr>
                <w:color w:val="auto"/>
                <w:szCs w:val="21"/>
              </w:rPr>
            </w:pPr>
            <w:r>
              <w:rPr>
                <w:color w:val="auto"/>
                <w:szCs w:val="21"/>
              </w:rPr>
              <w:t>开发区</w:t>
            </w:r>
          </w:p>
          <w:p w14:paraId="356A149C">
            <w:pPr>
              <w:spacing w:before="31" w:beforeLines="10" w:line="264" w:lineRule="auto"/>
              <w:jc w:val="center"/>
              <w:rPr>
                <w:color w:val="auto"/>
                <w:szCs w:val="21"/>
              </w:rPr>
            </w:pPr>
            <w:r>
              <w:rPr>
                <w:color w:val="auto"/>
                <w:szCs w:val="21"/>
              </w:rPr>
              <w:t>污水处理厂</w:t>
            </w:r>
          </w:p>
        </w:tc>
        <w:tc>
          <w:tcPr>
            <w:tcW w:w="202" w:type="pct"/>
            <w:vMerge w:val="restart"/>
            <w:tcBorders>
              <w:tl2br w:val="nil"/>
              <w:tr2bl w:val="nil"/>
            </w:tcBorders>
            <w:shd w:val="clear" w:color="auto" w:fill="auto"/>
            <w:noWrap/>
            <w:vAlign w:val="center"/>
          </w:tcPr>
          <w:p w14:paraId="1028817F">
            <w:pPr>
              <w:spacing w:before="31" w:beforeLines="10" w:line="264" w:lineRule="auto"/>
              <w:ind w:left="-92" w:leftChars="-44" w:right="-84" w:rightChars="-40"/>
              <w:jc w:val="center"/>
              <w:rPr>
                <w:color w:val="auto"/>
                <w:szCs w:val="21"/>
              </w:rPr>
            </w:pPr>
            <w:r>
              <w:rPr>
                <w:color w:val="auto"/>
                <w:szCs w:val="21"/>
              </w:rPr>
              <w:t>监测值</w:t>
            </w:r>
          </w:p>
        </w:tc>
        <w:tc>
          <w:tcPr>
            <w:tcW w:w="440" w:type="pct"/>
            <w:tcBorders>
              <w:tl2br w:val="nil"/>
              <w:tr2bl w:val="nil"/>
            </w:tcBorders>
            <w:shd w:val="clear" w:color="auto" w:fill="auto"/>
            <w:noWrap w:val="0"/>
            <w:vAlign w:val="center"/>
          </w:tcPr>
          <w:p w14:paraId="7E285646">
            <w:pPr>
              <w:spacing w:before="31" w:beforeLines="10" w:line="264" w:lineRule="auto"/>
              <w:ind w:left="-92" w:leftChars="-44" w:right="-84" w:rightChars="-40"/>
              <w:jc w:val="center"/>
              <w:rPr>
                <w:color w:val="auto"/>
                <w:szCs w:val="21"/>
              </w:rPr>
            </w:pPr>
            <w:r>
              <w:rPr>
                <w:color w:val="auto"/>
                <w:szCs w:val="21"/>
              </w:rPr>
              <w:t>7</w:t>
            </w:r>
            <w:r>
              <w:rPr>
                <w:rFonts w:hint="eastAsia"/>
                <w:color w:val="auto"/>
                <w:szCs w:val="21"/>
                <w:lang w:val="en-US" w:eastAsia="zh-CN"/>
              </w:rPr>
              <w:t>月</w:t>
            </w:r>
            <w:r>
              <w:rPr>
                <w:color w:val="auto"/>
                <w:szCs w:val="21"/>
              </w:rPr>
              <w:t>7</w:t>
            </w:r>
            <w:r>
              <w:rPr>
                <w:rFonts w:hint="eastAsia"/>
                <w:color w:val="auto"/>
                <w:szCs w:val="21"/>
                <w:lang w:val="en-US" w:eastAsia="zh-CN"/>
              </w:rPr>
              <w:t>日</w:t>
            </w:r>
          </w:p>
        </w:tc>
        <w:tc>
          <w:tcPr>
            <w:tcW w:w="320" w:type="pct"/>
            <w:tcBorders>
              <w:tl2br w:val="nil"/>
              <w:tr2bl w:val="nil"/>
            </w:tcBorders>
            <w:shd w:val="clear" w:color="auto" w:fill="auto"/>
            <w:noWrap/>
            <w:vAlign w:val="center"/>
          </w:tcPr>
          <w:p w14:paraId="3B70A02E">
            <w:pPr>
              <w:jc w:val="center"/>
              <w:rPr>
                <w:color w:val="auto"/>
                <w:szCs w:val="21"/>
              </w:rPr>
            </w:pPr>
            <w:r>
              <w:rPr>
                <w:color w:val="auto"/>
                <w:szCs w:val="21"/>
              </w:rPr>
              <w:t xml:space="preserve">7.21 </w:t>
            </w:r>
          </w:p>
        </w:tc>
        <w:tc>
          <w:tcPr>
            <w:tcW w:w="388" w:type="pct"/>
            <w:tcBorders>
              <w:tl2br w:val="nil"/>
              <w:tr2bl w:val="nil"/>
            </w:tcBorders>
            <w:shd w:val="clear" w:color="auto" w:fill="auto"/>
            <w:noWrap/>
            <w:vAlign w:val="center"/>
          </w:tcPr>
          <w:p w14:paraId="57C191FF">
            <w:pPr>
              <w:jc w:val="center"/>
              <w:rPr>
                <w:color w:val="auto"/>
                <w:szCs w:val="21"/>
              </w:rPr>
            </w:pPr>
            <w:r>
              <w:rPr>
                <w:color w:val="auto"/>
                <w:szCs w:val="21"/>
              </w:rPr>
              <w:t xml:space="preserve">0.52 </w:t>
            </w:r>
          </w:p>
        </w:tc>
        <w:tc>
          <w:tcPr>
            <w:tcW w:w="388" w:type="pct"/>
            <w:tcBorders>
              <w:tl2br w:val="nil"/>
              <w:tr2bl w:val="nil"/>
            </w:tcBorders>
            <w:shd w:val="clear" w:color="auto" w:fill="auto"/>
            <w:noWrap/>
            <w:vAlign w:val="center"/>
          </w:tcPr>
          <w:p w14:paraId="24B999F4">
            <w:pPr>
              <w:jc w:val="center"/>
              <w:rPr>
                <w:color w:val="auto"/>
                <w:szCs w:val="21"/>
              </w:rPr>
            </w:pPr>
            <w:r>
              <w:rPr>
                <w:color w:val="auto"/>
                <w:szCs w:val="21"/>
              </w:rPr>
              <w:t xml:space="preserve">68 </w:t>
            </w:r>
          </w:p>
        </w:tc>
        <w:tc>
          <w:tcPr>
            <w:tcW w:w="388" w:type="pct"/>
            <w:tcBorders>
              <w:tl2br w:val="nil"/>
              <w:tr2bl w:val="nil"/>
            </w:tcBorders>
            <w:shd w:val="clear" w:color="auto" w:fill="auto"/>
            <w:noWrap/>
            <w:vAlign w:val="center"/>
          </w:tcPr>
          <w:p w14:paraId="551C9D38">
            <w:pPr>
              <w:jc w:val="center"/>
              <w:rPr>
                <w:color w:val="auto"/>
                <w:szCs w:val="21"/>
              </w:rPr>
            </w:pPr>
            <w:r>
              <w:rPr>
                <w:color w:val="auto"/>
                <w:szCs w:val="21"/>
              </w:rPr>
              <w:t xml:space="preserve">0.93 </w:t>
            </w:r>
          </w:p>
        </w:tc>
        <w:tc>
          <w:tcPr>
            <w:tcW w:w="383" w:type="pct"/>
            <w:tcBorders>
              <w:tl2br w:val="nil"/>
              <w:tr2bl w:val="nil"/>
            </w:tcBorders>
            <w:shd w:val="clear" w:color="auto" w:fill="auto"/>
            <w:noWrap/>
            <w:vAlign w:val="center"/>
          </w:tcPr>
          <w:p w14:paraId="7BB228B9">
            <w:pPr>
              <w:jc w:val="center"/>
              <w:rPr>
                <w:color w:val="auto"/>
                <w:szCs w:val="21"/>
              </w:rPr>
            </w:pPr>
            <w:r>
              <w:rPr>
                <w:color w:val="auto"/>
                <w:szCs w:val="21"/>
              </w:rPr>
              <w:t xml:space="preserve">289 </w:t>
            </w:r>
          </w:p>
        </w:tc>
        <w:tc>
          <w:tcPr>
            <w:tcW w:w="395" w:type="pct"/>
            <w:tcBorders>
              <w:tl2br w:val="nil"/>
              <w:tr2bl w:val="nil"/>
            </w:tcBorders>
            <w:shd w:val="clear" w:color="auto" w:fill="auto"/>
            <w:noWrap/>
            <w:vAlign w:val="center"/>
          </w:tcPr>
          <w:p w14:paraId="28B0E8D3">
            <w:pPr>
              <w:jc w:val="center"/>
              <w:rPr>
                <w:color w:val="auto"/>
                <w:szCs w:val="21"/>
              </w:rPr>
            </w:pPr>
            <w:r>
              <w:rPr>
                <w:color w:val="auto"/>
                <w:szCs w:val="21"/>
              </w:rPr>
              <w:t xml:space="preserve">712 </w:t>
            </w:r>
          </w:p>
        </w:tc>
        <w:tc>
          <w:tcPr>
            <w:tcW w:w="364" w:type="pct"/>
            <w:tcBorders>
              <w:tl2br w:val="nil"/>
              <w:tr2bl w:val="nil"/>
            </w:tcBorders>
            <w:shd w:val="clear" w:color="auto" w:fill="auto"/>
            <w:noWrap/>
            <w:vAlign w:val="center"/>
          </w:tcPr>
          <w:p w14:paraId="08453C2C">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5C1A5516">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55960E00">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48464836">
            <w:pPr>
              <w:jc w:val="center"/>
              <w:rPr>
                <w:color w:val="auto"/>
                <w:szCs w:val="21"/>
              </w:rPr>
            </w:pPr>
            <w:r>
              <w:rPr>
                <w:color w:val="auto"/>
                <w:szCs w:val="21"/>
              </w:rPr>
              <w:t>ND</w:t>
            </w:r>
          </w:p>
        </w:tc>
      </w:tr>
      <w:tr w14:paraId="66211C6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6763D439">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5152A807">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5F733918">
            <w:pPr>
              <w:spacing w:before="31" w:beforeLines="10" w:line="264" w:lineRule="auto"/>
              <w:ind w:left="-92" w:leftChars="-44" w:right="-84" w:rightChars="-40"/>
              <w:jc w:val="center"/>
              <w:rPr>
                <w:color w:val="auto"/>
                <w:szCs w:val="21"/>
              </w:rPr>
            </w:pPr>
            <w:r>
              <w:rPr>
                <w:color w:val="auto"/>
                <w:szCs w:val="21"/>
              </w:rPr>
              <w:t>7</w:t>
            </w:r>
            <w:r>
              <w:rPr>
                <w:rFonts w:hint="eastAsia"/>
                <w:color w:val="auto"/>
                <w:szCs w:val="21"/>
                <w:lang w:val="en-US" w:eastAsia="zh-CN"/>
              </w:rPr>
              <w:t>月8日</w:t>
            </w:r>
          </w:p>
        </w:tc>
        <w:tc>
          <w:tcPr>
            <w:tcW w:w="320" w:type="pct"/>
            <w:tcBorders>
              <w:tl2br w:val="nil"/>
              <w:tr2bl w:val="nil"/>
            </w:tcBorders>
            <w:shd w:val="clear" w:color="auto" w:fill="auto"/>
            <w:noWrap/>
            <w:vAlign w:val="center"/>
          </w:tcPr>
          <w:p w14:paraId="3DBFDD4C">
            <w:pPr>
              <w:jc w:val="center"/>
              <w:rPr>
                <w:color w:val="auto"/>
                <w:szCs w:val="21"/>
              </w:rPr>
            </w:pPr>
            <w:r>
              <w:rPr>
                <w:color w:val="auto"/>
                <w:szCs w:val="21"/>
              </w:rPr>
              <w:t xml:space="preserve">7.30 </w:t>
            </w:r>
          </w:p>
        </w:tc>
        <w:tc>
          <w:tcPr>
            <w:tcW w:w="388" w:type="pct"/>
            <w:tcBorders>
              <w:tl2br w:val="nil"/>
              <w:tr2bl w:val="nil"/>
            </w:tcBorders>
            <w:shd w:val="clear" w:color="auto" w:fill="auto"/>
            <w:noWrap/>
            <w:vAlign w:val="center"/>
          </w:tcPr>
          <w:p w14:paraId="0A946359">
            <w:pPr>
              <w:jc w:val="center"/>
              <w:rPr>
                <w:color w:val="auto"/>
                <w:szCs w:val="21"/>
              </w:rPr>
            </w:pPr>
            <w:r>
              <w:rPr>
                <w:color w:val="auto"/>
                <w:szCs w:val="21"/>
              </w:rPr>
              <w:t xml:space="preserve">0.40 </w:t>
            </w:r>
          </w:p>
        </w:tc>
        <w:tc>
          <w:tcPr>
            <w:tcW w:w="388" w:type="pct"/>
            <w:tcBorders>
              <w:tl2br w:val="nil"/>
              <w:tr2bl w:val="nil"/>
            </w:tcBorders>
            <w:shd w:val="clear" w:color="auto" w:fill="auto"/>
            <w:noWrap/>
            <w:vAlign w:val="center"/>
          </w:tcPr>
          <w:p w14:paraId="1065710B">
            <w:pPr>
              <w:jc w:val="center"/>
              <w:rPr>
                <w:color w:val="auto"/>
                <w:szCs w:val="21"/>
              </w:rPr>
            </w:pPr>
            <w:r>
              <w:rPr>
                <w:color w:val="auto"/>
                <w:szCs w:val="21"/>
              </w:rPr>
              <w:t xml:space="preserve">71 </w:t>
            </w:r>
          </w:p>
        </w:tc>
        <w:tc>
          <w:tcPr>
            <w:tcW w:w="388" w:type="pct"/>
            <w:tcBorders>
              <w:tl2br w:val="nil"/>
              <w:tr2bl w:val="nil"/>
            </w:tcBorders>
            <w:shd w:val="clear" w:color="auto" w:fill="auto"/>
            <w:noWrap/>
            <w:vAlign w:val="center"/>
          </w:tcPr>
          <w:p w14:paraId="3E2AD85B">
            <w:pPr>
              <w:jc w:val="center"/>
              <w:rPr>
                <w:color w:val="auto"/>
                <w:szCs w:val="21"/>
              </w:rPr>
            </w:pPr>
            <w:r>
              <w:rPr>
                <w:color w:val="auto"/>
                <w:szCs w:val="21"/>
              </w:rPr>
              <w:t xml:space="preserve">1.02 </w:t>
            </w:r>
          </w:p>
        </w:tc>
        <w:tc>
          <w:tcPr>
            <w:tcW w:w="383" w:type="pct"/>
            <w:tcBorders>
              <w:tl2br w:val="nil"/>
              <w:tr2bl w:val="nil"/>
            </w:tcBorders>
            <w:shd w:val="clear" w:color="auto" w:fill="auto"/>
            <w:noWrap/>
            <w:vAlign w:val="center"/>
          </w:tcPr>
          <w:p w14:paraId="4681B322">
            <w:pPr>
              <w:jc w:val="center"/>
              <w:rPr>
                <w:color w:val="auto"/>
                <w:szCs w:val="21"/>
              </w:rPr>
            </w:pPr>
            <w:r>
              <w:rPr>
                <w:color w:val="auto"/>
                <w:szCs w:val="21"/>
              </w:rPr>
              <w:t xml:space="preserve">275 </w:t>
            </w:r>
          </w:p>
        </w:tc>
        <w:tc>
          <w:tcPr>
            <w:tcW w:w="395" w:type="pct"/>
            <w:tcBorders>
              <w:tl2br w:val="nil"/>
              <w:tr2bl w:val="nil"/>
            </w:tcBorders>
            <w:shd w:val="clear" w:color="auto" w:fill="auto"/>
            <w:noWrap/>
            <w:vAlign w:val="center"/>
          </w:tcPr>
          <w:p w14:paraId="4AE42F1E">
            <w:pPr>
              <w:jc w:val="center"/>
              <w:rPr>
                <w:color w:val="auto"/>
                <w:szCs w:val="21"/>
              </w:rPr>
            </w:pPr>
            <w:r>
              <w:rPr>
                <w:color w:val="auto"/>
                <w:szCs w:val="21"/>
              </w:rPr>
              <w:t xml:space="preserve">693 </w:t>
            </w:r>
          </w:p>
        </w:tc>
        <w:tc>
          <w:tcPr>
            <w:tcW w:w="364" w:type="pct"/>
            <w:tcBorders>
              <w:tl2br w:val="nil"/>
              <w:tr2bl w:val="nil"/>
            </w:tcBorders>
            <w:shd w:val="clear" w:color="auto" w:fill="auto"/>
            <w:noWrap/>
            <w:vAlign w:val="center"/>
          </w:tcPr>
          <w:p w14:paraId="41259065">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1143B2F6">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7A32659B">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611BA174">
            <w:pPr>
              <w:jc w:val="center"/>
              <w:rPr>
                <w:color w:val="auto"/>
                <w:szCs w:val="21"/>
              </w:rPr>
            </w:pPr>
            <w:r>
              <w:rPr>
                <w:color w:val="auto"/>
                <w:szCs w:val="21"/>
              </w:rPr>
              <w:t>ND</w:t>
            </w:r>
          </w:p>
        </w:tc>
      </w:tr>
      <w:tr w14:paraId="7D5675A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0C2D9C09">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6B61ACDF">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17063289">
            <w:pPr>
              <w:spacing w:before="31" w:beforeLines="10" w:line="264" w:lineRule="auto"/>
              <w:ind w:left="-92" w:leftChars="-44" w:right="-84" w:rightChars="-40"/>
              <w:jc w:val="center"/>
              <w:rPr>
                <w:color w:val="auto"/>
                <w:szCs w:val="21"/>
              </w:rPr>
            </w:pPr>
            <w:r>
              <w:rPr>
                <w:color w:val="auto"/>
                <w:szCs w:val="21"/>
              </w:rPr>
              <w:t>均值</w:t>
            </w:r>
          </w:p>
        </w:tc>
        <w:tc>
          <w:tcPr>
            <w:tcW w:w="320" w:type="pct"/>
            <w:tcBorders>
              <w:tl2br w:val="nil"/>
              <w:tr2bl w:val="nil"/>
            </w:tcBorders>
            <w:shd w:val="clear" w:color="auto" w:fill="auto"/>
            <w:noWrap/>
            <w:vAlign w:val="center"/>
          </w:tcPr>
          <w:p w14:paraId="0DD82B8A">
            <w:pPr>
              <w:jc w:val="center"/>
              <w:rPr>
                <w:color w:val="auto"/>
                <w:szCs w:val="21"/>
              </w:rPr>
            </w:pPr>
            <w:r>
              <w:rPr>
                <w:color w:val="auto"/>
                <w:szCs w:val="21"/>
              </w:rPr>
              <w:t xml:space="preserve">7.26 </w:t>
            </w:r>
          </w:p>
        </w:tc>
        <w:tc>
          <w:tcPr>
            <w:tcW w:w="388" w:type="pct"/>
            <w:tcBorders>
              <w:tl2br w:val="nil"/>
              <w:tr2bl w:val="nil"/>
            </w:tcBorders>
            <w:shd w:val="clear" w:color="auto" w:fill="auto"/>
            <w:noWrap/>
            <w:vAlign w:val="center"/>
          </w:tcPr>
          <w:p w14:paraId="3C732EA4">
            <w:pPr>
              <w:jc w:val="center"/>
              <w:rPr>
                <w:color w:val="auto"/>
                <w:szCs w:val="21"/>
              </w:rPr>
            </w:pPr>
            <w:r>
              <w:rPr>
                <w:color w:val="auto"/>
                <w:szCs w:val="21"/>
              </w:rPr>
              <w:t xml:space="preserve">0.46 </w:t>
            </w:r>
          </w:p>
        </w:tc>
        <w:tc>
          <w:tcPr>
            <w:tcW w:w="388" w:type="pct"/>
            <w:tcBorders>
              <w:tl2br w:val="nil"/>
              <w:tr2bl w:val="nil"/>
            </w:tcBorders>
            <w:shd w:val="clear" w:color="auto" w:fill="auto"/>
            <w:noWrap/>
            <w:vAlign w:val="center"/>
          </w:tcPr>
          <w:p w14:paraId="6DC69E78">
            <w:pPr>
              <w:jc w:val="center"/>
              <w:rPr>
                <w:color w:val="auto"/>
                <w:szCs w:val="21"/>
              </w:rPr>
            </w:pPr>
            <w:r>
              <w:rPr>
                <w:color w:val="auto"/>
                <w:szCs w:val="21"/>
              </w:rPr>
              <w:t xml:space="preserve">70 </w:t>
            </w:r>
          </w:p>
        </w:tc>
        <w:tc>
          <w:tcPr>
            <w:tcW w:w="388" w:type="pct"/>
            <w:tcBorders>
              <w:tl2br w:val="nil"/>
              <w:tr2bl w:val="nil"/>
            </w:tcBorders>
            <w:shd w:val="clear" w:color="auto" w:fill="auto"/>
            <w:noWrap/>
            <w:vAlign w:val="center"/>
          </w:tcPr>
          <w:p w14:paraId="634F483A">
            <w:pPr>
              <w:jc w:val="center"/>
              <w:rPr>
                <w:color w:val="auto"/>
                <w:szCs w:val="21"/>
              </w:rPr>
            </w:pPr>
            <w:r>
              <w:rPr>
                <w:color w:val="auto"/>
                <w:szCs w:val="21"/>
              </w:rPr>
              <w:t xml:space="preserve">0.98 </w:t>
            </w:r>
          </w:p>
        </w:tc>
        <w:tc>
          <w:tcPr>
            <w:tcW w:w="383" w:type="pct"/>
            <w:tcBorders>
              <w:tl2br w:val="nil"/>
              <w:tr2bl w:val="nil"/>
            </w:tcBorders>
            <w:shd w:val="clear" w:color="auto" w:fill="auto"/>
            <w:noWrap/>
            <w:vAlign w:val="center"/>
          </w:tcPr>
          <w:p w14:paraId="3B103FE5">
            <w:pPr>
              <w:jc w:val="center"/>
              <w:rPr>
                <w:color w:val="auto"/>
                <w:szCs w:val="21"/>
              </w:rPr>
            </w:pPr>
            <w:r>
              <w:rPr>
                <w:color w:val="auto"/>
                <w:szCs w:val="21"/>
              </w:rPr>
              <w:t xml:space="preserve">282 </w:t>
            </w:r>
          </w:p>
        </w:tc>
        <w:tc>
          <w:tcPr>
            <w:tcW w:w="395" w:type="pct"/>
            <w:tcBorders>
              <w:tl2br w:val="nil"/>
              <w:tr2bl w:val="nil"/>
            </w:tcBorders>
            <w:shd w:val="clear" w:color="auto" w:fill="auto"/>
            <w:noWrap/>
            <w:vAlign w:val="center"/>
          </w:tcPr>
          <w:p w14:paraId="18A67F9F">
            <w:pPr>
              <w:jc w:val="center"/>
              <w:rPr>
                <w:color w:val="auto"/>
                <w:szCs w:val="21"/>
              </w:rPr>
            </w:pPr>
            <w:r>
              <w:rPr>
                <w:color w:val="auto"/>
                <w:szCs w:val="21"/>
              </w:rPr>
              <w:t xml:space="preserve">703 </w:t>
            </w:r>
          </w:p>
        </w:tc>
        <w:tc>
          <w:tcPr>
            <w:tcW w:w="364" w:type="pct"/>
            <w:tcBorders>
              <w:tl2br w:val="nil"/>
              <w:tr2bl w:val="nil"/>
            </w:tcBorders>
            <w:shd w:val="clear" w:color="auto" w:fill="auto"/>
            <w:noWrap/>
            <w:vAlign w:val="center"/>
          </w:tcPr>
          <w:p w14:paraId="66777523">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089AE812">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77CA54BA">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4CE07ADB">
            <w:pPr>
              <w:jc w:val="center"/>
              <w:rPr>
                <w:color w:val="auto"/>
                <w:szCs w:val="21"/>
              </w:rPr>
            </w:pPr>
            <w:r>
              <w:rPr>
                <w:color w:val="auto"/>
                <w:szCs w:val="21"/>
              </w:rPr>
              <w:t>ND</w:t>
            </w:r>
          </w:p>
        </w:tc>
      </w:tr>
      <w:tr w14:paraId="285F360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25C3EE61">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6562EC96">
            <w:pPr>
              <w:spacing w:before="31" w:beforeLines="10" w:line="264" w:lineRule="auto"/>
              <w:jc w:val="center"/>
              <w:rPr>
                <w:color w:val="auto"/>
                <w:szCs w:val="21"/>
              </w:rPr>
            </w:pPr>
            <w:r>
              <w:rPr>
                <w:rFonts w:hint="eastAsia"/>
                <w:color w:val="auto"/>
                <w:szCs w:val="21"/>
                <w:lang w:val="en-US" w:eastAsia="zh-CN"/>
              </w:rPr>
              <w:t>标准限值</w:t>
            </w:r>
          </w:p>
        </w:tc>
        <w:tc>
          <w:tcPr>
            <w:tcW w:w="320" w:type="pct"/>
            <w:tcBorders>
              <w:tl2br w:val="nil"/>
              <w:tr2bl w:val="nil"/>
            </w:tcBorders>
            <w:shd w:val="clear" w:color="auto" w:fill="auto"/>
            <w:noWrap/>
            <w:vAlign w:val="center"/>
          </w:tcPr>
          <w:p w14:paraId="5E563EAC">
            <w:pPr>
              <w:jc w:val="center"/>
              <w:rPr>
                <w:color w:val="auto"/>
                <w:szCs w:val="21"/>
              </w:rPr>
            </w:pPr>
            <w:r>
              <w:rPr>
                <w:rFonts w:hint="eastAsia"/>
                <w:color w:val="auto"/>
                <w:szCs w:val="21"/>
                <w:lang w:val="en-US" w:eastAsia="zh-CN"/>
              </w:rPr>
              <w:t>6.5~8.5</w:t>
            </w:r>
          </w:p>
        </w:tc>
        <w:tc>
          <w:tcPr>
            <w:tcW w:w="388" w:type="pct"/>
            <w:tcBorders>
              <w:tl2br w:val="nil"/>
              <w:tr2bl w:val="nil"/>
            </w:tcBorders>
            <w:shd w:val="clear" w:color="auto" w:fill="auto"/>
            <w:noWrap/>
            <w:vAlign w:val="center"/>
          </w:tcPr>
          <w:p w14:paraId="0ABC11A0">
            <w:pPr>
              <w:jc w:val="center"/>
              <w:rPr>
                <w:color w:val="auto"/>
                <w:szCs w:val="21"/>
              </w:rPr>
            </w:pPr>
            <w:r>
              <w:rPr>
                <w:rFonts w:hint="eastAsia"/>
                <w:color w:val="auto"/>
                <w:szCs w:val="21"/>
                <w:lang w:val="en-US" w:eastAsia="zh-CN"/>
              </w:rPr>
              <w:t>≤1.0</w:t>
            </w:r>
          </w:p>
        </w:tc>
        <w:tc>
          <w:tcPr>
            <w:tcW w:w="388" w:type="pct"/>
            <w:tcBorders>
              <w:tl2br w:val="nil"/>
              <w:tr2bl w:val="nil"/>
            </w:tcBorders>
            <w:shd w:val="clear" w:color="auto" w:fill="auto"/>
            <w:noWrap/>
            <w:vAlign w:val="center"/>
          </w:tcPr>
          <w:p w14:paraId="666950B3">
            <w:pPr>
              <w:jc w:val="center"/>
              <w:rPr>
                <w:color w:val="auto"/>
                <w:szCs w:val="21"/>
              </w:rPr>
            </w:pPr>
            <w:r>
              <w:rPr>
                <w:rFonts w:hint="eastAsia" w:ascii="仿宋" w:hAnsi="仿宋" w:eastAsia="仿宋" w:cs="仿宋"/>
                <w:color w:val="auto"/>
                <w:szCs w:val="21"/>
              </w:rPr>
              <w:t>≤</w:t>
            </w:r>
            <w:r>
              <w:rPr>
                <w:rFonts w:hint="default"/>
                <w:color w:val="auto"/>
                <w:szCs w:val="21"/>
              </w:rPr>
              <w:t>250</w:t>
            </w:r>
          </w:p>
        </w:tc>
        <w:tc>
          <w:tcPr>
            <w:tcW w:w="388" w:type="pct"/>
            <w:tcBorders>
              <w:tl2br w:val="nil"/>
              <w:tr2bl w:val="nil"/>
            </w:tcBorders>
            <w:shd w:val="clear" w:color="auto" w:fill="auto"/>
            <w:noWrap/>
            <w:vAlign w:val="center"/>
          </w:tcPr>
          <w:p w14:paraId="7EE381D8">
            <w:pPr>
              <w:jc w:val="center"/>
              <w:rPr>
                <w:color w:val="auto"/>
                <w:szCs w:val="21"/>
              </w:rPr>
            </w:pPr>
            <w:r>
              <w:rPr>
                <w:rFonts w:hint="eastAsia"/>
                <w:color w:val="auto"/>
                <w:szCs w:val="21"/>
                <w:lang w:val="en-US" w:eastAsia="zh-CN"/>
              </w:rPr>
              <w:t>≤3</w:t>
            </w:r>
          </w:p>
        </w:tc>
        <w:tc>
          <w:tcPr>
            <w:tcW w:w="383" w:type="pct"/>
            <w:tcBorders>
              <w:tl2br w:val="nil"/>
              <w:tr2bl w:val="nil"/>
            </w:tcBorders>
            <w:shd w:val="clear" w:color="auto" w:fill="auto"/>
            <w:noWrap/>
            <w:vAlign w:val="center"/>
          </w:tcPr>
          <w:p w14:paraId="4DE967A7">
            <w:pPr>
              <w:jc w:val="center"/>
              <w:rPr>
                <w:color w:val="auto"/>
                <w:szCs w:val="21"/>
              </w:rPr>
            </w:pPr>
            <w:r>
              <w:rPr>
                <w:rFonts w:hint="eastAsia"/>
                <w:color w:val="auto"/>
                <w:szCs w:val="21"/>
                <w:lang w:val="en-US" w:eastAsia="zh-CN"/>
              </w:rPr>
              <w:t>≤450</w:t>
            </w:r>
          </w:p>
        </w:tc>
        <w:tc>
          <w:tcPr>
            <w:tcW w:w="395" w:type="pct"/>
            <w:tcBorders>
              <w:tl2br w:val="nil"/>
              <w:tr2bl w:val="nil"/>
            </w:tcBorders>
            <w:shd w:val="clear" w:color="auto" w:fill="auto"/>
            <w:noWrap/>
            <w:vAlign w:val="center"/>
          </w:tcPr>
          <w:p w14:paraId="37FEA473">
            <w:pPr>
              <w:jc w:val="center"/>
              <w:rPr>
                <w:color w:val="auto"/>
                <w:szCs w:val="21"/>
              </w:rPr>
            </w:pPr>
            <w:r>
              <w:rPr>
                <w:rFonts w:hint="eastAsia"/>
                <w:color w:val="auto"/>
                <w:szCs w:val="21"/>
                <w:lang w:val="en-US" w:eastAsia="zh-CN"/>
              </w:rPr>
              <w:t>≤1000</w:t>
            </w:r>
          </w:p>
        </w:tc>
        <w:tc>
          <w:tcPr>
            <w:tcW w:w="364" w:type="pct"/>
            <w:tcBorders>
              <w:tl2br w:val="nil"/>
              <w:tr2bl w:val="nil"/>
            </w:tcBorders>
            <w:shd w:val="clear" w:color="auto" w:fill="auto"/>
            <w:noWrap/>
            <w:vAlign w:val="center"/>
          </w:tcPr>
          <w:p w14:paraId="6D5E2F3C">
            <w:pPr>
              <w:jc w:val="center"/>
              <w:rPr>
                <w:color w:val="auto"/>
                <w:szCs w:val="21"/>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3BE262CB">
            <w:pPr>
              <w:jc w:val="center"/>
              <w:rPr>
                <w:color w:val="auto"/>
                <w:szCs w:val="21"/>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4F995E09">
            <w:pPr>
              <w:jc w:val="center"/>
              <w:rPr>
                <w:color w:val="auto"/>
                <w:szCs w:val="21"/>
              </w:rPr>
            </w:pPr>
            <w:r>
              <w:rPr>
                <w:rFonts w:hint="eastAsia"/>
                <w:color w:val="auto"/>
                <w:szCs w:val="21"/>
                <w:lang w:val="en-US" w:eastAsia="zh-CN"/>
              </w:rPr>
              <w:t>≤0.05</w:t>
            </w:r>
          </w:p>
        </w:tc>
        <w:tc>
          <w:tcPr>
            <w:tcW w:w="420" w:type="pct"/>
            <w:tcBorders>
              <w:tl2br w:val="nil"/>
              <w:tr2bl w:val="nil"/>
            </w:tcBorders>
            <w:shd w:val="clear" w:color="auto" w:fill="auto"/>
            <w:noWrap/>
            <w:vAlign w:val="center"/>
          </w:tcPr>
          <w:p w14:paraId="19096355">
            <w:pPr>
              <w:jc w:val="center"/>
              <w:rPr>
                <w:color w:val="auto"/>
                <w:szCs w:val="21"/>
              </w:rPr>
            </w:pPr>
            <w:r>
              <w:rPr>
                <w:rFonts w:hint="eastAsia"/>
                <w:color w:val="auto"/>
                <w:szCs w:val="21"/>
                <w:lang w:val="en-US" w:eastAsia="zh-CN"/>
              </w:rPr>
              <w:t>≤0.001</w:t>
            </w:r>
          </w:p>
        </w:tc>
      </w:tr>
      <w:tr w14:paraId="0D5E985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4A019634">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4A0715D4">
            <w:pPr>
              <w:spacing w:before="31" w:beforeLines="10" w:line="264" w:lineRule="auto"/>
              <w:jc w:val="center"/>
              <w:rPr>
                <w:color w:val="auto"/>
                <w:szCs w:val="21"/>
              </w:rPr>
            </w:pPr>
            <w:r>
              <w:rPr>
                <w:rFonts w:hint="eastAsia"/>
                <w:color w:val="auto"/>
                <w:szCs w:val="21"/>
                <w:lang w:val="en-US" w:eastAsia="zh-CN"/>
              </w:rPr>
              <w:t>是否达标</w:t>
            </w:r>
          </w:p>
        </w:tc>
        <w:tc>
          <w:tcPr>
            <w:tcW w:w="320" w:type="pct"/>
            <w:tcBorders>
              <w:tl2br w:val="nil"/>
              <w:tr2bl w:val="nil"/>
            </w:tcBorders>
            <w:shd w:val="clear" w:color="auto" w:fill="auto"/>
            <w:noWrap/>
            <w:vAlign w:val="center"/>
          </w:tcPr>
          <w:p w14:paraId="6DEDB60F">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03C715CA">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0E68AF6E">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1AA8AEA7">
            <w:pPr>
              <w:jc w:val="center"/>
              <w:rPr>
                <w:color w:val="auto"/>
                <w:szCs w:val="21"/>
              </w:rPr>
            </w:pPr>
            <w:r>
              <w:rPr>
                <w:rFonts w:hint="eastAsia"/>
                <w:color w:val="auto"/>
                <w:szCs w:val="21"/>
                <w:lang w:val="en-US" w:eastAsia="zh-CN"/>
              </w:rPr>
              <w:t>达标</w:t>
            </w:r>
          </w:p>
        </w:tc>
        <w:tc>
          <w:tcPr>
            <w:tcW w:w="383" w:type="pct"/>
            <w:tcBorders>
              <w:tl2br w:val="nil"/>
              <w:tr2bl w:val="nil"/>
            </w:tcBorders>
            <w:shd w:val="clear" w:color="auto" w:fill="auto"/>
            <w:noWrap/>
            <w:vAlign w:val="center"/>
          </w:tcPr>
          <w:p w14:paraId="542F30AE">
            <w:pPr>
              <w:jc w:val="center"/>
              <w:rPr>
                <w:color w:val="auto"/>
                <w:szCs w:val="21"/>
              </w:rPr>
            </w:pPr>
            <w:r>
              <w:rPr>
                <w:rFonts w:hint="eastAsia"/>
                <w:color w:val="auto"/>
                <w:szCs w:val="21"/>
                <w:lang w:val="en-US" w:eastAsia="zh-CN"/>
              </w:rPr>
              <w:t>达标</w:t>
            </w:r>
          </w:p>
        </w:tc>
        <w:tc>
          <w:tcPr>
            <w:tcW w:w="395" w:type="pct"/>
            <w:tcBorders>
              <w:tl2br w:val="nil"/>
              <w:tr2bl w:val="nil"/>
            </w:tcBorders>
            <w:shd w:val="clear" w:color="auto" w:fill="auto"/>
            <w:noWrap/>
            <w:vAlign w:val="center"/>
          </w:tcPr>
          <w:p w14:paraId="068B583C">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5714224E">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555873F3">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7F574D8B">
            <w:pPr>
              <w:jc w:val="center"/>
              <w:rPr>
                <w:color w:val="auto"/>
                <w:szCs w:val="21"/>
              </w:rPr>
            </w:pPr>
            <w:r>
              <w:rPr>
                <w:rFonts w:hint="eastAsia"/>
                <w:color w:val="auto"/>
                <w:szCs w:val="21"/>
                <w:lang w:val="en-US" w:eastAsia="zh-CN"/>
              </w:rPr>
              <w:t>达标</w:t>
            </w:r>
          </w:p>
        </w:tc>
        <w:tc>
          <w:tcPr>
            <w:tcW w:w="420" w:type="pct"/>
            <w:tcBorders>
              <w:tl2br w:val="nil"/>
              <w:tr2bl w:val="nil"/>
            </w:tcBorders>
            <w:shd w:val="clear" w:color="auto" w:fill="auto"/>
            <w:noWrap/>
            <w:vAlign w:val="center"/>
          </w:tcPr>
          <w:p w14:paraId="1532D314">
            <w:pPr>
              <w:jc w:val="center"/>
              <w:rPr>
                <w:color w:val="auto"/>
                <w:szCs w:val="21"/>
              </w:rPr>
            </w:pPr>
            <w:r>
              <w:rPr>
                <w:rFonts w:hint="eastAsia"/>
                <w:color w:val="auto"/>
                <w:szCs w:val="21"/>
                <w:lang w:val="en-US" w:eastAsia="zh-CN"/>
              </w:rPr>
              <w:t>达标</w:t>
            </w:r>
          </w:p>
        </w:tc>
      </w:tr>
      <w:tr w14:paraId="6BBC7162">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000" w:type="pct"/>
            <w:gridSpan w:val="13"/>
            <w:tcBorders>
              <w:tl2br w:val="nil"/>
              <w:tr2bl w:val="nil"/>
            </w:tcBorders>
            <w:shd w:val="clear" w:color="auto" w:fill="auto"/>
            <w:noWrap w:val="0"/>
            <w:vAlign w:val="center"/>
          </w:tcPr>
          <w:p w14:paraId="6B0CFF3B">
            <w:pPr>
              <w:spacing w:before="31" w:beforeLines="10" w:line="264" w:lineRule="auto"/>
              <w:rPr>
                <w:color w:val="auto"/>
                <w:szCs w:val="21"/>
              </w:rPr>
            </w:pPr>
            <w:r>
              <w:rPr>
                <w:color w:val="auto"/>
                <w:szCs w:val="21"/>
              </w:rPr>
              <w:t>备注：ND表示未检出。</w:t>
            </w:r>
          </w:p>
        </w:tc>
      </w:tr>
    </w:tbl>
    <w:p w14:paraId="2AB1C8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p>
    <w:p w14:paraId="48B80E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r>
        <w:rPr>
          <w:rFonts w:hint="eastAsia"/>
          <w:b w:val="0"/>
          <w:bCs w:val="0"/>
          <w:color w:val="auto"/>
          <w:sz w:val="24"/>
          <w:szCs w:val="32"/>
          <w:lang w:val="en-US" w:eastAsia="zh-CN"/>
        </w:rPr>
        <w:t>根据上述水质监测与评价结果可知，环评阶段各监测点位的监测指标均达到《地下水质量标准》（GB14848-93）中Ⅲ类标准，表明区域地下水环境质量较好。</w:t>
      </w:r>
    </w:p>
    <w:p w14:paraId="28CCFD3E">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b/>
          <w:bCs/>
          <w:color w:val="auto"/>
          <w:sz w:val="24"/>
          <w:szCs w:val="32"/>
        </w:rPr>
      </w:pPr>
      <w:r>
        <w:rPr>
          <w:rFonts w:hint="eastAsia"/>
          <w:b/>
          <w:bCs/>
          <w:color w:val="auto"/>
          <w:sz w:val="24"/>
          <w:szCs w:val="32"/>
          <w:lang w:val="en-US" w:eastAsia="zh-CN"/>
        </w:rPr>
        <w:t>2.3.1.4 环评阶段声环境质量监测情况</w:t>
      </w:r>
      <w:bookmarkEnd w:id="264"/>
      <w:bookmarkEnd w:id="265"/>
      <w:bookmarkEnd w:id="266"/>
    </w:p>
    <w:p w14:paraId="3D576BB3">
      <w:pPr>
        <w:spacing w:line="360" w:lineRule="auto"/>
        <w:ind w:firstLine="480" w:firstLineChars="200"/>
        <w:rPr>
          <w:color w:val="auto"/>
          <w:sz w:val="24"/>
          <w:szCs w:val="32"/>
        </w:rPr>
      </w:pPr>
      <w:r>
        <w:rPr>
          <w:color w:val="auto"/>
          <w:sz w:val="24"/>
          <w:szCs w:val="32"/>
        </w:rPr>
        <w:t>环评阶段声环境监测布点在厂界</w:t>
      </w:r>
      <w:r>
        <w:rPr>
          <w:rFonts w:hint="eastAsia"/>
          <w:color w:val="auto"/>
          <w:sz w:val="24"/>
          <w:szCs w:val="32"/>
          <w:lang w:val="en-US" w:eastAsia="zh-CN"/>
        </w:rPr>
        <w:t>四周</w:t>
      </w:r>
      <w:r>
        <w:rPr>
          <w:color w:val="auto"/>
          <w:sz w:val="24"/>
          <w:szCs w:val="32"/>
        </w:rPr>
        <w:t>布设</w:t>
      </w:r>
      <w:r>
        <w:rPr>
          <w:rFonts w:hint="eastAsia"/>
          <w:color w:val="auto"/>
          <w:sz w:val="24"/>
          <w:szCs w:val="32"/>
          <w:lang w:val="en-US" w:eastAsia="zh-CN"/>
        </w:rPr>
        <w:t>4</w:t>
      </w:r>
      <w:r>
        <w:rPr>
          <w:color w:val="auto"/>
          <w:sz w:val="24"/>
          <w:szCs w:val="32"/>
        </w:rPr>
        <w:t>个监测点，监测时间为201</w:t>
      </w:r>
      <w:r>
        <w:rPr>
          <w:rFonts w:hint="eastAsia"/>
          <w:color w:val="auto"/>
          <w:sz w:val="24"/>
          <w:szCs w:val="32"/>
          <w:lang w:val="en-US" w:eastAsia="zh-CN"/>
        </w:rPr>
        <w:t>4</w:t>
      </w:r>
      <w:r>
        <w:rPr>
          <w:color w:val="auto"/>
          <w:sz w:val="24"/>
          <w:szCs w:val="32"/>
        </w:rPr>
        <w:t>年</w:t>
      </w:r>
      <w:r>
        <w:rPr>
          <w:rFonts w:hint="eastAsia"/>
          <w:color w:val="auto"/>
          <w:sz w:val="24"/>
          <w:szCs w:val="32"/>
          <w:lang w:val="en-US" w:eastAsia="zh-CN"/>
        </w:rPr>
        <w:t>7</w:t>
      </w:r>
      <w:r>
        <w:rPr>
          <w:color w:val="auto"/>
          <w:sz w:val="24"/>
          <w:szCs w:val="32"/>
        </w:rPr>
        <w:t>月</w:t>
      </w:r>
      <w:r>
        <w:rPr>
          <w:rFonts w:hint="eastAsia"/>
          <w:color w:val="auto"/>
          <w:sz w:val="24"/>
          <w:szCs w:val="32"/>
          <w:lang w:val="en-US" w:eastAsia="zh-CN"/>
        </w:rPr>
        <w:t>8</w:t>
      </w:r>
      <w:r>
        <w:rPr>
          <w:color w:val="auto"/>
          <w:sz w:val="24"/>
          <w:szCs w:val="32"/>
        </w:rPr>
        <w:t>日，监测结果汇总见下表：</w:t>
      </w:r>
    </w:p>
    <w:p w14:paraId="2F33491E">
      <w:pPr>
        <w:spacing w:line="360" w:lineRule="auto"/>
        <w:jc w:val="center"/>
        <w:rPr>
          <w:b/>
          <w:bCs/>
          <w:color w:val="auto"/>
          <w:sz w:val="24"/>
          <w:szCs w:val="32"/>
        </w:rPr>
      </w:pPr>
      <w:r>
        <w:rPr>
          <w:b/>
          <w:bCs/>
          <w:color w:val="auto"/>
          <w:sz w:val="24"/>
          <w:szCs w:val="32"/>
        </w:rPr>
        <w:t>表2-</w:t>
      </w:r>
      <w:r>
        <w:rPr>
          <w:rFonts w:hint="eastAsia"/>
          <w:b/>
          <w:bCs/>
          <w:color w:val="auto"/>
          <w:sz w:val="24"/>
          <w:szCs w:val="32"/>
          <w:lang w:val="en-US" w:eastAsia="zh-CN"/>
        </w:rPr>
        <w:t>17</w:t>
      </w:r>
      <w:r>
        <w:rPr>
          <w:b/>
          <w:bCs/>
          <w:color w:val="auto"/>
          <w:sz w:val="24"/>
          <w:szCs w:val="32"/>
        </w:rPr>
        <w:t xml:space="preserve"> 噪声监测结果汇总表</w:t>
      </w:r>
    </w:p>
    <w:tbl>
      <w:tblPr>
        <w:tblStyle w:val="31"/>
        <w:tblW w:w="4998" w:type="pct"/>
        <w:jc w:val="right"/>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165"/>
        <w:gridCol w:w="4603"/>
        <w:gridCol w:w="2303"/>
        <w:gridCol w:w="1701"/>
      </w:tblGrid>
      <w:tr w14:paraId="7A5EA3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blHeader/>
          <w:jc w:val="right"/>
        </w:trPr>
        <w:tc>
          <w:tcPr>
            <w:tcW w:w="596" w:type="pct"/>
            <w:vMerge w:val="restart"/>
            <w:tcBorders>
              <w:tl2br w:val="nil"/>
              <w:tr2bl w:val="nil"/>
            </w:tcBorders>
            <w:noWrap/>
            <w:vAlign w:val="center"/>
          </w:tcPr>
          <w:p w14:paraId="0E75DAD6">
            <w:pPr>
              <w:widowControl/>
              <w:snapToGrid w:val="0"/>
              <w:jc w:val="center"/>
              <w:textAlignment w:val="center"/>
              <w:rPr>
                <w:b/>
                <w:color w:val="auto"/>
                <w:szCs w:val="21"/>
              </w:rPr>
            </w:pPr>
            <w:r>
              <w:rPr>
                <w:b/>
                <w:color w:val="auto"/>
                <w:kern w:val="0"/>
                <w:szCs w:val="21"/>
                <w:lang w:bidi="ar"/>
              </w:rPr>
              <w:t>序号</w:t>
            </w:r>
          </w:p>
        </w:tc>
        <w:tc>
          <w:tcPr>
            <w:tcW w:w="2354" w:type="pct"/>
            <w:vMerge w:val="restart"/>
            <w:tcBorders>
              <w:tl2br w:val="nil"/>
              <w:tr2bl w:val="nil"/>
            </w:tcBorders>
            <w:noWrap/>
            <w:vAlign w:val="center"/>
          </w:tcPr>
          <w:p w14:paraId="3101F5CD">
            <w:pPr>
              <w:widowControl/>
              <w:snapToGrid w:val="0"/>
              <w:jc w:val="center"/>
              <w:textAlignment w:val="center"/>
              <w:rPr>
                <w:b/>
                <w:color w:val="auto"/>
                <w:szCs w:val="21"/>
              </w:rPr>
            </w:pPr>
            <w:r>
              <w:rPr>
                <w:b/>
                <w:color w:val="auto"/>
                <w:kern w:val="0"/>
                <w:szCs w:val="21"/>
                <w:lang w:bidi="ar"/>
              </w:rPr>
              <w:t>检测点位</w:t>
            </w:r>
          </w:p>
        </w:tc>
        <w:tc>
          <w:tcPr>
            <w:tcW w:w="2048" w:type="pct"/>
            <w:gridSpan w:val="2"/>
            <w:tcBorders>
              <w:tl2br w:val="nil"/>
              <w:tr2bl w:val="nil"/>
            </w:tcBorders>
            <w:noWrap/>
            <w:vAlign w:val="center"/>
          </w:tcPr>
          <w:p w14:paraId="5ABAFF26">
            <w:pPr>
              <w:widowControl/>
              <w:snapToGrid w:val="0"/>
              <w:jc w:val="center"/>
              <w:textAlignment w:val="center"/>
              <w:rPr>
                <w:b/>
                <w:color w:val="auto"/>
                <w:szCs w:val="21"/>
              </w:rPr>
            </w:pPr>
            <w:r>
              <w:rPr>
                <w:b/>
                <w:color w:val="auto"/>
                <w:kern w:val="0"/>
                <w:szCs w:val="21"/>
                <w:lang w:bidi="ar"/>
              </w:rPr>
              <w:t>201</w:t>
            </w:r>
            <w:r>
              <w:rPr>
                <w:rFonts w:hint="eastAsia"/>
                <w:b/>
                <w:color w:val="auto"/>
                <w:kern w:val="0"/>
                <w:szCs w:val="21"/>
                <w:lang w:val="en-US" w:eastAsia="zh-CN" w:bidi="ar"/>
              </w:rPr>
              <w:t>4</w:t>
            </w:r>
            <w:r>
              <w:rPr>
                <w:b/>
                <w:color w:val="auto"/>
                <w:kern w:val="0"/>
                <w:szCs w:val="21"/>
                <w:lang w:bidi="ar"/>
              </w:rPr>
              <w:t>年</w:t>
            </w:r>
            <w:r>
              <w:rPr>
                <w:rFonts w:hint="eastAsia"/>
                <w:b/>
                <w:color w:val="auto"/>
                <w:kern w:val="0"/>
                <w:szCs w:val="21"/>
                <w:lang w:val="en-US" w:eastAsia="zh-CN" w:bidi="ar"/>
              </w:rPr>
              <w:t>7</w:t>
            </w:r>
            <w:r>
              <w:rPr>
                <w:b/>
                <w:color w:val="auto"/>
                <w:kern w:val="0"/>
                <w:szCs w:val="21"/>
                <w:lang w:bidi="ar"/>
              </w:rPr>
              <w:t>月</w:t>
            </w:r>
            <w:r>
              <w:rPr>
                <w:rFonts w:hint="eastAsia"/>
                <w:b/>
                <w:color w:val="auto"/>
                <w:kern w:val="0"/>
                <w:szCs w:val="21"/>
                <w:lang w:val="en-US" w:eastAsia="zh-CN" w:bidi="ar"/>
              </w:rPr>
              <w:t>8</w:t>
            </w:r>
            <w:r>
              <w:rPr>
                <w:b/>
                <w:color w:val="auto"/>
                <w:kern w:val="0"/>
                <w:szCs w:val="21"/>
                <w:lang w:bidi="ar"/>
              </w:rPr>
              <w:t>日</w:t>
            </w:r>
          </w:p>
        </w:tc>
      </w:tr>
      <w:tr w14:paraId="4D5759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blHeader/>
          <w:jc w:val="right"/>
        </w:trPr>
        <w:tc>
          <w:tcPr>
            <w:tcW w:w="596" w:type="pct"/>
            <w:vMerge w:val="continue"/>
            <w:tcBorders>
              <w:tl2br w:val="nil"/>
              <w:tr2bl w:val="nil"/>
            </w:tcBorders>
            <w:noWrap/>
            <w:vAlign w:val="center"/>
          </w:tcPr>
          <w:p w14:paraId="14A82322">
            <w:pPr>
              <w:widowControl/>
              <w:snapToGrid w:val="0"/>
              <w:jc w:val="center"/>
              <w:rPr>
                <w:b/>
                <w:color w:val="auto"/>
                <w:szCs w:val="21"/>
              </w:rPr>
            </w:pPr>
          </w:p>
        </w:tc>
        <w:tc>
          <w:tcPr>
            <w:tcW w:w="2354" w:type="pct"/>
            <w:vMerge w:val="continue"/>
            <w:tcBorders>
              <w:tl2br w:val="nil"/>
              <w:tr2bl w:val="nil"/>
            </w:tcBorders>
            <w:noWrap/>
            <w:vAlign w:val="center"/>
          </w:tcPr>
          <w:p w14:paraId="47D28AAC">
            <w:pPr>
              <w:widowControl/>
              <w:snapToGrid w:val="0"/>
              <w:jc w:val="center"/>
              <w:rPr>
                <w:b/>
                <w:color w:val="auto"/>
                <w:szCs w:val="21"/>
              </w:rPr>
            </w:pPr>
          </w:p>
        </w:tc>
        <w:tc>
          <w:tcPr>
            <w:tcW w:w="1178" w:type="pct"/>
            <w:tcBorders>
              <w:tl2br w:val="nil"/>
              <w:tr2bl w:val="nil"/>
            </w:tcBorders>
            <w:noWrap/>
            <w:vAlign w:val="center"/>
          </w:tcPr>
          <w:p w14:paraId="4E4A8CB7">
            <w:pPr>
              <w:widowControl/>
              <w:snapToGrid w:val="0"/>
              <w:jc w:val="center"/>
              <w:textAlignment w:val="center"/>
              <w:rPr>
                <w:b/>
                <w:color w:val="auto"/>
                <w:szCs w:val="21"/>
              </w:rPr>
            </w:pPr>
            <w:r>
              <w:rPr>
                <w:b/>
                <w:color w:val="auto"/>
                <w:kern w:val="0"/>
                <w:szCs w:val="21"/>
                <w:lang w:bidi="ar"/>
              </w:rPr>
              <w:t>昼间Leq</w:t>
            </w:r>
          </w:p>
        </w:tc>
        <w:tc>
          <w:tcPr>
            <w:tcW w:w="870" w:type="pct"/>
            <w:tcBorders>
              <w:tl2br w:val="nil"/>
              <w:tr2bl w:val="nil"/>
            </w:tcBorders>
            <w:noWrap/>
            <w:vAlign w:val="center"/>
          </w:tcPr>
          <w:p w14:paraId="470810AA">
            <w:pPr>
              <w:widowControl/>
              <w:snapToGrid w:val="0"/>
              <w:jc w:val="center"/>
              <w:textAlignment w:val="center"/>
              <w:rPr>
                <w:b/>
                <w:color w:val="auto"/>
                <w:szCs w:val="21"/>
              </w:rPr>
            </w:pPr>
            <w:r>
              <w:rPr>
                <w:b/>
                <w:color w:val="auto"/>
                <w:kern w:val="0"/>
                <w:szCs w:val="21"/>
                <w:lang w:bidi="ar"/>
              </w:rPr>
              <w:t>夜间Leq</w:t>
            </w:r>
          </w:p>
        </w:tc>
      </w:tr>
      <w:tr w14:paraId="65CEDA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34A1A0B4">
            <w:pPr>
              <w:widowControl/>
              <w:snapToGrid w:val="0"/>
              <w:jc w:val="center"/>
              <w:textAlignment w:val="center"/>
              <w:rPr>
                <w:color w:val="auto"/>
                <w:szCs w:val="21"/>
              </w:rPr>
            </w:pPr>
            <w:r>
              <w:rPr>
                <w:color w:val="auto"/>
                <w:kern w:val="0"/>
                <w:szCs w:val="21"/>
                <w:lang w:bidi="ar"/>
              </w:rPr>
              <w:t>NI</w:t>
            </w:r>
          </w:p>
        </w:tc>
        <w:tc>
          <w:tcPr>
            <w:tcW w:w="2354" w:type="pct"/>
            <w:tcBorders>
              <w:tl2br w:val="nil"/>
              <w:tr2bl w:val="nil"/>
            </w:tcBorders>
            <w:noWrap/>
            <w:vAlign w:val="center"/>
          </w:tcPr>
          <w:p w14:paraId="074ED5DD">
            <w:pPr>
              <w:widowControl/>
              <w:snapToGrid w:val="0"/>
              <w:jc w:val="center"/>
              <w:textAlignment w:val="center"/>
              <w:rPr>
                <w:color w:val="auto"/>
                <w:szCs w:val="21"/>
              </w:rPr>
            </w:pPr>
            <w:r>
              <w:rPr>
                <w:color w:val="auto"/>
                <w:kern w:val="0"/>
                <w:szCs w:val="21"/>
                <w:lang w:bidi="ar"/>
              </w:rPr>
              <w:t>项目东侧厂界外1m</w:t>
            </w:r>
          </w:p>
        </w:tc>
        <w:tc>
          <w:tcPr>
            <w:tcW w:w="1178" w:type="pct"/>
            <w:tcBorders>
              <w:tl2br w:val="nil"/>
              <w:tr2bl w:val="nil"/>
            </w:tcBorders>
            <w:noWrap/>
            <w:vAlign w:val="center"/>
          </w:tcPr>
          <w:p w14:paraId="7E29F089">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50.3</w:t>
            </w:r>
          </w:p>
        </w:tc>
        <w:tc>
          <w:tcPr>
            <w:tcW w:w="870" w:type="pct"/>
            <w:tcBorders>
              <w:tl2br w:val="nil"/>
              <w:tr2bl w:val="nil"/>
            </w:tcBorders>
            <w:noWrap/>
            <w:vAlign w:val="center"/>
          </w:tcPr>
          <w:p w14:paraId="0E1C3FCE">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39.7</w:t>
            </w:r>
          </w:p>
        </w:tc>
      </w:tr>
      <w:tr w14:paraId="6F9B35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0874ACD3">
            <w:pPr>
              <w:widowControl/>
              <w:snapToGrid w:val="0"/>
              <w:jc w:val="center"/>
              <w:textAlignment w:val="center"/>
              <w:rPr>
                <w:color w:val="auto"/>
                <w:szCs w:val="21"/>
              </w:rPr>
            </w:pPr>
            <w:r>
              <w:rPr>
                <w:color w:val="auto"/>
                <w:kern w:val="0"/>
                <w:szCs w:val="21"/>
                <w:lang w:bidi="ar"/>
              </w:rPr>
              <w:t>N2</w:t>
            </w:r>
          </w:p>
        </w:tc>
        <w:tc>
          <w:tcPr>
            <w:tcW w:w="2354" w:type="pct"/>
            <w:tcBorders>
              <w:tl2br w:val="nil"/>
              <w:tr2bl w:val="nil"/>
            </w:tcBorders>
            <w:noWrap/>
            <w:vAlign w:val="center"/>
          </w:tcPr>
          <w:p w14:paraId="3E96746B">
            <w:pPr>
              <w:widowControl/>
              <w:snapToGrid w:val="0"/>
              <w:jc w:val="center"/>
              <w:textAlignment w:val="center"/>
              <w:rPr>
                <w:color w:val="auto"/>
                <w:szCs w:val="21"/>
              </w:rPr>
            </w:pPr>
            <w:r>
              <w:rPr>
                <w:color w:val="auto"/>
                <w:kern w:val="0"/>
                <w:szCs w:val="21"/>
                <w:lang w:bidi="ar"/>
              </w:rPr>
              <w:t>项目南侧厂界外1m</w:t>
            </w:r>
          </w:p>
        </w:tc>
        <w:tc>
          <w:tcPr>
            <w:tcW w:w="1178" w:type="pct"/>
            <w:tcBorders>
              <w:tl2br w:val="nil"/>
              <w:tr2bl w:val="nil"/>
            </w:tcBorders>
            <w:noWrap/>
            <w:vAlign w:val="center"/>
          </w:tcPr>
          <w:p w14:paraId="0B280333">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51.2</w:t>
            </w:r>
          </w:p>
        </w:tc>
        <w:tc>
          <w:tcPr>
            <w:tcW w:w="870" w:type="pct"/>
            <w:tcBorders>
              <w:tl2br w:val="nil"/>
              <w:tr2bl w:val="nil"/>
            </w:tcBorders>
            <w:noWrap/>
            <w:vAlign w:val="center"/>
          </w:tcPr>
          <w:p w14:paraId="59092F66">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41.7</w:t>
            </w:r>
          </w:p>
        </w:tc>
      </w:tr>
      <w:tr w14:paraId="3CCC8D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07D9266C">
            <w:pPr>
              <w:widowControl/>
              <w:snapToGrid w:val="0"/>
              <w:jc w:val="center"/>
              <w:textAlignment w:val="center"/>
              <w:rPr>
                <w:color w:val="auto"/>
                <w:szCs w:val="21"/>
              </w:rPr>
            </w:pPr>
            <w:r>
              <w:rPr>
                <w:color w:val="auto"/>
                <w:kern w:val="0"/>
                <w:szCs w:val="21"/>
                <w:lang w:bidi="ar"/>
              </w:rPr>
              <w:t>N3</w:t>
            </w:r>
          </w:p>
        </w:tc>
        <w:tc>
          <w:tcPr>
            <w:tcW w:w="2354" w:type="pct"/>
            <w:tcBorders>
              <w:tl2br w:val="nil"/>
              <w:tr2bl w:val="nil"/>
            </w:tcBorders>
            <w:noWrap/>
            <w:vAlign w:val="center"/>
          </w:tcPr>
          <w:p w14:paraId="1D525C0F">
            <w:pPr>
              <w:widowControl/>
              <w:snapToGrid w:val="0"/>
              <w:jc w:val="center"/>
              <w:textAlignment w:val="center"/>
              <w:rPr>
                <w:color w:val="auto"/>
                <w:szCs w:val="21"/>
              </w:rPr>
            </w:pPr>
            <w:r>
              <w:rPr>
                <w:color w:val="auto"/>
                <w:kern w:val="0"/>
                <w:szCs w:val="21"/>
                <w:lang w:bidi="ar"/>
              </w:rPr>
              <w:t>项目西侧厂界外1m</w:t>
            </w:r>
          </w:p>
        </w:tc>
        <w:tc>
          <w:tcPr>
            <w:tcW w:w="1178" w:type="pct"/>
            <w:tcBorders>
              <w:tl2br w:val="nil"/>
              <w:tr2bl w:val="nil"/>
            </w:tcBorders>
            <w:noWrap/>
            <w:vAlign w:val="center"/>
          </w:tcPr>
          <w:p w14:paraId="4E8404F5">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50.6</w:t>
            </w:r>
          </w:p>
        </w:tc>
        <w:tc>
          <w:tcPr>
            <w:tcW w:w="870" w:type="pct"/>
            <w:tcBorders>
              <w:tl2br w:val="nil"/>
              <w:tr2bl w:val="nil"/>
            </w:tcBorders>
            <w:noWrap/>
            <w:vAlign w:val="center"/>
          </w:tcPr>
          <w:p w14:paraId="21992F4A">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39.6</w:t>
            </w:r>
          </w:p>
        </w:tc>
      </w:tr>
      <w:tr w14:paraId="6466EE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0EF2C315">
            <w:pPr>
              <w:widowControl/>
              <w:snapToGrid w:val="0"/>
              <w:jc w:val="center"/>
              <w:textAlignment w:val="center"/>
              <w:rPr>
                <w:color w:val="auto"/>
                <w:szCs w:val="21"/>
              </w:rPr>
            </w:pPr>
            <w:r>
              <w:rPr>
                <w:color w:val="auto"/>
                <w:kern w:val="0"/>
                <w:szCs w:val="21"/>
                <w:lang w:bidi="ar"/>
              </w:rPr>
              <w:t>N4</w:t>
            </w:r>
          </w:p>
        </w:tc>
        <w:tc>
          <w:tcPr>
            <w:tcW w:w="2354" w:type="pct"/>
            <w:tcBorders>
              <w:tl2br w:val="nil"/>
              <w:tr2bl w:val="nil"/>
            </w:tcBorders>
            <w:noWrap/>
            <w:vAlign w:val="center"/>
          </w:tcPr>
          <w:p w14:paraId="4DA4A586">
            <w:pPr>
              <w:widowControl/>
              <w:snapToGrid w:val="0"/>
              <w:jc w:val="center"/>
              <w:textAlignment w:val="center"/>
              <w:rPr>
                <w:color w:val="auto"/>
                <w:szCs w:val="21"/>
              </w:rPr>
            </w:pPr>
            <w:r>
              <w:rPr>
                <w:color w:val="auto"/>
                <w:kern w:val="0"/>
                <w:szCs w:val="21"/>
                <w:lang w:bidi="ar"/>
              </w:rPr>
              <w:t>项目北侧厂界外1m</w:t>
            </w:r>
          </w:p>
        </w:tc>
        <w:tc>
          <w:tcPr>
            <w:tcW w:w="1178" w:type="pct"/>
            <w:tcBorders>
              <w:tl2br w:val="nil"/>
              <w:tr2bl w:val="nil"/>
            </w:tcBorders>
            <w:noWrap/>
            <w:vAlign w:val="center"/>
          </w:tcPr>
          <w:p w14:paraId="78E5C215">
            <w:pPr>
              <w:widowControl/>
              <w:snapToGrid w:val="0"/>
              <w:jc w:val="center"/>
              <w:textAlignment w:val="center"/>
              <w:rPr>
                <w:rFonts w:hint="eastAsia" w:eastAsia="宋体"/>
                <w:color w:val="auto"/>
                <w:szCs w:val="21"/>
                <w:lang w:val="en-US" w:eastAsia="zh-CN"/>
              </w:rPr>
            </w:pPr>
            <w:r>
              <w:rPr>
                <w:color w:val="auto"/>
                <w:kern w:val="0"/>
                <w:szCs w:val="21"/>
                <w:lang w:bidi="ar"/>
              </w:rPr>
              <w:t>52.</w:t>
            </w:r>
            <w:r>
              <w:rPr>
                <w:rFonts w:hint="eastAsia"/>
                <w:color w:val="auto"/>
                <w:kern w:val="0"/>
                <w:szCs w:val="21"/>
                <w:lang w:val="en-US" w:eastAsia="zh-CN" w:bidi="ar"/>
              </w:rPr>
              <w:t>0</w:t>
            </w:r>
          </w:p>
        </w:tc>
        <w:tc>
          <w:tcPr>
            <w:tcW w:w="870" w:type="pct"/>
            <w:tcBorders>
              <w:tl2br w:val="nil"/>
              <w:tr2bl w:val="nil"/>
            </w:tcBorders>
            <w:noWrap/>
            <w:vAlign w:val="center"/>
          </w:tcPr>
          <w:p w14:paraId="3D11966B">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38.4</w:t>
            </w:r>
          </w:p>
        </w:tc>
      </w:tr>
    </w:tbl>
    <w:p w14:paraId="4E45832F">
      <w:pPr>
        <w:spacing w:line="360" w:lineRule="auto"/>
        <w:ind w:firstLine="480" w:firstLineChars="200"/>
        <w:rPr>
          <w:color w:val="auto"/>
          <w:sz w:val="24"/>
          <w:szCs w:val="32"/>
        </w:rPr>
      </w:pPr>
    </w:p>
    <w:p w14:paraId="5B9F6F38">
      <w:pPr>
        <w:spacing w:line="360" w:lineRule="auto"/>
        <w:ind w:firstLine="480" w:firstLineChars="200"/>
        <w:rPr>
          <w:color w:val="auto"/>
          <w:sz w:val="24"/>
          <w:szCs w:val="32"/>
        </w:rPr>
      </w:pPr>
      <w:r>
        <w:rPr>
          <w:color w:val="auto"/>
          <w:sz w:val="24"/>
          <w:szCs w:val="32"/>
        </w:rPr>
        <w:t>由上表可知，厂界昼夜噪声值满足《声环境质量标准》（GB3096-2008）中的</w:t>
      </w:r>
      <w:r>
        <w:rPr>
          <w:rFonts w:hint="eastAsia"/>
          <w:color w:val="auto"/>
          <w:sz w:val="24"/>
          <w:szCs w:val="32"/>
          <w:lang w:val="en-US" w:eastAsia="zh-CN"/>
        </w:rPr>
        <w:t>2</w:t>
      </w:r>
      <w:r>
        <w:rPr>
          <w:color w:val="auto"/>
          <w:sz w:val="24"/>
          <w:szCs w:val="32"/>
        </w:rPr>
        <w:t>类标准，表明项目区声环境质量良好，符合声环境相应功能区要求。</w:t>
      </w:r>
    </w:p>
    <w:p w14:paraId="2825671E">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default"/>
          <w:b/>
          <w:bCs/>
          <w:color w:val="auto"/>
          <w:sz w:val="24"/>
          <w:szCs w:val="32"/>
          <w:lang w:val="en-US"/>
        </w:rPr>
      </w:pPr>
      <w:bookmarkStart w:id="268" w:name="_Toc22927"/>
      <w:bookmarkStart w:id="269" w:name="_Toc2866"/>
      <w:r>
        <w:rPr>
          <w:rFonts w:hint="eastAsia"/>
          <w:b/>
          <w:bCs/>
          <w:color w:val="auto"/>
          <w:sz w:val="24"/>
          <w:szCs w:val="32"/>
          <w:lang w:val="en-US" w:eastAsia="zh-CN"/>
        </w:rPr>
        <w:t>2.3.1.5 环评阶段土壤环境质量监测情况</w:t>
      </w:r>
    </w:p>
    <w:p w14:paraId="44C3FC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1</w:t>
      </w:r>
      <w:r>
        <w:rPr>
          <w:rFonts w:hint="eastAsia"/>
          <w:b w:val="0"/>
          <w:bCs w:val="0"/>
          <w:color w:val="auto"/>
          <w:sz w:val="24"/>
          <w:szCs w:val="32"/>
          <w:lang w:eastAsia="zh-CN"/>
        </w:rPr>
        <w:t>）</w:t>
      </w:r>
      <w:r>
        <w:rPr>
          <w:rFonts w:hint="eastAsia"/>
          <w:b w:val="0"/>
          <w:bCs w:val="0"/>
          <w:color w:val="auto"/>
          <w:sz w:val="24"/>
          <w:szCs w:val="32"/>
          <w:lang w:val="en-US" w:eastAsia="zh-CN"/>
        </w:rPr>
        <w:t>监测项目及监测点位</w:t>
      </w:r>
    </w:p>
    <w:p w14:paraId="08E23F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val="en-US" w:eastAsia="zh-CN"/>
        </w:rPr>
      </w:pPr>
      <w:r>
        <w:rPr>
          <w:rFonts w:hint="eastAsia"/>
          <w:b w:val="0"/>
          <w:bCs w:val="0"/>
          <w:color w:val="auto"/>
          <w:sz w:val="24"/>
          <w:szCs w:val="32"/>
          <w:lang w:val="en-US" w:eastAsia="zh-CN"/>
        </w:rPr>
        <w:t>环评阶段</w:t>
      </w:r>
      <w:r>
        <w:rPr>
          <w:color w:val="auto"/>
          <w:sz w:val="24"/>
        </w:rPr>
        <w:t>pH、镉、铅、铬、砷、汞、二噁英</w:t>
      </w:r>
      <w:r>
        <w:rPr>
          <w:rFonts w:hint="eastAsia"/>
          <w:color w:val="auto"/>
          <w:sz w:val="24"/>
          <w:lang w:val="en-US" w:eastAsia="zh-CN"/>
        </w:rPr>
        <w:t>类等</w:t>
      </w:r>
      <w:r>
        <w:rPr>
          <w:rFonts w:hint="eastAsia"/>
          <w:b w:val="0"/>
          <w:bCs w:val="0"/>
          <w:color w:val="auto"/>
          <w:sz w:val="24"/>
          <w:szCs w:val="32"/>
          <w:lang w:val="en-US" w:eastAsia="zh-CN"/>
        </w:rPr>
        <w:t>指标，作为土壤环境质量现状监测项目，监测时间为2014年7月9日，具体监测点位见下表。</w:t>
      </w:r>
    </w:p>
    <w:p w14:paraId="25E5205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rPr>
          <w:rFonts w:hint="default"/>
          <w:b/>
          <w:bCs/>
          <w:color w:val="auto"/>
          <w:sz w:val="24"/>
          <w:szCs w:val="32"/>
          <w:lang w:val="en-US" w:eastAsia="zh-CN"/>
        </w:rPr>
      </w:pPr>
      <w:r>
        <w:rPr>
          <w:rFonts w:hint="eastAsia"/>
          <w:b/>
          <w:bCs/>
          <w:color w:val="auto"/>
          <w:sz w:val="24"/>
          <w:szCs w:val="32"/>
          <w:lang w:val="en-US" w:eastAsia="zh-CN"/>
        </w:rPr>
        <w:t>表2-18 土壤环境现状监测点位布设一览表</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553"/>
        <w:gridCol w:w="2853"/>
        <w:gridCol w:w="2530"/>
        <w:gridCol w:w="3022"/>
      </w:tblGrid>
      <w:tr w14:paraId="74DC5D5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0F8788C5">
            <w:pPr>
              <w:spacing w:before="31" w:beforeLines="10" w:line="264" w:lineRule="auto"/>
              <w:jc w:val="center"/>
              <w:rPr>
                <w:b/>
                <w:color w:val="auto"/>
              </w:rPr>
            </w:pPr>
            <w:r>
              <w:rPr>
                <w:b/>
                <w:color w:val="auto"/>
              </w:rPr>
              <w:t>序号</w:t>
            </w:r>
          </w:p>
        </w:tc>
        <w:tc>
          <w:tcPr>
            <w:tcW w:w="1432" w:type="pct"/>
            <w:tcBorders>
              <w:tl2br w:val="nil"/>
              <w:tr2bl w:val="nil"/>
            </w:tcBorders>
            <w:shd w:val="clear" w:color="auto" w:fill="auto"/>
            <w:noWrap w:val="0"/>
            <w:vAlign w:val="center"/>
          </w:tcPr>
          <w:p w14:paraId="4CE6BE02">
            <w:pPr>
              <w:spacing w:before="31" w:beforeLines="10" w:line="288" w:lineRule="auto"/>
              <w:jc w:val="center"/>
              <w:rPr>
                <w:b/>
                <w:color w:val="auto"/>
              </w:rPr>
            </w:pPr>
            <w:r>
              <w:rPr>
                <w:b/>
                <w:color w:val="auto"/>
              </w:rPr>
              <w:t>监测点位</w:t>
            </w:r>
          </w:p>
        </w:tc>
        <w:tc>
          <w:tcPr>
            <w:tcW w:w="1270" w:type="pct"/>
            <w:tcBorders>
              <w:tl2br w:val="nil"/>
              <w:tr2bl w:val="nil"/>
            </w:tcBorders>
            <w:shd w:val="clear" w:color="auto" w:fill="auto"/>
            <w:noWrap w:val="0"/>
            <w:vAlign w:val="center"/>
          </w:tcPr>
          <w:p w14:paraId="0C69DA9D">
            <w:pPr>
              <w:spacing w:before="31" w:beforeLines="10" w:line="264" w:lineRule="auto"/>
              <w:jc w:val="center"/>
              <w:rPr>
                <w:b/>
                <w:color w:val="auto"/>
              </w:rPr>
            </w:pPr>
            <w:r>
              <w:rPr>
                <w:b/>
                <w:color w:val="auto"/>
              </w:rPr>
              <w:t>方位</w:t>
            </w:r>
          </w:p>
        </w:tc>
        <w:tc>
          <w:tcPr>
            <w:tcW w:w="1517" w:type="pct"/>
            <w:tcBorders>
              <w:tl2br w:val="nil"/>
              <w:tr2bl w:val="nil"/>
            </w:tcBorders>
            <w:shd w:val="clear" w:color="auto" w:fill="auto"/>
            <w:noWrap w:val="0"/>
            <w:vAlign w:val="center"/>
          </w:tcPr>
          <w:p w14:paraId="6276D188">
            <w:pPr>
              <w:spacing w:before="31" w:beforeLines="10" w:line="264" w:lineRule="auto"/>
              <w:jc w:val="center"/>
              <w:rPr>
                <w:b/>
                <w:color w:val="auto"/>
                <w:szCs w:val="21"/>
              </w:rPr>
            </w:pPr>
            <w:r>
              <w:rPr>
                <w:b/>
                <w:color w:val="auto"/>
              </w:rPr>
              <w:t>相对厂址距离</w:t>
            </w:r>
          </w:p>
        </w:tc>
      </w:tr>
      <w:tr w14:paraId="127BECD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5E2ECAE8">
            <w:pPr>
              <w:spacing w:before="31" w:beforeLines="10" w:line="264" w:lineRule="auto"/>
              <w:jc w:val="center"/>
              <w:rPr>
                <w:color w:val="auto"/>
              </w:rPr>
            </w:pPr>
            <w:r>
              <w:rPr>
                <w:color w:val="auto"/>
              </w:rPr>
              <w:t>1</w:t>
            </w:r>
          </w:p>
        </w:tc>
        <w:tc>
          <w:tcPr>
            <w:tcW w:w="1432" w:type="pct"/>
            <w:tcBorders>
              <w:tl2br w:val="nil"/>
              <w:tr2bl w:val="nil"/>
            </w:tcBorders>
            <w:shd w:val="clear" w:color="auto" w:fill="auto"/>
            <w:noWrap w:val="0"/>
            <w:vAlign w:val="center"/>
          </w:tcPr>
          <w:p w14:paraId="2B5D20A8">
            <w:pPr>
              <w:spacing w:before="31" w:beforeLines="10" w:line="288" w:lineRule="auto"/>
              <w:jc w:val="center"/>
              <w:rPr>
                <w:color w:val="auto"/>
              </w:rPr>
            </w:pPr>
            <w:r>
              <w:rPr>
                <w:color w:val="auto"/>
              </w:rPr>
              <w:t>G1星河花园小区</w:t>
            </w:r>
          </w:p>
        </w:tc>
        <w:tc>
          <w:tcPr>
            <w:tcW w:w="1270" w:type="pct"/>
            <w:tcBorders>
              <w:tl2br w:val="nil"/>
              <w:tr2bl w:val="nil"/>
            </w:tcBorders>
            <w:shd w:val="clear" w:color="auto" w:fill="auto"/>
            <w:noWrap w:val="0"/>
            <w:vAlign w:val="center"/>
          </w:tcPr>
          <w:p w14:paraId="26A9EB8B">
            <w:pPr>
              <w:jc w:val="center"/>
              <w:rPr>
                <w:color w:val="auto"/>
                <w:szCs w:val="21"/>
              </w:rPr>
            </w:pPr>
            <w:r>
              <w:rPr>
                <w:color w:val="auto"/>
                <w:szCs w:val="21"/>
              </w:rPr>
              <w:t>NNE</w:t>
            </w:r>
          </w:p>
        </w:tc>
        <w:tc>
          <w:tcPr>
            <w:tcW w:w="1517" w:type="pct"/>
            <w:tcBorders>
              <w:tl2br w:val="nil"/>
              <w:tr2bl w:val="nil"/>
            </w:tcBorders>
            <w:shd w:val="clear" w:color="auto" w:fill="auto"/>
            <w:noWrap w:val="0"/>
            <w:vAlign w:val="center"/>
          </w:tcPr>
          <w:p w14:paraId="6E69C69F">
            <w:pPr>
              <w:adjustRightInd w:val="0"/>
              <w:snapToGrid w:val="0"/>
              <w:jc w:val="center"/>
              <w:rPr>
                <w:color w:val="auto"/>
                <w:szCs w:val="21"/>
              </w:rPr>
            </w:pPr>
            <w:r>
              <w:rPr>
                <w:color w:val="auto"/>
                <w:szCs w:val="21"/>
              </w:rPr>
              <w:t>1200m</w:t>
            </w:r>
          </w:p>
        </w:tc>
      </w:tr>
      <w:tr w14:paraId="7646243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548CE0B9">
            <w:pPr>
              <w:spacing w:before="31" w:beforeLines="10" w:line="264" w:lineRule="auto"/>
              <w:jc w:val="center"/>
              <w:rPr>
                <w:color w:val="auto"/>
              </w:rPr>
            </w:pPr>
            <w:r>
              <w:rPr>
                <w:color w:val="auto"/>
              </w:rPr>
              <w:t>2</w:t>
            </w:r>
          </w:p>
        </w:tc>
        <w:tc>
          <w:tcPr>
            <w:tcW w:w="1432" w:type="pct"/>
            <w:tcBorders>
              <w:tl2br w:val="nil"/>
              <w:tr2bl w:val="nil"/>
            </w:tcBorders>
            <w:shd w:val="clear" w:color="auto" w:fill="auto"/>
            <w:noWrap w:val="0"/>
            <w:vAlign w:val="center"/>
          </w:tcPr>
          <w:p w14:paraId="06BD24F6">
            <w:pPr>
              <w:spacing w:before="31" w:beforeLines="10" w:line="288" w:lineRule="auto"/>
              <w:jc w:val="center"/>
              <w:rPr>
                <w:color w:val="auto"/>
              </w:rPr>
            </w:pPr>
            <w:r>
              <w:rPr>
                <w:color w:val="auto"/>
              </w:rPr>
              <w:t>G2</w:t>
            </w:r>
            <w:r>
              <w:rPr>
                <w:color w:val="auto"/>
                <w:szCs w:val="21"/>
              </w:rPr>
              <w:t>项目地</w:t>
            </w:r>
          </w:p>
        </w:tc>
        <w:tc>
          <w:tcPr>
            <w:tcW w:w="1270" w:type="pct"/>
            <w:tcBorders>
              <w:tl2br w:val="nil"/>
              <w:tr2bl w:val="nil"/>
            </w:tcBorders>
            <w:shd w:val="clear" w:color="auto" w:fill="auto"/>
            <w:noWrap w:val="0"/>
            <w:vAlign w:val="center"/>
          </w:tcPr>
          <w:p w14:paraId="3ADBA476">
            <w:pPr>
              <w:jc w:val="center"/>
              <w:rPr>
                <w:color w:val="auto"/>
                <w:szCs w:val="21"/>
              </w:rPr>
            </w:pPr>
            <w:r>
              <w:rPr>
                <w:color w:val="auto"/>
                <w:szCs w:val="21"/>
              </w:rPr>
              <w:t>/</w:t>
            </w:r>
          </w:p>
        </w:tc>
        <w:tc>
          <w:tcPr>
            <w:tcW w:w="1517" w:type="pct"/>
            <w:tcBorders>
              <w:tl2br w:val="nil"/>
              <w:tr2bl w:val="nil"/>
            </w:tcBorders>
            <w:shd w:val="clear" w:color="auto" w:fill="auto"/>
            <w:noWrap w:val="0"/>
            <w:vAlign w:val="center"/>
          </w:tcPr>
          <w:p w14:paraId="5D283E10">
            <w:pPr>
              <w:adjustRightInd w:val="0"/>
              <w:snapToGrid w:val="0"/>
              <w:jc w:val="center"/>
              <w:rPr>
                <w:color w:val="auto"/>
                <w:szCs w:val="21"/>
              </w:rPr>
            </w:pPr>
            <w:r>
              <w:rPr>
                <w:color w:val="auto"/>
                <w:szCs w:val="21"/>
              </w:rPr>
              <w:t>/</w:t>
            </w:r>
          </w:p>
        </w:tc>
      </w:tr>
      <w:tr w14:paraId="720AD48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157ABFFA">
            <w:pPr>
              <w:spacing w:before="31" w:beforeLines="10" w:line="264" w:lineRule="auto"/>
              <w:jc w:val="center"/>
              <w:rPr>
                <w:color w:val="auto"/>
              </w:rPr>
            </w:pPr>
            <w:r>
              <w:rPr>
                <w:color w:val="auto"/>
              </w:rPr>
              <w:t>3</w:t>
            </w:r>
          </w:p>
        </w:tc>
        <w:tc>
          <w:tcPr>
            <w:tcW w:w="1432" w:type="pct"/>
            <w:tcBorders>
              <w:tl2br w:val="nil"/>
              <w:tr2bl w:val="nil"/>
            </w:tcBorders>
            <w:shd w:val="clear" w:color="auto" w:fill="auto"/>
            <w:noWrap w:val="0"/>
            <w:vAlign w:val="center"/>
          </w:tcPr>
          <w:p w14:paraId="18AED7C8">
            <w:pPr>
              <w:spacing w:before="31" w:beforeLines="10" w:line="288" w:lineRule="auto"/>
              <w:jc w:val="center"/>
              <w:rPr>
                <w:color w:val="auto"/>
              </w:rPr>
            </w:pPr>
            <w:r>
              <w:rPr>
                <w:color w:val="auto"/>
              </w:rPr>
              <w:t>G4</w:t>
            </w:r>
            <w:r>
              <w:rPr>
                <w:color w:val="auto"/>
                <w:szCs w:val="21"/>
              </w:rPr>
              <w:t>公租房区</w:t>
            </w:r>
          </w:p>
        </w:tc>
        <w:tc>
          <w:tcPr>
            <w:tcW w:w="1270" w:type="pct"/>
            <w:tcBorders>
              <w:tl2br w:val="nil"/>
              <w:tr2bl w:val="nil"/>
            </w:tcBorders>
            <w:shd w:val="clear" w:color="auto" w:fill="auto"/>
            <w:noWrap w:val="0"/>
            <w:vAlign w:val="center"/>
          </w:tcPr>
          <w:p w14:paraId="7C2F785D">
            <w:pPr>
              <w:adjustRightInd w:val="0"/>
              <w:snapToGrid w:val="0"/>
              <w:jc w:val="center"/>
              <w:rPr>
                <w:color w:val="auto"/>
                <w:szCs w:val="21"/>
              </w:rPr>
            </w:pPr>
            <w:r>
              <w:rPr>
                <w:color w:val="auto"/>
                <w:szCs w:val="21"/>
              </w:rPr>
              <w:t>E</w:t>
            </w:r>
          </w:p>
        </w:tc>
        <w:tc>
          <w:tcPr>
            <w:tcW w:w="1517" w:type="pct"/>
            <w:tcBorders>
              <w:tl2br w:val="nil"/>
              <w:tr2bl w:val="nil"/>
            </w:tcBorders>
            <w:shd w:val="clear" w:color="auto" w:fill="auto"/>
            <w:noWrap w:val="0"/>
            <w:vAlign w:val="center"/>
          </w:tcPr>
          <w:p w14:paraId="39BD2732">
            <w:pPr>
              <w:adjustRightInd w:val="0"/>
              <w:snapToGrid w:val="0"/>
              <w:jc w:val="center"/>
              <w:rPr>
                <w:color w:val="auto"/>
                <w:szCs w:val="21"/>
              </w:rPr>
            </w:pPr>
            <w:r>
              <w:rPr>
                <w:color w:val="auto"/>
                <w:szCs w:val="21"/>
              </w:rPr>
              <w:t>1300m</w:t>
            </w:r>
          </w:p>
        </w:tc>
      </w:tr>
      <w:tr w14:paraId="61821E4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656DB182">
            <w:pPr>
              <w:spacing w:before="31" w:beforeLines="10" w:line="264" w:lineRule="auto"/>
              <w:jc w:val="center"/>
              <w:rPr>
                <w:color w:val="auto"/>
              </w:rPr>
            </w:pPr>
            <w:r>
              <w:rPr>
                <w:color w:val="auto"/>
              </w:rPr>
              <w:t>4</w:t>
            </w:r>
          </w:p>
        </w:tc>
        <w:tc>
          <w:tcPr>
            <w:tcW w:w="1432" w:type="pct"/>
            <w:tcBorders>
              <w:tl2br w:val="nil"/>
              <w:tr2bl w:val="nil"/>
            </w:tcBorders>
            <w:shd w:val="clear" w:color="auto" w:fill="auto"/>
            <w:noWrap w:val="0"/>
            <w:vAlign w:val="center"/>
          </w:tcPr>
          <w:p w14:paraId="7C43B617">
            <w:pPr>
              <w:spacing w:before="31" w:beforeLines="10" w:line="288" w:lineRule="auto"/>
              <w:jc w:val="center"/>
              <w:rPr>
                <w:color w:val="auto"/>
              </w:rPr>
            </w:pPr>
            <w:r>
              <w:rPr>
                <w:color w:val="auto"/>
              </w:rPr>
              <w:t>G5</w:t>
            </w:r>
            <w:r>
              <w:rPr>
                <w:color w:val="auto"/>
                <w:szCs w:val="21"/>
              </w:rPr>
              <w:t>赵楼村</w:t>
            </w:r>
          </w:p>
        </w:tc>
        <w:tc>
          <w:tcPr>
            <w:tcW w:w="1270" w:type="pct"/>
            <w:tcBorders>
              <w:tl2br w:val="nil"/>
              <w:tr2bl w:val="nil"/>
            </w:tcBorders>
            <w:shd w:val="clear" w:color="auto" w:fill="auto"/>
            <w:noWrap w:val="0"/>
            <w:vAlign w:val="center"/>
          </w:tcPr>
          <w:p w14:paraId="7CB3AD1B">
            <w:pPr>
              <w:adjustRightInd w:val="0"/>
              <w:snapToGrid w:val="0"/>
              <w:jc w:val="center"/>
              <w:rPr>
                <w:color w:val="auto"/>
                <w:szCs w:val="21"/>
              </w:rPr>
            </w:pPr>
            <w:r>
              <w:rPr>
                <w:color w:val="auto"/>
                <w:szCs w:val="21"/>
              </w:rPr>
              <w:t>W</w:t>
            </w:r>
          </w:p>
        </w:tc>
        <w:tc>
          <w:tcPr>
            <w:tcW w:w="1517" w:type="pct"/>
            <w:tcBorders>
              <w:tl2br w:val="nil"/>
              <w:tr2bl w:val="nil"/>
            </w:tcBorders>
            <w:shd w:val="clear" w:color="auto" w:fill="auto"/>
            <w:noWrap w:val="0"/>
            <w:vAlign w:val="center"/>
          </w:tcPr>
          <w:p w14:paraId="73A537F6">
            <w:pPr>
              <w:adjustRightInd w:val="0"/>
              <w:snapToGrid w:val="0"/>
              <w:jc w:val="center"/>
              <w:rPr>
                <w:color w:val="auto"/>
                <w:szCs w:val="21"/>
              </w:rPr>
            </w:pPr>
            <w:r>
              <w:rPr>
                <w:color w:val="auto"/>
                <w:szCs w:val="21"/>
              </w:rPr>
              <w:t>910m</w:t>
            </w:r>
          </w:p>
        </w:tc>
      </w:tr>
    </w:tbl>
    <w:p w14:paraId="2E2F112D">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eastAsia"/>
          <w:b w:val="0"/>
          <w:bCs w:val="0"/>
          <w:color w:val="auto"/>
          <w:sz w:val="24"/>
          <w:szCs w:val="32"/>
          <w:lang w:eastAsia="zh-CN"/>
        </w:rPr>
      </w:pPr>
    </w:p>
    <w:p w14:paraId="367B60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3</w:t>
      </w:r>
      <w:r>
        <w:rPr>
          <w:rFonts w:hint="eastAsia"/>
          <w:b w:val="0"/>
          <w:bCs w:val="0"/>
          <w:color w:val="auto"/>
          <w:sz w:val="24"/>
          <w:szCs w:val="32"/>
          <w:lang w:eastAsia="zh-CN"/>
        </w:rPr>
        <w:t>）</w:t>
      </w:r>
      <w:r>
        <w:rPr>
          <w:rFonts w:hint="eastAsia"/>
          <w:b w:val="0"/>
          <w:bCs w:val="0"/>
          <w:color w:val="auto"/>
          <w:sz w:val="24"/>
          <w:szCs w:val="32"/>
          <w:lang w:val="en-US" w:eastAsia="zh-CN"/>
        </w:rPr>
        <w:t>评价标准</w:t>
      </w:r>
    </w:p>
    <w:p w14:paraId="52935E22">
      <w:pPr>
        <w:adjustRightInd w:val="0"/>
        <w:snapToGrid w:val="0"/>
        <w:spacing w:line="360" w:lineRule="auto"/>
        <w:ind w:firstLine="480" w:firstLineChars="200"/>
        <w:rPr>
          <w:b w:val="0"/>
          <w:bCs w:val="0"/>
          <w:color w:val="auto"/>
          <w:sz w:val="24"/>
        </w:rPr>
      </w:pPr>
      <w:r>
        <w:rPr>
          <w:b w:val="0"/>
          <w:bCs w:val="0"/>
          <w:color w:val="auto"/>
          <w:sz w:val="24"/>
        </w:rPr>
        <w:t>环评阶段项目所在区域土壤执行《土壤环境质量标准》（GB15618-1995）中二级标准，具体限值详见下表：</w:t>
      </w:r>
    </w:p>
    <w:p w14:paraId="42D6D24D">
      <w:pPr>
        <w:adjustRightInd w:val="0"/>
        <w:snapToGrid w:val="0"/>
        <w:spacing w:line="360" w:lineRule="auto"/>
        <w:jc w:val="center"/>
        <w:rPr>
          <w:b/>
          <w:bCs/>
          <w:color w:val="auto"/>
          <w:sz w:val="24"/>
        </w:rPr>
      </w:pPr>
      <w:r>
        <w:rPr>
          <w:b/>
          <w:bCs/>
          <w:color w:val="auto"/>
          <w:sz w:val="24"/>
        </w:rPr>
        <w:t>表</w:t>
      </w:r>
      <w:r>
        <w:rPr>
          <w:rFonts w:hint="eastAsia"/>
          <w:b/>
          <w:bCs/>
          <w:color w:val="auto"/>
          <w:sz w:val="24"/>
          <w:lang w:val="en-US" w:eastAsia="zh-CN"/>
        </w:rPr>
        <w:t>2-19</w:t>
      </w:r>
      <w:r>
        <w:rPr>
          <w:b/>
          <w:bCs/>
          <w:color w:val="auto"/>
          <w:sz w:val="24"/>
        </w:rPr>
        <w:t xml:space="preserve"> 土壤环境质量标准</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182"/>
        <w:gridCol w:w="856"/>
        <w:gridCol w:w="738"/>
        <w:gridCol w:w="1484"/>
        <w:gridCol w:w="1334"/>
        <w:gridCol w:w="672"/>
        <w:gridCol w:w="672"/>
        <w:gridCol w:w="1460"/>
        <w:gridCol w:w="784"/>
        <w:gridCol w:w="780"/>
      </w:tblGrid>
      <w:tr w14:paraId="7017264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593" w:type="pct"/>
            <w:tcBorders>
              <w:tl2br w:val="nil"/>
              <w:tr2bl w:val="nil"/>
            </w:tcBorders>
            <w:shd w:val="clear" w:color="auto" w:fill="auto"/>
            <w:noWrap w:val="0"/>
            <w:vAlign w:val="center"/>
          </w:tcPr>
          <w:p w14:paraId="3F5EFF59">
            <w:pPr>
              <w:spacing w:before="31" w:beforeLines="10" w:line="264" w:lineRule="auto"/>
              <w:jc w:val="center"/>
              <w:rPr>
                <w:b/>
                <w:color w:val="auto"/>
                <w:szCs w:val="21"/>
              </w:rPr>
            </w:pPr>
            <w:r>
              <w:rPr>
                <w:b/>
                <w:color w:val="auto"/>
                <w:szCs w:val="21"/>
              </w:rPr>
              <w:t>项目</w:t>
            </w:r>
          </w:p>
        </w:tc>
        <w:tc>
          <w:tcPr>
            <w:tcW w:w="429" w:type="pct"/>
            <w:tcBorders>
              <w:tl2br w:val="nil"/>
              <w:tr2bl w:val="nil"/>
            </w:tcBorders>
            <w:shd w:val="clear" w:color="auto" w:fill="auto"/>
            <w:noWrap w:val="0"/>
            <w:vAlign w:val="center"/>
          </w:tcPr>
          <w:p w14:paraId="3391E8BD">
            <w:pPr>
              <w:spacing w:before="31" w:beforeLines="10" w:line="264" w:lineRule="auto"/>
              <w:jc w:val="center"/>
              <w:rPr>
                <w:b/>
                <w:color w:val="auto"/>
                <w:szCs w:val="21"/>
              </w:rPr>
            </w:pPr>
            <w:r>
              <w:rPr>
                <w:b/>
                <w:color w:val="auto"/>
                <w:szCs w:val="21"/>
              </w:rPr>
              <w:t>pH</w:t>
            </w:r>
          </w:p>
        </w:tc>
        <w:tc>
          <w:tcPr>
            <w:tcW w:w="370" w:type="pct"/>
            <w:tcBorders>
              <w:tl2br w:val="nil"/>
              <w:tr2bl w:val="nil"/>
            </w:tcBorders>
            <w:shd w:val="clear" w:color="auto" w:fill="auto"/>
            <w:noWrap w:val="0"/>
            <w:vAlign w:val="center"/>
          </w:tcPr>
          <w:p w14:paraId="55BBA006">
            <w:pPr>
              <w:spacing w:before="31" w:beforeLines="10" w:line="264" w:lineRule="auto"/>
              <w:jc w:val="center"/>
              <w:rPr>
                <w:b/>
                <w:color w:val="auto"/>
                <w:szCs w:val="21"/>
              </w:rPr>
            </w:pPr>
            <w:r>
              <w:rPr>
                <w:b/>
                <w:color w:val="auto"/>
                <w:szCs w:val="21"/>
              </w:rPr>
              <w:t>镉</w:t>
            </w:r>
          </w:p>
        </w:tc>
        <w:tc>
          <w:tcPr>
            <w:tcW w:w="744" w:type="pct"/>
            <w:tcBorders>
              <w:tl2br w:val="nil"/>
              <w:tr2bl w:val="nil"/>
            </w:tcBorders>
            <w:shd w:val="clear" w:color="auto" w:fill="auto"/>
            <w:noWrap w:val="0"/>
            <w:vAlign w:val="center"/>
          </w:tcPr>
          <w:p w14:paraId="668B0AAD">
            <w:pPr>
              <w:spacing w:before="31" w:beforeLines="10" w:line="264" w:lineRule="auto"/>
              <w:jc w:val="center"/>
              <w:rPr>
                <w:b/>
                <w:color w:val="auto"/>
                <w:szCs w:val="21"/>
              </w:rPr>
            </w:pPr>
            <w:r>
              <w:rPr>
                <w:b/>
                <w:color w:val="auto"/>
                <w:szCs w:val="21"/>
              </w:rPr>
              <w:t>铬</w:t>
            </w:r>
          </w:p>
        </w:tc>
        <w:tc>
          <w:tcPr>
            <w:tcW w:w="669" w:type="pct"/>
            <w:tcBorders>
              <w:tl2br w:val="nil"/>
              <w:tr2bl w:val="nil"/>
            </w:tcBorders>
            <w:shd w:val="clear" w:color="auto" w:fill="auto"/>
            <w:noWrap w:val="0"/>
            <w:vAlign w:val="center"/>
          </w:tcPr>
          <w:p w14:paraId="32FC289E">
            <w:pPr>
              <w:spacing w:before="31" w:beforeLines="10" w:line="264" w:lineRule="auto"/>
              <w:jc w:val="center"/>
              <w:rPr>
                <w:b/>
                <w:color w:val="auto"/>
                <w:szCs w:val="21"/>
              </w:rPr>
            </w:pPr>
            <w:r>
              <w:rPr>
                <w:b/>
                <w:color w:val="auto"/>
                <w:szCs w:val="21"/>
              </w:rPr>
              <w:t>砷</w:t>
            </w:r>
          </w:p>
        </w:tc>
        <w:tc>
          <w:tcPr>
            <w:tcW w:w="337" w:type="pct"/>
            <w:tcBorders>
              <w:tl2br w:val="nil"/>
              <w:tr2bl w:val="nil"/>
            </w:tcBorders>
            <w:shd w:val="clear" w:color="auto" w:fill="auto"/>
            <w:noWrap w:val="0"/>
            <w:vAlign w:val="center"/>
          </w:tcPr>
          <w:p w14:paraId="30968805">
            <w:pPr>
              <w:spacing w:before="31" w:beforeLines="10" w:line="264" w:lineRule="auto"/>
              <w:jc w:val="center"/>
              <w:rPr>
                <w:b/>
                <w:color w:val="auto"/>
                <w:szCs w:val="21"/>
              </w:rPr>
            </w:pPr>
            <w:r>
              <w:rPr>
                <w:b/>
                <w:color w:val="auto"/>
                <w:szCs w:val="21"/>
              </w:rPr>
              <w:t>汞</w:t>
            </w:r>
          </w:p>
        </w:tc>
        <w:tc>
          <w:tcPr>
            <w:tcW w:w="337" w:type="pct"/>
            <w:tcBorders>
              <w:tl2br w:val="nil"/>
              <w:tr2bl w:val="nil"/>
            </w:tcBorders>
            <w:shd w:val="clear" w:color="auto" w:fill="auto"/>
            <w:noWrap w:val="0"/>
            <w:vAlign w:val="center"/>
          </w:tcPr>
          <w:p w14:paraId="714B65B1">
            <w:pPr>
              <w:spacing w:before="31" w:beforeLines="10" w:line="264" w:lineRule="auto"/>
              <w:jc w:val="center"/>
              <w:rPr>
                <w:b/>
                <w:color w:val="auto"/>
                <w:szCs w:val="21"/>
              </w:rPr>
            </w:pPr>
            <w:r>
              <w:rPr>
                <w:b/>
                <w:color w:val="auto"/>
                <w:szCs w:val="21"/>
              </w:rPr>
              <w:t>铅</w:t>
            </w:r>
          </w:p>
        </w:tc>
        <w:tc>
          <w:tcPr>
            <w:tcW w:w="732" w:type="pct"/>
            <w:tcBorders>
              <w:tl2br w:val="nil"/>
              <w:tr2bl w:val="nil"/>
            </w:tcBorders>
            <w:shd w:val="clear" w:color="auto" w:fill="auto"/>
            <w:noWrap w:val="0"/>
            <w:vAlign w:val="center"/>
          </w:tcPr>
          <w:p w14:paraId="40D9FA6E">
            <w:pPr>
              <w:spacing w:before="31" w:beforeLines="10" w:line="264" w:lineRule="auto"/>
              <w:jc w:val="center"/>
              <w:rPr>
                <w:b/>
                <w:color w:val="auto"/>
                <w:szCs w:val="21"/>
              </w:rPr>
            </w:pPr>
            <w:r>
              <w:rPr>
                <w:b/>
                <w:color w:val="auto"/>
                <w:szCs w:val="21"/>
              </w:rPr>
              <w:t>铜</w:t>
            </w:r>
          </w:p>
        </w:tc>
        <w:tc>
          <w:tcPr>
            <w:tcW w:w="393" w:type="pct"/>
            <w:tcBorders>
              <w:tl2br w:val="nil"/>
              <w:tr2bl w:val="nil"/>
            </w:tcBorders>
            <w:shd w:val="clear" w:color="auto" w:fill="auto"/>
            <w:noWrap w:val="0"/>
            <w:vAlign w:val="center"/>
          </w:tcPr>
          <w:p w14:paraId="38458430">
            <w:pPr>
              <w:jc w:val="center"/>
              <w:rPr>
                <w:b/>
                <w:color w:val="auto"/>
                <w:szCs w:val="21"/>
              </w:rPr>
            </w:pPr>
            <w:r>
              <w:rPr>
                <w:b/>
                <w:color w:val="auto"/>
                <w:szCs w:val="21"/>
              </w:rPr>
              <w:t>锌</w:t>
            </w:r>
          </w:p>
        </w:tc>
        <w:tc>
          <w:tcPr>
            <w:tcW w:w="391" w:type="pct"/>
            <w:tcBorders>
              <w:tl2br w:val="nil"/>
              <w:tr2bl w:val="nil"/>
            </w:tcBorders>
            <w:shd w:val="clear" w:color="auto" w:fill="auto"/>
            <w:noWrap w:val="0"/>
            <w:vAlign w:val="center"/>
          </w:tcPr>
          <w:p w14:paraId="0A6A9DD4">
            <w:pPr>
              <w:jc w:val="center"/>
              <w:rPr>
                <w:b/>
                <w:color w:val="auto"/>
                <w:szCs w:val="21"/>
              </w:rPr>
            </w:pPr>
            <w:r>
              <w:rPr>
                <w:b/>
                <w:color w:val="auto"/>
                <w:szCs w:val="21"/>
              </w:rPr>
              <w:t>镍</w:t>
            </w:r>
          </w:p>
        </w:tc>
      </w:tr>
      <w:tr w14:paraId="51F5F01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restart"/>
            <w:tcBorders>
              <w:tl2br w:val="nil"/>
              <w:tr2bl w:val="nil"/>
            </w:tcBorders>
            <w:shd w:val="clear" w:color="auto" w:fill="auto"/>
            <w:noWrap w:val="0"/>
            <w:vAlign w:val="center"/>
          </w:tcPr>
          <w:p w14:paraId="37DCF5EB">
            <w:pPr>
              <w:spacing w:before="31" w:beforeLines="10" w:line="264" w:lineRule="auto"/>
              <w:jc w:val="center"/>
              <w:rPr>
                <w:color w:val="auto"/>
                <w:szCs w:val="21"/>
              </w:rPr>
            </w:pPr>
            <w:r>
              <w:rPr>
                <w:color w:val="auto"/>
                <w:szCs w:val="21"/>
              </w:rPr>
              <w:t>GB15618</w:t>
            </w:r>
          </w:p>
          <w:p w14:paraId="06099F7E">
            <w:pPr>
              <w:spacing w:before="31" w:beforeLines="10" w:line="264" w:lineRule="auto"/>
              <w:jc w:val="center"/>
              <w:rPr>
                <w:color w:val="auto"/>
                <w:szCs w:val="21"/>
              </w:rPr>
            </w:pPr>
            <w:r>
              <w:rPr>
                <w:color w:val="auto"/>
                <w:szCs w:val="21"/>
              </w:rPr>
              <w:t>-1995中</w:t>
            </w:r>
          </w:p>
          <w:p w14:paraId="2FF1CE36">
            <w:pPr>
              <w:spacing w:before="31" w:beforeLines="10" w:line="264" w:lineRule="auto"/>
              <w:jc w:val="center"/>
              <w:rPr>
                <w:color w:val="auto"/>
                <w:szCs w:val="21"/>
              </w:rPr>
            </w:pPr>
            <w:r>
              <w:rPr>
                <w:color w:val="auto"/>
                <w:szCs w:val="21"/>
              </w:rPr>
              <w:t>二级标准</w:t>
            </w:r>
          </w:p>
        </w:tc>
        <w:tc>
          <w:tcPr>
            <w:tcW w:w="429" w:type="pct"/>
            <w:tcBorders>
              <w:tl2br w:val="nil"/>
              <w:tr2bl w:val="nil"/>
            </w:tcBorders>
            <w:shd w:val="clear" w:color="auto" w:fill="auto"/>
            <w:noWrap w:val="0"/>
            <w:vAlign w:val="center"/>
          </w:tcPr>
          <w:p w14:paraId="676231A5">
            <w:pPr>
              <w:spacing w:before="31" w:beforeLines="10" w:line="264" w:lineRule="auto"/>
              <w:jc w:val="center"/>
              <w:rPr>
                <w:color w:val="auto"/>
                <w:szCs w:val="21"/>
              </w:rPr>
            </w:pPr>
            <w:r>
              <w:rPr>
                <w:color w:val="auto"/>
                <w:szCs w:val="21"/>
              </w:rPr>
              <w:t>＜6.5</w:t>
            </w:r>
          </w:p>
        </w:tc>
        <w:tc>
          <w:tcPr>
            <w:tcW w:w="370" w:type="pct"/>
            <w:tcBorders>
              <w:tl2br w:val="nil"/>
              <w:tr2bl w:val="nil"/>
            </w:tcBorders>
            <w:shd w:val="clear" w:color="auto" w:fill="auto"/>
            <w:noWrap w:val="0"/>
            <w:vAlign w:val="center"/>
          </w:tcPr>
          <w:p w14:paraId="0D5AB95D">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3744C7D9">
            <w:pPr>
              <w:spacing w:before="31" w:beforeLines="10" w:line="264" w:lineRule="auto"/>
              <w:jc w:val="center"/>
              <w:rPr>
                <w:color w:val="auto"/>
                <w:szCs w:val="21"/>
              </w:rPr>
            </w:pPr>
            <w:r>
              <w:rPr>
                <w:color w:val="auto"/>
                <w:szCs w:val="21"/>
              </w:rPr>
              <w:t>150（旱地）</w:t>
            </w:r>
          </w:p>
          <w:p w14:paraId="0CBEAF86">
            <w:pPr>
              <w:spacing w:before="31" w:beforeLines="10" w:line="264" w:lineRule="auto"/>
              <w:jc w:val="center"/>
              <w:rPr>
                <w:color w:val="auto"/>
                <w:szCs w:val="21"/>
              </w:rPr>
            </w:pPr>
            <w:r>
              <w:rPr>
                <w:color w:val="auto"/>
                <w:szCs w:val="21"/>
              </w:rPr>
              <w:t>250（水田）</w:t>
            </w:r>
          </w:p>
        </w:tc>
        <w:tc>
          <w:tcPr>
            <w:tcW w:w="669" w:type="pct"/>
            <w:tcBorders>
              <w:tl2br w:val="nil"/>
              <w:tr2bl w:val="nil"/>
            </w:tcBorders>
            <w:shd w:val="clear" w:color="auto" w:fill="auto"/>
            <w:noWrap w:val="0"/>
            <w:vAlign w:val="center"/>
          </w:tcPr>
          <w:p w14:paraId="68B32A18">
            <w:pPr>
              <w:spacing w:before="31" w:beforeLines="10" w:line="264" w:lineRule="auto"/>
              <w:jc w:val="center"/>
              <w:rPr>
                <w:color w:val="auto"/>
                <w:szCs w:val="21"/>
              </w:rPr>
            </w:pPr>
            <w:r>
              <w:rPr>
                <w:color w:val="auto"/>
                <w:szCs w:val="21"/>
              </w:rPr>
              <w:t>40（旱地）</w:t>
            </w:r>
          </w:p>
          <w:p w14:paraId="342B5FC0">
            <w:pPr>
              <w:spacing w:before="31" w:beforeLines="10" w:line="264" w:lineRule="auto"/>
              <w:jc w:val="center"/>
              <w:rPr>
                <w:color w:val="auto"/>
                <w:szCs w:val="21"/>
              </w:rPr>
            </w:pPr>
            <w:r>
              <w:rPr>
                <w:color w:val="auto"/>
                <w:szCs w:val="21"/>
              </w:rPr>
              <w:t>30（水田）</w:t>
            </w:r>
          </w:p>
        </w:tc>
        <w:tc>
          <w:tcPr>
            <w:tcW w:w="337" w:type="pct"/>
            <w:tcBorders>
              <w:tl2br w:val="nil"/>
              <w:tr2bl w:val="nil"/>
            </w:tcBorders>
            <w:shd w:val="clear" w:color="auto" w:fill="auto"/>
            <w:noWrap w:val="0"/>
            <w:vAlign w:val="center"/>
          </w:tcPr>
          <w:p w14:paraId="6087FF3E">
            <w:pPr>
              <w:spacing w:before="31" w:beforeLines="10" w:line="264" w:lineRule="auto"/>
              <w:jc w:val="center"/>
              <w:rPr>
                <w:color w:val="auto"/>
                <w:szCs w:val="21"/>
              </w:rPr>
            </w:pPr>
            <w:r>
              <w:rPr>
                <w:color w:val="auto"/>
                <w:szCs w:val="21"/>
              </w:rPr>
              <w:t>0.30</w:t>
            </w:r>
          </w:p>
        </w:tc>
        <w:tc>
          <w:tcPr>
            <w:tcW w:w="337" w:type="pct"/>
            <w:tcBorders>
              <w:tl2br w:val="nil"/>
              <w:tr2bl w:val="nil"/>
            </w:tcBorders>
            <w:shd w:val="clear" w:color="auto" w:fill="auto"/>
            <w:noWrap w:val="0"/>
            <w:vAlign w:val="center"/>
          </w:tcPr>
          <w:p w14:paraId="1F588245">
            <w:pPr>
              <w:spacing w:before="31" w:beforeLines="10" w:line="264" w:lineRule="auto"/>
              <w:jc w:val="center"/>
              <w:rPr>
                <w:color w:val="auto"/>
                <w:szCs w:val="21"/>
              </w:rPr>
            </w:pPr>
            <w:r>
              <w:rPr>
                <w:color w:val="auto"/>
                <w:szCs w:val="21"/>
              </w:rPr>
              <w:t>250</w:t>
            </w:r>
          </w:p>
        </w:tc>
        <w:tc>
          <w:tcPr>
            <w:tcW w:w="732" w:type="pct"/>
            <w:tcBorders>
              <w:tl2br w:val="nil"/>
              <w:tr2bl w:val="nil"/>
            </w:tcBorders>
            <w:shd w:val="clear" w:color="auto" w:fill="auto"/>
            <w:noWrap w:val="0"/>
            <w:vAlign w:val="center"/>
          </w:tcPr>
          <w:p w14:paraId="2264FF41">
            <w:pPr>
              <w:spacing w:before="31" w:beforeLines="10" w:line="264" w:lineRule="auto"/>
              <w:jc w:val="center"/>
              <w:rPr>
                <w:color w:val="auto"/>
                <w:szCs w:val="21"/>
              </w:rPr>
            </w:pPr>
            <w:r>
              <w:rPr>
                <w:color w:val="auto"/>
                <w:szCs w:val="21"/>
              </w:rPr>
              <w:t>50（农田等）</w:t>
            </w:r>
          </w:p>
        </w:tc>
        <w:tc>
          <w:tcPr>
            <w:tcW w:w="393" w:type="pct"/>
            <w:tcBorders>
              <w:tl2br w:val="nil"/>
              <w:tr2bl w:val="nil"/>
            </w:tcBorders>
            <w:shd w:val="clear" w:color="auto" w:fill="auto"/>
            <w:noWrap w:val="0"/>
            <w:vAlign w:val="center"/>
          </w:tcPr>
          <w:p w14:paraId="1B1DC0BD">
            <w:pPr>
              <w:spacing w:before="31" w:beforeLines="10" w:line="264" w:lineRule="auto"/>
              <w:jc w:val="center"/>
              <w:rPr>
                <w:color w:val="auto"/>
                <w:szCs w:val="21"/>
              </w:rPr>
            </w:pPr>
            <w:r>
              <w:rPr>
                <w:color w:val="auto"/>
                <w:szCs w:val="21"/>
              </w:rPr>
              <w:t>200</w:t>
            </w:r>
          </w:p>
        </w:tc>
        <w:tc>
          <w:tcPr>
            <w:tcW w:w="391" w:type="pct"/>
            <w:tcBorders>
              <w:tl2br w:val="nil"/>
              <w:tr2bl w:val="nil"/>
            </w:tcBorders>
            <w:shd w:val="clear" w:color="auto" w:fill="auto"/>
            <w:noWrap w:val="0"/>
            <w:vAlign w:val="center"/>
          </w:tcPr>
          <w:p w14:paraId="2C09D91A">
            <w:pPr>
              <w:spacing w:before="31" w:beforeLines="10" w:line="264" w:lineRule="auto"/>
              <w:jc w:val="center"/>
              <w:rPr>
                <w:color w:val="auto"/>
                <w:szCs w:val="21"/>
              </w:rPr>
            </w:pPr>
            <w:r>
              <w:rPr>
                <w:color w:val="auto"/>
                <w:szCs w:val="21"/>
              </w:rPr>
              <w:t>40</w:t>
            </w:r>
          </w:p>
        </w:tc>
      </w:tr>
      <w:tr w14:paraId="6506C41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50902082">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656CF047">
            <w:pPr>
              <w:spacing w:before="31" w:beforeLines="10" w:line="264" w:lineRule="auto"/>
              <w:jc w:val="center"/>
              <w:rPr>
                <w:color w:val="auto"/>
                <w:szCs w:val="21"/>
              </w:rPr>
            </w:pPr>
            <w:r>
              <w:rPr>
                <w:color w:val="auto"/>
                <w:szCs w:val="21"/>
              </w:rPr>
              <w:t>6.5~7.5</w:t>
            </w:r>
          </w:p>
        </w:tc>
        <w:tc>
          <w:tcPr>
            <w:tcW w:w="370" w:type="pct"/>
            <w:tcBorders>
              <w:tl2br w:val="nil"/>
              <w:tr2bl w:val="nil"/>
            </w:tcBorders>
            <w:shd w:val="clear" w:color="auto" w:fill="auto"/>
            <w:noWrap w:val="0"/>
            <w:vAlign w:val="center"/>
          </w:tcPr>
          <w:p w14:paraId="7A9C415E">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677ABB1E">
            <w:pPr>
              <w:spacing w:before="31" w:beforeLines="10" w:line="264" w:lineRule="auto"/>
              <w:jc w:val="center"/>
              <w:rPr>
                <w:color w:val="auto"/>
                <w:szCs w:val="21"/>
              </w:rPr>
            </w:pPr>
            <w:r>
              <w:rPr>
                <w:color w:val="auto"/>
                <w:szCs w:val="21"/>
              </w:rPr>
              <w:t>200（旱地）</w:t>
            </w:r>
          </w:p>
          <w:p w14:paraId="69A857D6">
            <w:pPr>
              <w:spacing w:before="31" w:beforeLines="10" w:line="264" w:lineRule="auto"/>
              <w:jc w:val="center"/>
              <w:rPr>
                <w:color w:val="auto"/>
                <w:szCs w:val="21"/>
              </w:rPr>
            </w:pPr>
            <w:r>
              <w:rPr>
                <w:color w:val="auto"/>
                <w:szCs w:val="21"/>
              </w:rPr>
              <w:t>300（水田）</w:t>
            </w:r>
          </w:p>
        </w:tc>
        <w:tc>
          <w:tcPr>
            <w:tcW w:w="669" w:type="pct"/>
            <w:tcBorders>
              <w:tl2br w:val="nil"/>
              <w:tr2bl w:val="nil"/>
            </w:tcBorders>
            <w:shd w:val="clear" w:color="auto" w:fill="auto"/>
            <w:noWrap w:val="0"/>
            <w:vAlign w:val="center"/>
          </w:tcPr>
          <w:p w14:paraId="7EE5A7F6">
            <w:pPr>
              <w:spacing w:before="31" w:beforeLines="10" w:line="264" w:lineRule="auto"/>
              <w:jc w:val="center"/>
              <w:rPr>
                <w:color w:val="auto"/>
                <w:szCs w:val="21"/>
              </w:rPr>
            </w:pPr>
            <w:r>
              <w:rPr>
                <w:color w:val="auto"/>
                <w:szCs w:val="21"/>
              </w:rPr>
              <w:t>30（旱地）</w:t>
            </w:r>
          </w:p>
          <w:p w14:paraId="2FF0D2AF">
            <w:pPr>
              <w:spacing w:before="31" w:beforeLines="10" w:line="264" w:lineRule="auto"/>
              <w:jc w:val="center"/>
              <w:rPr>
                <w:color w:val="auto"/>
                <w:szCs w:val="21"/>
              </w:rPr>
            </w:pPr>
            <w:r>
              <w:rPr>
                <w:color w:val="auto"/>
                <w:szCs w:val="21"/>
              </w:rPr>
              <w:t>25（水田）</w:t>
            </w:r>
          </w:p>
        </w:tc>
        <w:tc>
          <w:tcPr>
            <w:tcW w:w="337" w:type="pct"/>
            <w:tcBorders>
              <w:tl2br w:val="nil"/>
              <w:tr2bl w:val="nil"/>
            </w:tcBorders>
            <w:shd w:val="clear" w:color="auto" w:fill="auto"/>
            <w:noWrap w:val="0"/>
            <w:vAlign w:val="center"/>
          </w:tcPr>
          <w:p w14:paraId="27C26B49">
            <w:pPr>
              <w:spacing w:before="31" w:beforeLines="10" w:line="264" w:lineRule="auto"/>
              <w:jc w:val="center"/>
              <w:rPr>
                <w:color w:val="auto"/>
                <w:szCs w:val="21"/>
              </w:rPr>
            </w:pPr>
            <w:r>
              <w:rPr>
                <w:color w:val="auto"/>
                <w:szCs w:val="21"/>
              </w:rPr>
              <w:t>0.50</w:t>
            </w:r>
          </w:p>
        </w:tc>
        <w:tc>
          <w:tcPr>
            <w:tcW w:w="337" w:type="pct"/>
            <w:tcBorders>
              <w:tl2br w:val="nil"/>
              <w:tr2bl w:val="nil"/>
            </w:tcBorders>
            <w:shd w:val="clear" w:color="auto" w:fill="auto"/>
            <w:noWrap w:val="0"/>
            <w:vAlign w:val="center"/>
          </w:tcPr>
          <w:p w14:paraId="44AA9FE0">
            <w:pPr>
              <w:spacing w:before="31" w:beforeLines="10" w:line="264" w:lineRule="auto"/>
              <w:jc w:val="center"/>
              <w:rPr>
                <w:color w:val="auto"/>
                <w:szCs w:val="21"/>
              </w:rPr>
            </w:pPr>
            <w:r>
              <w:rPr>
                <w:color w:val="auto"/>
                <w:szCs w:val="21"/>
              </w:rPr>
              <w:t>300</w:t>
            </w:r>
          </w:p>
        </w:tc>
        <w:tc>
          <w:tcPr>
            <w:tcW w:w="732" w:type="pct"/>
            <w:tcBorders>
              <w:tl2br w:val="nil"/>
              <w:tr2bl w:val="nil"/>
            </w:tcBorders>
            <w:shd w:val="clear" w:color="auto" w:fill="auto"/>
            <w:noWrap w:val="0"/>
            <w:vAlign w:val="center"/>
          </w:tcPr>
          <w:p w14:paraId="37E9AD8B">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0488A148">
            <w:pPr>
              <w:spacing w:before="31" w:beforeLines="10" w:line="264" w:lineRule="auto"/>
              <w:jc w:val="center"/>
              <w:rPr>
                <w:color w:val="auto"/>
                <w:szCs w:val="21"/>
              </w:rPr>
            </w:pPr>
            <w:r>
              <w:rPr>
                <w:color w:val="auto"/>
                <w:szCs w:val="21"/>
              </w:rPr>
              <w:t>250</w:t>
            </w:r>
          </w:p>
        </w:tc>
        <w:tc>
          <w:tcPr>
            <w:tcW w:w="391" w:type="pct"/>
            <w:tcBorders>
              <w:tl2br w:val="nil"/>
              <w:tr2bl w:val="nil"/>
            </w:tcBorders>
            <w:shd w:val="clear" w:color="auto" w:fill="auto"/>
            <w:noWrap w:val="0"/>
            <w:vAlign w:val="center"/>
          </w:tcPr>
          <w:p w14:paraId="02A90506">
            <w:pPr>
              <w:spacing w:before="31" w:beforeLines="10" w:line="264" w:lineRule="auto"/>
              <w:jc w:val="center"/>
              <w:rPr>
                <w:color w:val="auto"/>
                <w:szCs w:val="21"/>
              </w:rPr>
            </w:pPr>
            <w:r>
              <w:rPr>
                <w:color w:val="auto"/>
                <w:szCs w:val="21"/>
              </w:rPr>
              <w:t>50</w:t>
            </w:r>
          </w:p>
        </w:tc>
      </w:tr>
      <w:tr w14:paraId="0196BCF9">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1A3C6623">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7EA3E349">
            <w:pPr>
              <w:spacing w:before="31" w:beforeLines="10" w:line="264" w:lineRule="auto"/>
              <w:jc w:val="center"/>
              <w:rPr>
                <w:color w:val="auto"/>
                <w:szCs w:val="21"/>
              </w:rPr>
            </w:pPr>
            <w:r>
              <w:rPr>
                <w:color w:val="auto"/>
                <w:szCs w:val="21"/>
              </w:rPr>
              <w:t>＞7.5</w:t>
            </w:r>
          </w:p>
        </w:tc>
        <w:tc>
          <w:tcPr>
            <w:tcW w:w="370" w:type="pct"/>
            <w:tcBorders>
              <w:tl2br w:val="nil"/>
              <w:tr2bl w:val="nil"/>
            </w:tcBorders>
            <w:shd w:val="clear" w:color="auto" w:fill="auto"/>
            <w:noWrap w:val="0"/>
            <w:vAlign w:val="center"/>
          </w:tcPr>
          <w:p w14:paraId="3EB5DF5A">
            <w:pPr>
              <w:spacing w:before="31" w:beforeLines="10" w:line="264" w:lineRule="auto"/>
              <w:jc w:val="center"/>
              <w:rPr>
                <w:color w:val="auto"/>
                <w:szCs w:val="21"/>
              </w:rPr>
            </w:pPr>
            <w:r>
              <w:rPr>
                <w:color w:val="auto"/>
                <w:szCs w:val="21"/>
              </w:rPr>
              <w:t>0.60</w:t>
            </w:r>
          </w:p>
        </w:tc>
        <w:tc>
          <w:tcPr>
            <w:tcW w:w="744" w:type="pct"/>
            <w:tcBorders>
              <w:tl2br w:val="nil"/>
              <w:tr2bl w:val="nil"/>
            </w:tcBorders>
            <w:shd w:val="clear" w:color="auto" w:fill="auto"/>
            <w:noWrap w:val="0"/>
            <w:vAlign w:val="center"/>
          </w:tcPr>
          <w:p w14:paraId="7F4E99B8">
            <w:pPr>
              <w:spacing w:before="31" w:beforeLines="10" w:line="264" w:lineRule="auto"/>
              <w:jc w:val="center"/>
              <w:rPr>
                <w:color w:val="auto"/>
                <w:szCs w:val="21"/>
              </w:rPr>
            </w:pPr>
            <w:r>
              <w:rPr>
                <w:color w:val="auto"/>
                <w:szCs w:val="21"/>
              </w:rPr>
              <w:t>250（旱地）</w:t>
            </w:r>
          </w:p>
          <w:p w14:paraId="677643B5">
            <w:pPr>
              <w:spacing w:before="31" w:beforeLines="10" w:line="264" w:lineRule="auto"/>
              <w:jc w:val="center"/>
              <w:rPr>
                <w:color w:val="auto"/>
                <w:szCs w:val="21"/>
              </w:rPr>
            </w:pPr>
            <w:r>
              <w:rPr>
                <w:color w:val="auto"/>
                <w:szCs w:val="21"/>
              </w:rPr>
              <w:t>350（水田）</w:t>
            </w:r>
          </w:p>
        </w:tc>
        <w:tc>
          <w:tcPr>
            <w:tcW w:w="669" w:type="pct"/>
            <w:tcBorders>
              <w:tl2br w:val="nil"/>
              <w:tr2bl w:val="nil"/>
            </w:tcBorders>
            <w:shd w:val="clear" w:color="auto" w:fill="auto"/>
            <w:noWrap w:val="0"/>
            <w:vAlign w:val="center"/>
          </w:tcPr>
          <w:p w14:paraId="0D0B0FDB">
            <w:pPr>
              <w:spacing w:before="31" w:beforeLines="10" w:line="264" w:lineRule="auto"/>
              <w:jc w:val="center"/>
              <w:rPr>
                <w:color w:val="auto"/>
                <w:szCs w:val="21"/>
              </w:rPr>
            </w:pPr>
            <w:r>
              <w:rPr>
                <w:color w:val="auto"/>
                <w:szCs w:val="21"/>
              </w:rPr>
              <w:t>25（旱地）</w:t>
            </w:r>
          </w:p>
          <w:p w14:paraId="200E8AC1">
            <w:pPr>
              <w:spacing w:before="31" w:beforeLines="10" w:line="264" w:lineRule="auto"/>
              <w:jc w:val="center"/>
              <w:rPr>
                <w:color w:val="auto"/>
                <w:szCs w:val="21"/>
              </w:rPr>
            </w:pPr>
            <w:r>
              <w:rPr>
                <w:color w:val="auto"/>
                <w:szCs w:val="21"/>
              </w:rPr>
              <w:t>20（水田）</w:t>
            </w:r>
          </w:p>
        </w:tc>
        <w:tc>
          <w:tcPr>
            <w:tcW w:w="337" w:type="pct"/>
            <w:tcBorders>
              <w:tl2br w:val="nil"/>
              <w:tr2bl w:val="nil"/>
            </w:tcBorders>
            <w:shd w:val="clear" w:color="auto" w:fill="auto"/>
            <w:noWrap w:val="0"/>
            <w:vAlign w:val="center"/>
          </w:tcPr>
          <w:p w14:paraId="35958B5E">
            <w:pPr>
              <w:spacing w:before="31" w:beforeLines="10" w:line="264" w:lineRule="auto"/>
              <w:jc w:val="center"/>
              <w:rPr>
                <w:color w:val="auto"/>
                <w:szCs w:val="21"/>
              </w:rPr>
            </w:pPr>
            <w:r>
              <w:rPr>
                <w:color w:val="auto"/>
                <w:szCs w:val="21"/>
              </w:rPr>
              <w:t>1.0</w:t>
            </w:r>
          </w:p>
        </w:tc>
        <w:tc>
          <w:tcPr>
            <w:tcW w:w="337" w:type="pct"/>
            <w:tcBorders>
              <w:tl2br w:val="nil"/>
              <w:tr2bl w:val="nil"/>
            </w:tcBorders>
            <w:shd w:val="clear" w:color="auto" w:fill="auto"/>
            <w:noWrap w:val="0"/>
            <w:vAlign w:val="center"/>
          </w:tcPr>
          <w:p w14:paraId="1A3BCD81">
            <w:pPr>
              <w:spacing w:before="31" w:beforeLines="10" w:line="264" w:lineRule="auto"/>
              <w:jc w:val="center"/>
              <w:rPr>
                <w:color w:val="auto"/>
                <w:szCs w:val="21"/>
              </w:rPr>
            </w:pPr>
            <w:r>
              <w:rPr>
                <w:color w:val="auto"/>
                <w:szCs w:val="21"/>
              </w:rPr>
              <w:t>350</w:t>
            </w:r>
          </w:p>
        </w:tc>
        <w:tc>
          <w:tcPr>
            <w:tcW w:w="732" w:type="pct"/>
            <w:tcBorders>
              <w:tl2br w:val="nil"/>
              <w:tr2bl w:val="nil"/>
            </w:tcBorders>
            <w:shd w:val="clear" w:color="auto" w:fill="auto"/>
            <w:noWrap w:val="0"/>
            <w:vAlign w:val="center"/>
          </w:tcPr>
          <w:p w14:paraId="6F9483CA">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6B573354">
            <w:pPr>
              <w:spacing w:before="31" w:beforeLines="10" w:line="264" w:lineRule="auto"/>
              <w:jc w:val="center"/>
              <w:rPr>
                <w:color w:val="auto"/>
                <w:szCs w:val="21"/>
              </w:rPr>
            </w:pPr>
            <w:r>
              <w:rPr>
                <w:color w:val="auto"/>
                <w:szCs w:val="21"/>
              </w:rPr>
              <w:t>300</w:t>
            </w:r>
          </w:p>
        </w:tc>
        <w:tc>
          <w:tcPr>
            <w:tcW w:w="391" w:type="pct"/>
            <w:tcBorders>
              <w:tl2br w:val="nil"/>
              <w:tr2bl w:val="nil"/>
            </w:tcBorders>
            <w:shd w:val="clear" w:color="auto" w:fill="auto"/>
            <w:noWrap w:val="0"/>
            <w:vAlign w:val="center"/>
          </w:tcPr>
          <w:p w14:paraId="36DB3CBC">
            <w:pPr>
              <w:spacing w:before="31" w:beforeLines="10" w:line="264" w:lineRule="auto"/>
              <w:jc w:val="center"/>
              <w:rPr>
                <w:color w:val="auto"/>
                <w:szCs w:val="21"/>
              </w:rPr>
            </w:pPr>
            <w:r>
              <w:rPr>
                <w:color w:val="auto"/>
                <w:szCs w:val="21"/>
              </w:rPr>
              <w:t>60</w:t>
            </w:r>
          </w:p>
        </w:tc>
      </w:tr>
    </w:tbl>
    <w:p w14:paraId="10264F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val="en-US" w:eastAsia="zh-CN"/>
        </w:rPr>
      </w:pPr>
    </w:p>
    <w:p w14:paraId="3384DB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eastAsia="zh-CN"/>
        </w:rPr>
      </w:pPr>
      <w:r>
        <w:rPr>
          <w:rFonts w:hint="eastAsia"/>
          <w:b w:val="0"/>
          <w:bCs w:val="0"/>
          <w:color w:val="auto"/>
          <w:sz w:val="24"/>
          <w:szCs w:val="32"/>
          <w:lang w:eastAsia="zh-CN"/>
        </w:rPr>
        <w:t>（</w:t>
      </w:r>
      <w:r>
        <w:rPr>
          <w:rFonts w:hint="eastAsia"/>
          <w:b w:val="0"/>
          <w:bCs w:val="0"/>
          <w:color w:val="auto"/>
          <w:sz w:val="24"/>
          <w:szCs w:val="32"/>
          <w:lang w:val="en-US" w:eastAsia="zh-CN"/>
        </w:rPr>
        <w:t>2</w:t>
      </w:r>
      <w:r>
        <w:rPr>
          <w:rFonts w:hint="eastAsia"/>
          <w:b w:val="0"/>
          <w:bCs w:val="0"/>
          <w:color w:val="auto"/>
          <w:sz w:val="24"/>
          <w:szCs w:val="32"/>
          <w:lang w:eastAsia="zh-CN"/>
        </w:rPr>
        <w:t>）</w:t>
      </w:r>
      <w:r>
        <w:rPr>
          <w:rFonts w:hint="eastAsia"/>
          <w:b w:val="0"/>
          <w:bCs w:val="0"/>
          <w:color w:val="auto"/>
          <w:sz w:val="24"/>
          <w:szCs w:val="32"/>
          <w:lang w:val="en-US" w:eastAsia="zh-CN"/>
        </w:rPr>
        <w:t>监测结果</w:t>
      </w:r>
    </w:p>
    <w:p w14:paraId="0343E65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rPr>
          <w:rFonts w:hint="eastAsia"/>
          <w:b/>
          <w:bCs/>
          <w:color w:val="auto"/>
          <w:sz w:val="24"/>
          <w:szCs w:val="32"/>
          <w:lang w:eastAsia="zh-CN"/>
        </w:rPr>
      </w:pPr>
      <w:r>
        <w:rPr>
          <w:rFonts w:hint="default" w:ascii="Times New Roman" w:hAnsi="Times New Roman" w:cs="Times New Roman"/>
          <w:b/>
          <w:bCs/>
          <w:color w:val="auto"/>
          <w:sz w:val="24"/>
          <w:szCs w:val="24"/>
        </w:rPr>
        <w:t>表</w:t>
      </w:r>
      <w:r>
        <w:rPr>
          <w:rFonts w:hint="eastAsia" w:ascii="Times New Roman" w:hAnsi="Times New Roman" w:cs="Times New Roman"/>
          <w:b/>
          <w:bCs/>
          <w:color w:val="auto"/>
          <w:sz w:val="24"/>
          <w:szCs w:val="24"/>
          <w:lang w:val="en-US" w:eastAsia="zh-CN"/>
        </w:rPr>
        <w:t>2-20</w:t>
      </w:r>
      <w:r>
        <w:rPr>
          <w:rFonts w:hint="default" w:ascii="Times New Roman" w:hAnsi="Times New Roman" w:cs="Times New Roman"/>
          <w:b/>
          <w:bCs/>
          <w:color w:val="auto"/>
          <w:sz w:val="24"/>
          <w:szCs w:val="24"/>
        </w:rPr>
        <w:t xml:space="preserve"> 土壤环境质量现状监测结果</w:t>
      </w:r>
      <w:r>
        <w:rPr>
          <w:rFonts w:hint="eastAsia" w:ascii="Times New Roman" w:hAnsi="Times New Roman" w:cs="Times New Roman"/>
          <w:b/>
          <w:bCs/>
          <w:color w:val="auto"/>
          <w:sz w:val="24"/>
          <w:szCs w:val="24"/>
          <w:lang w:val="en-US" w:eastAsia="zh-CN"/>
        </w:rPr>
        <w:t>及</w:t>
      </w:r>
      <w:r>
        <w:rPr>
          <w:rFonts w:hint="default" w:ascii="Times New Roman" w:hAnsi="Times New Roman" w:cs="Times New Roman"/>
          <w:b/>
          <w:bCs/>
          <w:color w:val="auto"/>
          <w:sz w:val="24"/>
          <w:szCs w:val="24"/>
        </w:rPr>
        <w:t>评价结果</w:t>
      </w:r>
      <w:r>
        <w:rPr>
          <w:rFonts w:hint="eastAsia" w:ascii="Times New Roman" w:hAnsi="Times New Roman" w:cs="Times New Roman"/>
          <w:b/>
          <w:bCs/>
          <w:color w:val="auto"/>
          <w:sz w:val="24"/>
          <w:szCs w:val="24"/>
          <w:lang w:val="en-US" w:eastAsia="zh-CN"/>
        </w:rPr>
        <w:t>一览</w:t>
      </w:r>
      <w:r>
        <w:rPr>
          <w:rFonts w:hint="default" w:ascii="Times New Roman" w:hAnsi="Times New Roman" w:cs="Times New Roman"/>
          <w:b/>
          <w:bCs/>
          <w:color w:val="auto"/>
          <w:sz w:val="24"/>
          <w:szCs w:val="24"/>
        </w:rPr>
        <w:t>表</w:t>
      </w:r>
      <w:r>
        <w:rPr>
          <w:rFonts w:hint="eastAsia" w:ascii="Times New Roman" w:hAnsi="Times New Roman" w:cs="Times New Roman"/>
          <w:b/>
          <w:bCs/>
          <w:color w:val="auto"/>
          <w:sz w:val="24"/>
          <w:szCs w:val="24"/>
          <w:lang w:val="en-US" w:eastAsia="zh-CN"/>
        </w:rPr>
        <w:t xml:space="preserve">   </w:t>
      </w:r>
      <w:r>
        <w:rPr>
          <w:rFonts w:hint="default" w:ascii="Times New Roman" w:hAnsi="Times New Roman" w:cs="Times New Roman"/>
          <w:b/>
          <w:bCs/>
          <w:color w:val="auto"/>
          <w:sz w:val="24"/>
          <w:szCs w:val="24"/>
        </w:rPr>
        <w:t>单位：mg/kg</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786"/>
        <w:gridCol w:w="1332"/>
        <w:gridCol w:w="943"/>
        <w:gridCol w:w="943"/>
        <w:gridCol w:w="944"/>
        <w:gridCol w:w="944"/>
        <w:gridCol w:w="944"/>
        <w:gridCol w:w="946"/>
        <w:gridCol w:w="1174"/>
      </w:tblGrid>
      <w:tr w14:paraId="245DB0F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tcBorders>
              <w:tl2br w:val="nil"/>
              <w:tr2bl w:val="nil"/>
            </w:tcBorders>
            <w:shd w:val="clear" w:color="auto" w:fill="auto"/>
            <w:noWrap/>
            <w:vAlign w:val="center"/>
          </w:tcPr>
          <w:p w14:paraId="5CA6092A">
            <w:pPr>
              <w:spacing w:before="31" w:beforeLines="10" w:line="264" w:lineRule="auto"/>
              <w:jc w:val="center"/>
              <w:rPr>
                <w:b/>
                <w:color w:val="auto"/>
              </w:rPr>
            </w:pPr>
            <w:r>
              <w:rPr>
                <w:b/>
                <w:color w:val="auto"/>
              </w:rPr>
              <w:t>监测点名称</w:t>
            </w:r>
          </w:p>
        </w:tc>
        <w:tc>
          <w:tcPr>
            <w:tcW w:w="694" w:type="pct"/>
            <w:tcBorders>
              <w:tl2br w:val="nil"/>
              <w:tr2bl w:val="nil"/>
            </w:tcBorders>
            <w:shd w:val="clear" w:color="auto" w:fill="auto"/>
            <w:noWrap/>
            <w:vAlign w:val="center"/>
          </w:tcPr>
          <w:p w14:paraId="4BE44C05">
            <w:pPr>
              <w:spacing w:before="31" w:beforeLines="10" w:line="264" w:lineRule="auto"/>
              <w:jc w:val="center"/>
              <w:rPr>
                <w:b/>
                <w:color w:val="auto"/>
              </w:rPr>
            </w:pPr>
            <w:r>
              <w:rPr>
                <w:b/>
                <w:color w:val="auto"/>
              </w:rPr>
              <w:t>项目</w:t>
            </w:r>
          </w:p>
        </w:tc>
        <w:tc>
          <w:tcPr>
            <w:tcW w:w="499" w:type="pct"/>
            <w:tcBorders>
              <w:tl2br w:val="nil"/>
              <w:tr2bl w:val="nil"/>
            </w:tcBorders>
            <w:shd w:val="clear" w:color="auto" w:fill="auto"/>
            <w:noWrap/>
            <w:vAlign w:val="center"/>
          </w:tcPr>
          <w:p w14:paraId="4621D542">
            <w:pPr>
              <w:jc w:val="center"/>
              <w:rPr>
                <w:b/>
                <w:bCs/>
                <w:color w:val="auto"/>
                <w:szCs w:val="21"/>
              </w:rPr>
            </w:pPr>
            <w:r>
              <w:rPr>
                <w:b/>
                <w:bCs/>
                <w:color w:val="auto"/>
                <w:szCs w:val="21"/>
              </w:rPr>
              <w:t>pH</w:t>
            </w:r>
          </w:p>
        </w:tc>
        <w:tc>
          <w:tcPr>
            <w:tcW w:w="499" w:type="pct"/>
            <w:tcBorders>
              <w:tl2br w:val="nil"/>
              <w:tr2bl w:val="nil"/>
            </w:tcBorders>
            <w:shd w:val="clear" w:color="auto" w:fill="auto"/>
            <w:noWrap/>
            <w:vAlign w:val="center"/>
          </w:tcPr>
          <w:p w14:paraId="5696F0E4">
            <w:pPr>
              <w:jc w:val="center"/>
              <w:rPr>
                <w:b/>
                <w:bCs/>
                <w:color w:val="auto"/>
                <w:szCs w:val="21"/>
              </w:rPr>
            </w:pPr>
            <w:r>
              <w:rPr>
                <w:b/>
                <w:bCs/>
                <w:color w:val="auto"/>
                <w:szCs w:val="21"/>
              </w:rPr>
              <w:t>镉</w:t>
            </w:r>
          </w:p>
        </w:tc>
        <w:tc>
          <w:tcPr>
            <w:tcW w:w="499" w:type="pct"/>
            <w:tcBorders>
              <w:tl2br w:val="nil"/>
              <w:tr2bl w:val="nil"/>
            </w:tcBorders>
            <w:shd w:val="clear" w:color="auto" w:fill="auto"/>
            <w:noWrap/>
            <w:vAlign w:val="center"/>
          </w:tcPr>
          <w:p w14:paraId="73F127F9">
            <w:pPr>
              <w:jc w:val="center"/>
              <w:rPr>
                <w:b/>
                <w:bCs/>
                <w:color w:val="auto"/>
                <w:szCs w:val="21"/>
              </w:rPr>
            </w:pPr>
            <w:r>
              <w:rPr>
                <w:b/>
                <w:bCs/>
                <w:color w:val="auto"/>
                <w:szCs w:val="21"/>
              </w:rPr>
              <w:t>铅</w:t>
            </w:r>
          </w:p>
        </w:tc>
        <w:tc>
          <w:tcPr>
            <w:tcW w:w="499" w:type="pct"/>
            <w:tcBorders>
              <w:tl2br w:val="nil"/>
              <w:tr2bl w:val="nil"/>
            </w:tcBorders>
            <w:shd w:val="clear" w:color="auto" w:fill="auto"/>
            <w:noWrap/>
            <w:vAlign w:val="center"/>
          </w:tcPr>
          <w:p w14:paraId="03B2468E">
            <w:pPr>
              <w:jc w:val="center"/>
              <w:rPr>
                <w:b/>
                <w:bCs/>
                <w:color w:val="auto"/>
                <w:szCs w:val="21"/>
              </w:rPr>
            </w:pPr>
            <w:r>
              <w:rPr>
                <w:b/>
                <w:bCs/>
                <w:color w:val="auto"/>
                <w:szCs w:val="21"/>
              </w:rPr>
              <w:t>铬</w:t>
            </w:r>
          </w:p>
        </w:tc>
        <w:tc>
          <w:tcPr>
            <w:tcW w:w="499" w:type="pct"/>
            <w:tcBorders>
              <w:tl2br w:val="nil"/>
              <w:tr2bl w:val="nil"/>
            </w:tcBorders>
            <w:shd w:val="clear" w:color="auto" w:fill="auto"/>
            <w:noWrap/>
            <w:vAlign w:val="center"/>
          </w:tcPr>
          <w:p w14:paraId="35415DC7">
            <w:pPr>
              <w:jc w:val="center"/>
              <w:rPr>
                <w:b/>
                <w:bCs/>
                <w:color w:val="auto"/>
                <w:szCs w:val="21"/>
              </w:rPr>
            </w:pPr>
            <w:r>
              <w:rPr>
                <w:b/>
                <w:bCs/>
                <w:color w:val="auto"/>
                <w:szCs w:val="21"/>
              </w:rPr>
              <w:t>砷</w:t>
            </w:r>
          </w:p>
        </w:tc>
        <w:tc>
          <w:tcPr>
            <w:tcW w:w="500" w:type="pct"/>
            <w:tcBorders>
              <w:tl2br w:val="nil"/>
              <w:tr2bl w:val="nil"/>
            </w:tcBorders>
            <w:shd w:val="clear" w:color="auto" w:fill="auto"/>
            <w:noWrap w:val="0"/>
            <w:vAlign w:val="center"/>
          </w:tcPr>
          <w:p w14:paraId="702A299D">
            <w:pPr>
              <w:jc w:val="center"/>
              <w:rPr>
                <w:b/>
                <w:bCs/>
                <w:color w:val="auto"/>
                <w:szCs w:val="21"/>
              </w:rPr>
            </w:pPr>
            <w:r>
              <w:rPr>
                <w:b/>
                <w:bCs/>
                <w:color w:val="auto"/>
                <w:szCs w:val="21"/>
              </w:rPr>
              <w:t>汞</w:t>
            </w:r>
          </w:p>
        </w:tc>
        <w:tc>
          <w:tcPr>
            <w:tcW w:w="500" w:type="pct"/>
            <w:tcBorders>
              <w:tl2br w:val="nil"/>
              <w:tr2bl w:val="nil"/>
            </w:tcBorders>
            <w:shd w:val="clear" w:color="auto" w:fill="auto"/>
            <w:noWrap w:val="0"/>
            <w:vAlign w:val="center"/>
          </w:tcPr>
          <w:p w14:paraId="48CF6417">
            <w:pPr>
              <w:jc w:val="center"/>
              <w:rPr>
                <w:rFonts w:hint="eastAsia" w:eastAsia="宋体"/>
                <w:b/>
                <w:bCs/>
                <w:color w:val="auto"/>
                <w:szCs w:val="21"/>
                <w:lang w:val="en-US" w:eastAsia="zh-CN"/>
              </w:rPr>
            </w:pPr>
            <w:r>
              <w:rPr>
                <w:rFonts w:hint="eastAsia"/>
                <w:b/>
                <w:bCs/>
                <w:color w:val="auto"/>
                <w:szCs w:val="21"/>
                <w:lang w:val="en-US" w:eastAsia="zh-CN"/>
              </w:rPr>
              <w:t>二噁英</w:t>
            </w:r>
          </w:p>
        </w:tc>
      </w:tr>
      <w:tr w14:paraId="0527F55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ign w:val="center"/>
          </w:tcPr>
          <w:p w14:paraId="6A7FBFCC">
            <w:pPr>
              <w:jc w:val="center"/>
              <w:rPr>
                <w:bCs/>
                <w:color w:val="auto"/>
                <w:szCs w:val="21"/>
              </w:rPr>
            </w:pPr>
            <w:r>
              <w:rPr>
                <w:bCs/>
                <w:color w:val="auto"/>
                <w:szCs w:val="21"/>
              </w:rPr>
              <w:t>G1星河花园小区</w:t>
            </w:r>
          </w:p>
        </w:tc>
        <w:tc>
          <w:tcPr>
            <w:tcW w:w="694" w:type="pct"/>
            <w:tcBorders>
              <w:tl2br w:val="nil"/>
              <w:tr2bl w:val="nil"/>
            </w:tcBorders>
            <w:shd w:val="clear" w:color="auto" w:fill="auto"/>
            <w:noWrap/>
            <w:vAlign w:val="center"/>
          </w:tcPr>
          <w:p w14:paraId="42B04C90">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38C1A09B">
            <w:pPr>
              <w:spacing w:before="31" w:beforeLines="10" w:line="264" w:lineRule="auto"/>
              <w:jc w:val="center"/>
              <w:rPr>
                <w:color w:val="auto"/>
              </w:rPr>
            </w:pPr>
            <w:r>
              <w:rPr>
                <w:color w:val="auto"/>
              </w:rPr>
              <w:t>8.14</w:t>
            </w:r>
          </w:p>
        </w:tc>
        <w:tc>
          <w:tcPr>
            <w:tcW w:w="499" w:type="pct"/>
            <w:tcBorders>
              <w:tl2br w:val="nil"/>
              <w:tr2bl w:val="nil"/>
            </w:tcBorders>
            <w:shd w:val="clear" w:color="auto" w:fill="auto"/>
            <w:noWrap/>
            <w:vAlign w:val="center"/>
          </w:tcPr>
          <w:p w14:paraId="4B9D3D49">
            <w:pPr>
              <w:spacing w:before="31" w:beforeLines="10" w:line="264" w:lineRule="auto"/>
              <w:jc w:val="center"/>
              <w:rPr>
                <w:color w:val="auto"/>
              </w:rPr>
            </w:pPr>
            <w:r>
              <w:rPr>
                <w:color w:val="auto"/>
              </w:rPr>
              <w:t>0.23</w:t>
            </w:r>
          </w:p>
        </w:tc>
        <w:tc>
          <w:tcPr>
            <w:tcW w:w="499" w:type="pct"/>
            <w:tcBorders>
              <w:tl2br w:val="nil"/>
              <w:tr2bl w:val="nil"/>
            </w:tcBorders>
            <w:shd w:val="clear" w:color="auto" w:fill="auto"/>
            <w:noWrap/>
            <w:vAlign w:val="center"/>
          </w:tcPr>
          <w:p w14:paraId="770A6792">
            <w:pPr>
              <w:spacing w:before="31" w:beforeLines="10" w:line="264" w:lineRule="auto"/>
              <w:jc w:val="center"/>
              <w:rPr>
                <w:color w:val="auto"/>
              </w:rPr>
            </w:pPr>
            <w:r>
              <w:rPr>
                <w:color w:val="auto"/>
              </w:rPr>
              <w:t>21.1</w:t>
            </w:r>
          </w:p>
        </w:tc>
        <w:tc>
          <w:tcPr>
            <w:tcW w:w="499" w:type="pct"/>
            <w:tcBorders>
              <w:tl2br w:val="nil"/>
              <w:tr2bl w:val="nil"/>
            </w:tcBorders>
            <w:shd w:val="clear" w:color="auto" w:fill="auto"/>
            <w:noWrap/>
            <w:vAlign w:val="center"/>
          </w:tcPr>
          <w:p w14:paraId="516C569D">
            <w:pPr>
              <w:spacing w:before="31" w:beforeLines="10" w:line="264" w:lineRule="auto"/>
              <w:jc w:val="center"/>
              <w:rPr>
                <w:color w:val="auto"/>
              </w:rPr>
            </w:pPr>
            <w:r>
              <w:rPr>
                <w:color w:val="auto"/>
              </w:rPr>
              <w:t>38</w:t>
            </w:r>
          </w:p>
        </w:tc>
        <w:tc>
          <w:tcPr>
            <w:tcW w:w="499" w:type="pct"/>
            <w:tcBorders>
              <w:tl2br w:val="nil"/>
              <w:tr2bl w:val="nil"/>
            </w:tcBorders>
            <w:shd w:val="clear" w:color="auto" w:fill="auto"/>
            <w:noWrap/>
            <w:vAlign w:val="center"/>
          </w:tcPr>
          <w:p w14:paraId="67A79CC3">
            <w:pPr>
              <w:spacing w:before="31" w:beforeLines="10" w:line="264" w:lineRule="auto"/>
              <w:jc w:val="center"/>
              <w:rPr>
                <w:color w:val="auto"/>
              </w:rPr>
            </w:pPr>
            <w:r>
              <w:rPr>
                <w:color w:val="auto"/>
              </w:rPr>
              <w:t>6.3</w:t>
            </w:r>
          </w:p>
        </w:tc>
        <w:tc>
          <w:tcPr>
            <w:tcW w:w="500" w:type="pct"/>
            <w:tcBorders>
              <w:tl2br w:val="nil"/>
              <w:tr2bl w:val="nil"/>
            </w:tcBorders>
            <w:shd w:val="clear" w:color="auto" w:fill="auto"/>
            <w:noWrap w:val="0"/>
            <w:vAlign w:val="center"/>
          </w:tcPr>
          <w:p w14:paraId="75981D72">
            <w:pPr>
              <w:spacing w:before="31" w:beforeLines="10" w:line="264" w:lineRule="auto"/>
              <w:jc w:val="center"/>
              <w:rPr>
                <w:color w:val="auto"/>
              </w:rPr>
            </w:pPr>
            <w:r>
              <w:rPr>
                <w:color w:val="auto"/>
              </w:rPr>
              <w:t>0.159</w:t>
            </w:r>
          </w:p>
        </w:tc>
        <w:tc>
          <w:tcPr>
            <w:tcW w:w="500" w:type="pct"/>
            <w:tcBorders>
              <w:tl2br w:val="nil"/>
              <w:tr2bl w:val="nil"/>
            </w:tcBorders>
            <w:shd w:val="clear" w:color="auto" w:fill="auto"/>
            <w:noWrap w:val="0"/>
            <w:vAlign w:val="center"/>
          </w:tcPr>
          <w:p w14:paraId="34AA14D5">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08E90A4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0DAE6CA0">
            <w:pPr>
              <w:spacing w:before="31" w:beforeLines="10" w:line="264" w:lineRule="auto"/>
              <w:jc w:val="center"/>
              <w:rPr>
                <w:color w:val="auto"/>
              </w:rPr>
            </w:pPr>
          </w:p>
        </w:tc>
        <w:tc>
          <w:tcPr>
            <w:tcW w:w="694" w:type="pct"/>
            <w:tcBorders>
              <w:tl2br w:val="nil"/>
              <w:tr2bl w:val="nil"/>
            </w:tcBorders>
            <w:shd w:val="clear" w:color="auto" w:fill="auto"/>
            <w:noWrap/>
            <w:vAlign w:val="center"/>
          </w:tcPr>
          <w:p w14:paraId="5C99D1CF">
            <w:pPr>
              <w:spacing w:before="31" w:beforeLines="10" w:line="264" w:lineRule="auto"/>
              <w:jc w:val="center"/>
              <w:rPr>
                <w:rFonts w:hint="default" w:eastAsia="宋体"/>
                <w:color w:val="auto"/>
                <w:lang w:val="en-US" w:eastAsia="zh-CN"/>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260C3E62">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7A8DD12A">
            <w:pPr>
              <w:spacing w:before="31" w:beforeLines="10" w:line="264" w:lineRule="auto"/>
              <w:jc w:val="center"/>
              <w:rPr>
                <w:rFonts w:hint="default" w:eastAsia="宋体"/>
                <w:color w:val="auto"/>
                <w:lang w:val="en-US" w:eastAsia="zh-CN"/>
              </w:rPr>
            </w:pPr>
            <w:r>
              <w:rPr>
                <w:rFonts w:hint="eastAsia"/>
                <w:color w:val="auto"/>
                <w:lang w:val="en-US" w:eastAsia="zh-CN"/>
              </w:rPr>
              <w:t>0.6</w:t>
            </w:r>
          </w:p>
        </w:tc>
        <w:tc>
          <w:tcPr>
            <w:tcW w:w="499" w:type="pct"/>
            <w:tcBorders>
              <w:tl2br w:val="nil"/>
              <w:tr2bl w:val="nil"/>
            </w:tcBorders>
            <w:shd w:val="clear" w:color="auto" w:fill="auto"/>
            <w:noWrap/>
            <w:vAlign w:val="center"/>
          </w:tcPr>
          <w:p w14:paraId="588E648E">
            <w:pPr>
              <w:spacing w:before="31" w:beforeLines="10" w:line="264" w:lineRule="auto"/>
              <w:jc w:val="center"/>
              <w:rPr>
                <w:rFonts w:hint="default" w:eastAsia="宋体"/>
                <w:color w:val="auto"/>
                <w:lang w:val="en-US" w:eastAsia="zh-CN"/>
              </w:rPr>
            </w:pPr>
            <w:r>
              <w:rPr>
                <w:rFonts w:hint="eastAsia"/>
                <w:color w:val="auto"/>
                <w:lang w:val="en-US" w:eastAsia="zh-CN"/>
              </w:rPr>
              <w:t>350</w:t>
            </w:r>
          </w:p>
        </w:tc>
        <w:tc>
          <w:tcPr>
            <w:tcW w:w="499" w:type="pct"/>
            <w:tcBorders>
              <w:tl2br w:val="nil"/>
              <w:tr2bl w:val="nil"/>
            </w:tcBorders>
            <w:shd w:val="clear" w:color="auto" w:fill="auto"/>
            <w:noWrap/>
            <w:vAlign w:val="center"/>
          </w:tcPr>
          <w:p w14:paraId="6CF70CED">
            <w:pPr>
              <w:spacing w:before="31" w:beforeLines="10" w:line="264" w:lineRule="auto"/>
              <w:jc w:val="center"/>
              <w:rPr>
                <w:rFonts w:hint="default" w:eastAsia="宋体"/>
                <w:color w:val="auto"/>
                <w:lang w:val="en-US" w:eastAsia="zh-CN"/>
              </w:rPr>
            </w:pPr>
            <w:r>
              <w:rPr>
                <w:rFonts w:hint="eastAsia"/>
                <w:color w:val="auto"/>
                <w:lang w:val="en-US" w:eastAsia="zh-CN"/>
              </w:rPr>
              <w:t>250</w:t>
            </w:r>
          </w:p>
        </w:tc>
        <w:tc>
          <w:tcPr>
            <w:tcW w:w="499" w:type="pct"/>
            <w:tcBorders>
              <w:tl2br w:val="nil"/>
              <w:tr2bl w:val="nil"/>
            </w:tcBorders>
            <w:shd w:val="clear" w:color="auto" w:fill="auto"/>
            <w:noWrap/>
            <w:vAlign w:val="center"/>
          </w:tcPr>
          <w:p w14:paraId="12123CAE">
            <w:pPr>
              <w:spacing w:before="31" w:beforeLines="10" w:line="264" w:lineRule="auto"/>
              <w:jc w:val="center"/>
              <w:rPr>
                <w:rFonts w:hint="default" w:eastAsia="宋体"/>
                <w:color w:val="auto"/>
                <w:lang w:val="en-US" w:eastAsia="zh-CN"/>
              </w:rPr>
            </w:pPr>
            <w:r>
              <w:rPr>
                <w:rFonts w:hint="eastAsia"/>
                <w:color w:val="auto"/>
                <w:lang w:val="en-US" w:eastAsia="zh-CN"/>
              </w:rPr>
              <w:t>25</w:t>
            </w:r>
          </w:p>
        </w:tc>
        <w:tc>
          <w:tcPr>
            <w:tcW w:w="500" w:type="pct"/>
            <w:tcBorders>
              <w:tl2br w:val="nil"/>
              <w:tr2bl w:val="nil"/>
            </w:tcBorders>
            <w:shd w:val="clear" w:color="auto" w:fill="auto"/>
            <w:noWrap w:val="0"/>
            <w:vAlign w:val="center"/>
          </w:tcPr>
          <w:p w14:paraId="49497DDB">
            <w:pPr>
              <w:spacing w:before="31" w:beforeLines="10" w:line="264" w:lineRule="auto"/>
              <w:jc w:val="center"/>
              <w:rPr>
                <w:rFonts w:hint="default" w:eastAsia="宋体"/>
                <w:color w:val="auto"/>
                <w:lang w:val="en-US" w:eastAsia="zh-CN"/>
              </w:rPr>
            </w:pPr>
            <w:r>
              <w:rPr>
                <w:rFonts w:hint="eastAsia"/>
                <w:color w:val="auto"/>
                <w:lang w:val="en-US" w:eastAsia="zh-CN"/>
              </w:rPr>
              <w:t>1.0</w:t>
            </w:r>
          </w:p>
        </w:tc>
        <w:tc>
          <w:tcPr>
            <w:tcW w:w="500" w:type="pct"/>
            <w:tcBorders>
              <w:tl2br w:val="nil"/>
              <w:tr2bl w:val="nil"/>
            </w:tcBorders>
            <w:shd w:val="clear" w:color="auto" w:fill="auto"/>
            <w:noWrap w:val="0"/>
            <w:vAlign w:val="center"/>
          </w:tcPr>
          <w:p w14:paraId="75D9913E">
            <w:pPr>
              <w:spacing w:before="31" w:beforeLines="10" w:line="264" w:lineRule="auto"/>
              <w:jc w:val="center"/>
              <w:rPr>
                <w:rFonts w:hint="default"/>
                <w:color w:val="auto"/>
                <w:lang w:val="en-US" w:eastAsia="zh-CN"/>
              </w:rPr>
            </w:pPr>
            <w:r>
              <w:rPr>
                <w:rFonts w:hint="eastAsia"/>
                <w:color w:val="auto"/>
                <w:lang w:val="en-US" w:eastAsia="zh-CN"/>
              </w:rPr>
              <w:t>/</w:t>
            </w:r>
          </w:p>
        </w:tc>
      </w:tr>
      <w:tr w14:paraId="55F3E74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58B3A7C2">
            <w:pPr>
              <w:spacing w:before="31" w:beforeLines="10" w:line="264" w:lineRule="auto"/>
              <w:jc w:val="center"/>
              <w:rPr>
                <w:color w:val="auto"/>
              </w:rPr>
            </w:pPr>
          </w:p>
        </w:tc>
        <w:tc>
          <w:tcPr>
            <w:tcW w:w="694" w:type="pct"/>
            <w:tcBorders>
              <w:tl2br w:val="nil"/>
              <w:tr2bl w:val="nil"/>
            </w:tcBorders>
            <w:shd w:val="clear" w:color="auto" w:fill="auto"/>
            <w:noWrap/>
            <w:vAlign w:val="center"/>
          </w:tcPr>
          <w:p w14:paraId="6E31E959">
            <w:pPr>
              <w:spacing w:before="31" w:beforeLines="10" w:line="264" w:lineRule="auto"/>
              <w:jc w:val="center"/>
              <w:rPr>
                <w:rFonts w:hint="eastAsia" w:eastAsia="宋体"/>
                <w:color w:val="auto"/>
                <w:lang w:eastAsia="zh-CN"/>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4A314150">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75B457F6">
            <w:pPr>
              <w:spacing w:before="31" w:beforeLines="10" w:line="264" w:lineRule="auto"/>
              <w:jc w:val="center"/>
              <w:rPr>
                <w:rFonts w:hint="eastAsia" w:eastAsia="宋体"/>
                <w:color w:val="auto"/>
                <w:lang w:val="en-US" w:eastAsia="zh-CN"/>
              </w:rPr>
            </w:pPr>
            <w:r>
              <w:rPr>
                <w:rFonts w:hint="eastAsia"/>
                <w:color w:val="auto"/>
                <w:lang w:val="en-US" w:eastAsia="zh-CN"/>
              </w:rPr>
              <w:t>达标</w:t>
            </w:r>
          </w:p>
        </w:tc>
        <w:tc>
          <w:tcPr>
            <w:tcW w:w="499" w:type="pct"/>
            <w:tcBorders>
              <w:tl2br w:val="nil"/>
              <w:tr2bl w:val="nil"/>
            </w:tcBorders>
            <w:shd w:val="clear" w:color="auto" w:fill="auto"/>
            <w:noWrap/>
            <w:vAlign w:val="center"/>
          </w:tcPr>
          <w:p w14:paraId="25B8769B">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0BBA4316">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76E8934A">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330ED0D0">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39C53C7F">
            <w:pPr>
              <w:spacing w:before="31" w:beforeLines="10" w:line="264" w:lineRule="auto"/>
              <w:jc w:val="center"/>
              <w:rPr>
                <w:rFonts w:hint="default"/>
                <w:color w:val="auto"/>
                <w:lang w:val="en-US" w:eastAsia="zh-CN"/>
              </w:rPr>
            </w:pPr>
            <w:r>
              <w:rPr>
                <w:rFonts w:hint="eastAsia"/>
                <w:color w:val="auto"/>
                <w:lang w:val="en-US" w:eastAsia="zh-CN"/>
              </w:rPr>
              <w:t>/</w:t>
            </w:r>
          </w:p>
        </w:tc>
      </w:tr>
      <w:tr w14:paraId="3E32839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ign w:val="center"/>
          </w:tcPr>
          <w:p w14:paraId="04A0AB58">
            <w:pPr>
              <w:spacing w:before="31" w:beforeLines="10" w:line="264" w:lineRule="auto"/>
              <w:jc w:val="center"/>
              <w:rPr>
                <w:color w:val="auto"/>
              </w:rPr>
            </w:pPr>
            <w:r>
              <w:rPr>
                <w:color w:val="auto"/>
                <w:szCs w:val="21"/>
              </w:rPr>
              <w:t>G2项目地块</w:t>
            </w:r>
          </w:p>
        </w:tc>
        <w:tc>
          <w:tcPr>
            <w:tcW w:w="694" w:type="pct"/>
            <w:tcBorders>
              <w:tl2br w:val="nil"/>
              <w:tr2bl w:val="nil"/>
            </w:tcBorders>
            <w:shd w:val="clear" w:color="auto" w:fill="auto"/>
            <w:noWrap/>
            <w:vAlign w:val="center"/>
          </w:tcPr>
          <w:p w14:paraId="137142F2">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15F1B8FD">
            <w:pPr>
              <w:spacing w:before="31" w:beforeLines="10" w:line="264" w:lineRule="auto"/>
              <w:jc w:val="center"/>
              <w:rPr>
                <w:color w:val="auto"/>
              </w:rPr>
            </w:pPr>
            <w:r>
              <w:rPr>
                <w:color w:val="auto"/>
              </w:rPr>
              <w:t>8.45</w:t>
            </w:r>
          </w:p>
        </w:tc>
        <w:tc>
          <w:tcPr>
            <w:tcW w:w="499" w:type="pct"/>
            <w:tcBorders>
              <w:tl2br w:val="nil"/>
              <w:tr2bl w:val="nil"/>
            </w:tcBorders>
            <w:shd w:val="clear" w:color="auto" w:fill="auto"/>
            <w:noWrap/>
            <w:vAlign w:val="center"/>
          </w:tcPr>
          <w:p w14:paraId="48ED734F">
            <w:pPr>
              <w:spacing w:before="31" w:beforeLines="10" w:line="264" w:lineRule="auto"/>
              <w:jc w:val="center"/>
              <w:rPr>
                <w:color w:val="auto"/>
              </w:rPr>
            </w:pPr>
            <w:r>
              <w:rPr>
                <w:color w:val="auto"/>
              </w:rPr>
              <w:t>0.18</w:t>
            </w:r>
          </w:p>
        </w:tc>
        <w:tc>
          <w:tcPr>
            <w:tcW w:w="499" w:type="pct"/>
            <w:tcBorders>
              <w:tl2br w:val="nil"/>
              <w:tr2bl w:val="nil"/>
            </w:tcBorders>
            <w:shd w:val="clear" w:color="auto" w:fill="auto"/>
            <w:noWrap/>
            <w:vAlign w:val="center"/>
          </w:tcPr>
          <w:p w14:paraId="7593C758">
            <w:pPr>
              <w:spacing w:before="31" w:beforeLines="10" w:line="264" w:lineRule="auto"/>
              <w:jc w:val="center"/>
              <w:rPr>
                <w:color w:val="auto"/>
              </w:rPr>
            </w:pPr>
            <w:r>
              <w:rPr>
                <w:color w:val="auto"/>
              </w:rPr>
              <w:t>25.3</w:t>
            </w:r>
          </w:p>
        </w:tc>
        <w:tc>
          <w:tcPr>
            <w:tcW w:w="499" w:type="pct"/>
            <w:tcBorders>
              <w:tl2br w:val="nil"/>
              <w:tr2bl w:val="nil"/>
            </w:tcBorders>
            <w:shd w:val="clear" w:color="auto" w:fill="auto"/>
            <w:noWrap/>
            <w:vAlign w:val="center"/>
          </w:tcPr>
          <w:p w14:paraId="50782ED4">
            <w:pPr>
              <w:spacing w:before="31" w:beforeLines="10" w:line="264" w:lineRule="auto"/>
              <w:jc w:val="center"/>
              <w:rPr>
                <w:color w:val="auto"/>
              </w:rPr>
            </w:pPr>
            <w:r>
              <w:rPr>
                <w:color w:val="auto"/>
              </w:rPr>
              <w:t>42</w:t>
            </w:r>
          </w:p>
        </w:tc>
        <w:tc>
          <w:tcPr>
            <w:tcW w:w="499" w:type="pct"/>
            <w:tcBorders>
              <w:tl2br w:val="nil"/>
              <w:tr2bl w:val="nil"/>
            </w:tcBorders>
            <w:shd w:val="clear" w:color="auto" w:fill="auto"/>
            <w:noWrap/>
            <w:vAlign w:val="center"/>
          </w:tcPr>
          <w:p w14:paraId="3BA7FF48">
            <w:pPr>
              <w:spacing w:before="31" w:beforeLines="10" w:line="264" w:lineRule="auto"/>
              <w:jc w:val="center"/>
              <w:rPr>
                <w:color w:val="auto"/>
              </w:rPr>
            </w:pPr>
            <w:r>
              <w:rPr>
                <w:color w:val="auto"/>
              </w:rPr>
              <w:t>8.4</w:t>
            </w:r>
          </w:p>
        </w:tc>
        <w:tc>
          <w:tcPr>
            <w:tcW w:w="500" w:type="pct"/>
            <w:tcBorders>
              <w:tl2br w:val="nil"/>
              <w:tr2bl w:val="nil"/>
            </w:tcBorders>
            <w:shd w:val="clear" w:color="auto" w:fill="auto"/>
            <w:noWrap w:val="0"/>
            <w:vAlign w:val="center"/>
          </w:tcPr>
          <w:p w14:paraId="19B5B7BA">
            <w:pPr>
              <w:spacing w:before="31" w:beforeLines="10" w:line="264" w:lineRule="auto"/>
              <w:jc w:val="center"/>
              <w:rPr>
                <w:color w:val="auto"/>
              </w:rPr>
            </w:pPr>
            <w:r>
              <w:rPr>
                <w:color w:val="auto"/>
              </w:rPr>
              <w:t>0.113</w:t>
            </w:r>
          </w:p>
        </w:tc>
        <w:tc>
          <w:tcPr>
            <w:tcW w:w="500" w:type="pct"/>
            <w:tcBorders>
              <w:tl2br w:val="nil"/>
              <w:tr2bl w:val="nil"/>
            </w:tcBorders>
            <w:shd w:val="clear" w:color="auto" w:fill="auto"/>
            <w:noWrap w:val="0"/>
            <w:vAlign w:val="center"/>
          </w:tcPr>
          <w:p w14:paraId="23B7652D">
            <w:pPr>
              <w:spacing w:before="31" w:beforeLines="10" w:line="264" w:lineRule="auto"/>
              <w:jc w:val="center"/>
              <w:rPr>
                <w:rFonts w:hint="eastAsia"/>
                <w:color w:val="auto"/>
                <w:lang w:val="en-US" w:eastAsia="zh-CN"/>
              </w:rPr>
            </w:pPr>
            <w:r>
              <w:rPr>
                <w:rFonts w:hint="eastAsia"/>
                <w:color w:val="auto"/>
                <w:lang w:val="en-US" w:eastAsia="zh-CN"/>
              </w:rPr>
              <w:t>1.2~1.7</w:t>
            </w:r>
          </w:p>
          <w:p w14:paraId="54EB9D46">
            <w:pPr>
              <w:spacing w:before="31" w:beforeLines="10" w:line="264" w:lineRule="auto"/>
              <w:jc w:val="center"/>
              <w:rPr>
                <w:rFonts w:hint="default" w:eastAsia="宋体"/>
                <w:color w:val="auto"/>
                <w:lang w:val="en-US" w:eastAsia="zh-CN"/>
              </w:rPr>
            </w:pPr>
            <w:r>
              <w:rPr>
                <w:rFonts w:hint="eastAsia"/>
                <w:color w:val="auto"/>
                <w:lang w:val="en-US" w:eastAsia="zh-CN"/>
              </w:rPr>
              <w:t>ng-TEQ/kg</w:t>
            </w:r>
          </w:p>
        </w:tc>
      </w:tr>
      <w:tr w14:paraId="5524B09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19B85452">
            <w:pPr>
              <w:spacing w:before="31" w:beforeLines="10" w:line="264" w:lineRule="auto"/>
              <w:jc w:val="center"/>
              <w:rPr>
                <w:color w:val="auto"/>
              </w:rPr>
            </w:pPr>
          </w:p>
        </w:tc>
        <w:tc>
          <w:tcPr>
            <w:tcW w:w="694" w:type="pct"/>
            <w:tcBorders>
              <w:tl2br w:val="nil"/>
              <w:tr2bl w:val="nil"/>
            </w:tcBorders>
            <w:shd w:val="clear" w:color="auto" w:fill="auto"/>
            <w:noWrap/>
            <w:vAlign w:val="center"/>
          </w:tcPr>
          <w:p w14:paraId="1F51A4D7">
            <w:pPr>
              <w:spacing w:before="31" w:beforeLines="10" w:line="264" w:lineRule="auto"/>
              <w:jc w:val="center"/>
              <w:rPr>
                <w:color w:val="auto"/>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062FDD90">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3D616B5A">
            <w:pPr>
              <w:spacing w:before="31" w:beforeLines="10" w:line="264" w:lineRule="auto"/>
              <w:jc w:val="center"/>
              <w:rPr>
                <w:color w:val="auto"/>
              </w:rPr>
            </w:pPr>
            <w:r>
              <w:rPr>
                <w:rFonts w:hint="eastAsia"/>
                <w:color w:val="auto"/>
                <w:lang w:val="en-US" w:eastAsia="zh-CN"/>
              </w:rPr>
              <w:t>0.6</w:t>
            </w:r>
          </w:p>
        </w:tc>
        <w:tc>
          <w:tcPr>
            <w:tcW w:w="499" w:type="pct"/>
            <w:tcBorders>
              <w:tl2br w:val="nil"/>
              <w:tr2bl w:val="nil"/>
            </w:tcBorders>
            <w:shd w:val="clear" w:color="auto" w:fill="auto"/>
            <w:noWrap/>
            <w:vAlign w:val="center"/>
          </w:tcPr>
          <w:p w14:paraId="2DBB2B9C">
            <w:pPr>
              <w:spacing w:before="31" w:beforeLines="10" w:line="264" w:lineRule="auto"/>
              <w:jc w:val="center"/>
              <w:rPr>
                <w:color w:val="auto"/>
              </w:rPr>
            </w:pPr>
            <w:r>
              <w:rPr>
                <w:rFonts w:hint="eastAsia"/>
                <w:color w:val="auto"/>
                <w:lang w:val="en-US" w:eastAsia="zh-CN"/>
              </w:rPr>
              <w:t>350</w:t>
            </w:r>
          </w:p>
        </w:tc>
        <w:tc>
          <w:tcPr>
            <w:tcW w:w="499" w:type="pct"/>
            <w:tcBorders>
              <w:tl2br w:val="nil"/>
              <w:tr2bl w:val="nil"/>
            </w:tcBorders>
            <w:shd w:val="clear" w:color="auto" w:fill="auto"/>
            <w:noWrap/>
            <w:vAlign w:val="center"/>
          </w:tcPr>
          <w:p w14:paraId="065D3A9F">
            <w:pPr>
              <w:spacing w:before="31" w:beforeLines="10" w:line="264" w:lineRule="auto"/>
              <w:jc w:val="center"/>
              <w:rPr>
                <w:color w:val="auto"/>
              </w:rPr>
            </w:pPr>
            <w:r>
              <w:rPr>
                <w:rFonts w:hint="eastAsia"/>
                <w:color w:val="auto"/>
                <w:lang w:val="en-US" w:eastAsia="zh-CN"/>
              </w:rPr>
              <w:t>250</w:t>
            </w:r>
          </w:p>
        </w:tc>
        <w:tc>
          <w:tcPr>
            <w:tcW w:w="499" w:type="pct"/>
            <w:tcBorders>
              <w:tl2br w:val="nil"/>
              <w:tr2bl w:val="nil"/>
            </w:tcBorders>
            <w:shd w:val="clear" w:color="auto" w:fill="auto"/>
            <w:noWrap/>
            <w:vAlign w:val="center"/>
          </w:tcPr>
          <w:p w14:paraId="60F64500">
            <w:pPr>
              <w:spacing w:before="31" w:beforeLines="10" w:line="264" w:lineRule="auto"/>
              <w:jc w:val="center"/>
              <w:rPr>
                <w:color w:val="auto"/>
              </w:rPr>
            </w:pPr>
            <w:r>
              <w:rPr>
                <w:rFonts w:hint="eastAsia"/>
                <w:color w:val="auto"/>
                <w:lang w:val="en-US" w:eastAsia="zh-CN"/>
              </w:rPr>
              <w:t>25</w:t>
            </w:r>
          </w:p>
        </w:tc>
        <w:tc>
          <w:tcPr>
            <w:tcW w:w="500" w:type="pct"/>
            <w:tcBorders>
              <w:tl2br w:val="nil"/>
              <w:tr2bl w:val="nil"/>
            </w:tcBorders>
            <w:shd w:val="clear" w:color="auto" w:fill="auto"/>
            <w:noWrap w:val="0"/>
            <w:vAlign w:val="center"/>
          </w:tcPr>
          <w:p w14:paraId="4240305F">
            <w:pPr>
              <w:spacing w:before="31" w:beforeLines="10" w:line="264" w:lineRule="auto"/>
              <w:jc w:val="center"/>
              <w:rPr>
                <w:color w:val="auto"/>
              </w:rPr>
            </w:pPr>
            <w:r>
              <w:rPr>
                <w:rFonts w:hint="eastAsia"/>
                <w:color w:val="auto"/>
                <w:lang w:val="en-US" w:eastAsia="zh-CN"/>
              </w:rPr>
              <w:t>1.0</w:t>
            </w:r>
          </w:p>
        </w:tc>
        <w:tc>
          <w:tcPr>
            <w:tcW w:w="500" w:type="pct"/>
            <w:tcBorders>
              <w:tl2br w:val="nil"/>
              <w:tr2bl w:val="nil"/>
            </w:tcBorders>
            <w:shd w:val="clear" w:color="auto" w:fill="auto"/>
            <w:noWrap w:val="0"/>
            <w:vAlign w:val="center"/>
          </w:tcPr>
          <w:p w14:paraId="17E26D2F">
            <w:pPr>
              <w:spacing w:before="31" w:beforeLines="10" w:line="264" w:lineRule="auto"/>
              <w:jc w:val="center"/>
              <w:rPr>
                <w:rFonts w:hint="default"/>
                <w:color w:val="auto"/>
                <w:lang w:val="en-US" w:eastAsia="zh-CN"/>
              </w:rPr>
            </w:pPr>
            <w:r>
              <w:rPr>
                <w:rFonts w:hint="eastAsia"/>
                <w:color w:val="auto"/>
                <w:lang w:val="en-US" w:eastAsia="zh-CN"/>
              </w:rPr>
              <w:t>/</w:t>
            </w:r>
          </w:p>
        </w:tc>
      </w:tr>
      <w:tr w14:paraId="39A2F15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5BC98663">
            <w:pPr>
              <w:spacing w:before="31" w:beforeLines="10" w:line="264" w:lineRule="auto"/>
              <w:jc w:val="center"/>
              <w:rPr>
                <w:color w:val="auto"/>
              </w:rPr>
            </w:pPr>
          </w:p>
        </w:tc>
        <w:tc>
          <w:tcPr>
            <w:tcW w:w="694" w:type="pct"/>
            <w:tcBorders>
              <w:tl2br w:val="nil"/>
              <w:tr2bl w:val="nil"/>
            </w:tcBorders>
            <w:shd w:val="clear" w:color="auto" w:fill="auto"/>
            <w:noWrap/>
            <w:vAlign w:val="center"/>
          </w:tcPr>
          <w:p w14:paraId="3FBD3D2C">
            <w:pPr>
              <w:spacing w:before="31" w:beforeLines="10" w:line="264" w:lineRule="auto"/>
              <w:jc w:val="center"/>
              <w:rPr>
                <w:color w:val="auto"/>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3E42C523">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217D8DB1">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266E20F2">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0DDBEC41">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7B91A3AE">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178A8B4A">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3131D6C4">
            <w:pPr>
              <w:spacing w:before="31" w:beforeLines="10" w:line="264" w:lineRule="auto"/>
              <w:jc w:val="center"/>
              <w:rPr>
                <w:rFonts w:hint="default"/>
                <w:color w:val="auto"/>
                <w:lang w:val="en-US" w:eastAsia="zh-CN"/>
              </w:rPr>
            </w:pPr>
            <w:r>
              <w:rPr>
                <w:rFonts w:hint="eastAsia"/>
                <w:color w:val="auto"/>
                <w:lang w:val="en-US" w:eastAsia="zh-CN"/>
              </w:rPr>
              <w:t>/</w:t>
            </w:r>
          </w:p>
        </w:tc>
      </w:tr>
      <w:tr w14:paraId="1850BFB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0"/>
            <w:vAlign w:val="center"/>
          </w:tcPr>
          <w:p w14:paraId="799957DA">
            <w:pPr>
              <w:spacing w:before="31" w:beforeLines="10" w:line="264" w:lineRule="auto"/>
              <w:jc w:val="center"/>
              <w:rPr>
                <w:color w:val="auto"/>
              </w:rPr>
            </w:pPr>
            <w:r>
              <w:rPr>
                <w:color w:val="auto"/>
                <w:szCs w:val="21"/>
              </w:rPr>
              <w:t>G4公租房区</w:t>
            </w:r>
          </w:p>
        </w:tc>
        <w:tc>
          <w:tcPr>
            <w:tcW w:w="694" w:type="pct"/>
            <w:tcBorders>
              <w:tl2br w:val="nil"/>
              <w:tr2bl w:val="nil"/>
            </w:tcBorders>
            <w:shd w:val="clear" w:color="auto" w:fill="auto"/>
            <w:noWrap/>
            <w:vAlign w:val="center"/>
          </w:tcPr>
          <w:p w14:paraId="04B8C74A">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037B76D6">
            <w:pPr>
              <w:spacing w:before="31" w:beforeLines="10" w:line="264" w:lineRule="auto"/>
              <w:jc w:val="center"/>
              <w:rPr>
                <w:color w:val="auto"/>
              </w:rPr>
            </w:pPr>
            <w:r>
              <w:rPr>
                <w:color w:val="auto"/>
              </w:rPr>
              <w:t>8.34</w:t>
            </w:r>
          </w:p>
        </w:tc>
        <w:tc>
          <w:tcPr>
            <w:tcW w:w="499" w:type="pct"/>
            <w:tcBorders>
              <w:tl2br w:val="nil"/>
              <w:tr2bl w:val="nil"/>
            </w:tcBorders>
            <w:shd w:val="clear" w:color="auto" w:fill="auto"/>
            <w:noWrap/>
            <w:vAlign w:val="center"/>
          </w:tcPr>
          <w:p w14:paraId="547BAF48">
            <w:pPr>
              <w:spacing w:before="31" w:beforeLines="10" w:line="264" w:lineRule="auto"/>
              <w:jc w:val="center"/>
              <w:rPr>
                <w:color w:val="auto"/>
              </w:rPr>
            </w:pPr>
            <w:r>
              <w:rPr>
                <w:color w:val="auto"/>
              </w:rPr>
              <w:t>0.19</w:t>
            </w:r>
          </w:p>
        </w:tc>
        <w:tc>
          <w:tcPr>
            <w:tcW w:w="499" w:type="pct"/>
            <w:tcBorders>
              <w:tl2br w:val="nil"/>
              <w:tr2bl w:val="nil"/>
            </w:tcBorders>
            <w:shd w:val="clear" w:color="auto" w:fill="auto"/>
            <w:noWrap/>
            <w:vAlign w:val="center"/>
          </w:tcPr>
          <w:p w14:paraId="55937164">
            <w:pPr>
              <w:spacing w:before="31" w:beforeLines="10" w:line="264" w:lineRule="auto"/>
              <w:jc w:val="center"/>
              <w:rPr>
                <w:color w:val="auto"/>
              </w:rPr>
            </w:pPr>
            <w:r>
              <w:rPr>
                <w:color w:val="auto"/>
              </w:rPr>
              <w:t>24.6</w:t>
            </w:r>
          </w:p>
        </w:tc>
        <w:tc>
          <w:tcPr>
            <w:tcW w:w="499" w:type="pct"/>
            <w:tcBorders>
              <w:tl2br w:val="nil"/>
              <w:tr2bl w:val="nil"/>
            </w:tcBorders>
            <w:shd w:val="clear" w:color="auto" w:fill="auto"/>
            <w:noWrap/>
            <w:vAlign w:val="center"/>
          </w:tcPr>
          <w:p w14:paraId="19C3FDC1">
            <w:pPr>
              <w:spacing w:before="31" w:beforeLines="10" w:line="264" w:lineRule="auto"/>
              <w:jc w:val="center"/>
              <w:rPr>
                <w:color w:val="auto"/>
              </w:rPr>
            </w:pPr>
            <w:r>
              <w:rPr>
                <w:color w:val="auto"/>
              </w:rPr>
              <w:t>46</w:t>
            </w:r>
          </w:p>
        </w:tc>
        <w:tc>
          <w:tcPr>
            <w:tcW w:w="499" w:type="pct"/>
            <w:tcBorders>
              <w:tl2br w:val="nil"/>
              <w:tr2bl w:val="nil"/>
            </w:tcBorders>
            <w:shd w:val="clear" w:color="auto" w:fill="auto"/>
            <w:noWrap/>
            <w:vAlign w:val="center"/>
          </w:tcPr>
          <w:p w14:paraId="4F8669B4">
            <w:pPr>
              <w:spacing w:before="31" w:beforeLines="10" w:line="264" w:lineRule="auto"/>
              <w:jc w:val="center"/>
              <w:rPr>
                <w:color w:val="auto"/>
              </w:rPr>
            </w:pPr>
            <w:r>
              <w:rPr>
                <w:color w:val="auto"/>
              </w:rPr>
              <w:t>5.2</w:t>
            </w:r>
          </w:p>
        </w:tc>
        <w:tc>
          <w:tcPr>
            <w:tcW w:w="500" w:type="pct"/>
            <w:tcBorders>
              <w:tl2br w:val="nil"/>
              <w:tr2bl w:val="nil"/>
            </w:tcBorders>
            <w:shd w:val="clear" w:color="auto" w:fill="auto"/>
            <w:noWrap w:val="0"/>
            <w:vAlign w:val="center"/>
          </w:tcPr>
          <w:p w14:paraId="10A74E47">
            <w:pPr>
              <w:spacing w:before="31" w:beforeLines="10" w:line="264" w:lineRule="auto"/>
              <w:jc w:val="center"/>
              <w:rPr>
                <w:color w:val="auto"/>
              </w:rPr>
            </w:pPr>
            <w:r>
              <w:rPr>
                <w:color w:val="auto"/>
              </w:rPr>
              <w:t>0.097</w:t>
            </w:r>
          </w:p>
        </w:tc>
        <w:tc>
          <w:tcPr>
            <w:tcW w:w="500" w:type="pct"/>
            <w:tcBorders>
              <w:tl2br w:val="nil"/>
              <w:tr2bl w:val="nil"/>
            </w:tcBorders>
            <w:shd w:val="clear" w:color="auto" w:fill="auto"/>
            <w:noWrap w:val="0"/>
            <w:vAlign w:val="center"/>
          </w:tcPr>
          <w:p w14:paraId="55055CCB">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3162277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312C8691">
            <w:pPr>
              <w:spacing w:before="31" w:beforeLines="10" w:line="264" w:lineRule="auto"/>
              <w:jc w:val="center"/>
              <w:rPr>
                <w:color w:val="auto"/>
              </w:rPr>
            </w:pPr>
          </w:p>
        </w:tc>
        <w:tc>
          <w:tcPr>
            <w:tcW w:w="694" w:type="pct"/>
            <w:tcBorders>
              <w:tl2br w:val="nil"/>
              <w:tr2bl w:val="nil"/>
            </w:tcBorders>
            <w:shd w:val="clear" w:color="auto" w:fill="auto"/>
            <w:noWrap/>
            <w:vAlign w:val="center"/>
          </w:tcPr>
          <w:p w14:paraId="6795491C">
            <w:pPr>
              <w:spacing w:before="31" w:beforeLines="10" w:line="264" w:lineRule="auto"/>
              <w:jc w:val="center"/>
              <w:rPr>
                <w:color w:val="auto"/>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7C77163C">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71A9DBD5">
            <w:pPr>
              <w:spacing w:before="31" w:beforeLines="10" w:line="264" w:lineRule="auto"/>
              <w:jc w:val="center"/>
              <w:rPr>
                <w:color w:val="auto"/>
              </w:rPr>
            </w:pPr>
            <w:r>
              <w:rPr>
                <w:rFonts w:hint="eastAsia"/>
                <w:color w:val="auto"/>
                <w:lang w:val="en-US" w:eastAsia="zh-CN"/>
              </w:rPr>
              <w:t>0.6</w:t>
            </w:r>
          </w:p>
        </w:tc>
        <w:tc>
          <w:tcPr>
            <w:tcW w:w="499" w:type="pct"/>
            <w:tcBorders>
              <w:tl2br w:val="nil"/>
              <w:tr2bl w:val="nil"/>
            </w:tcBorders>
            <w:shd w:val="clear" w:color="auto" w:fill="auto"/>
            <w:noWrap/>
            <w:vAlign w:val="center"/>
          </w:tcPr>
          <w:p w14:paraId="30211FC2">
            <w:pPr>
              <w:spacing w:before="31" w:beforeLines="10" w:line="264" w:lineRule="auto"/>
              <w:jc w:val="center"/>
              <w:rPr>
                <w:color w:val="auto"/>
              </w:rPr>
            </w:pPr>
            <w:r>
              <w:rPr>
                <w:rFonts w:hint="eastAsia"/>
                <w:color w:val="auto"/>
                <w:lang w:val="en-US" w:eastAsia="zh-CN"/>
              </w:rPr>
              <w:t>350</w:t>
            </w:r>
          </w:p>
        </w:tc>
        <w:tc>
          <w:tcPr>
            <w:tcW w:w="499" w:type="pct"/>
            <w:tcBorders>
              <w:tl2br w:val="nil"/>
              <w:tr2bl w:val="nil"/>
            </w:tcBorders>
            <w:shd w:val="clear" w:color="auto" w:fill="auto"/>
            <w:noWrap/>
            <w:vAlign w:val="center"/>
          </w:tcPr>
          <w:p w14:paraId="72CF64AD">
            <w:pPr>
              <w:spacing w:before="31" w:beforeLines="10" w:line="264" w:lineRule="auto"/>
              <w:jc w:val="center"/>
              <w:rPr>
                <w:color w:val="auto"/>
              </w:rPr>
            </w:pPr>
            <w:r>
              <w:rPr>
                <w:rFonts w:hint="eastAsia"/>
                <w:color w:val="auto"/>
                <w:lang w:val="en-US" w:eastAsia="zh-CN"/>
              </w:rPr>
              <w:t>250</w:t>
            </w:r>
          </w:p>
        </w:tc>
        <w:tc>
          <w:tcPr>
            <w:tcW w:w="499" w:type="pct"/>
            <w:tcBorders>
              <w:tl2br w:val="nil"/>
              <w:tr2bl w:val="nil"/>
            </w:tcBorders>
            <w:shd w:val="clear" w:color="auto" w:fill="auto"/>
            <w:noWrap/>
            <w:vAlign w:val="center"/>
          </w:tcPr>
          <w:p w14:paraId="3D923D5D">
            <w:pPr>
              <w:spacing w:before="31" w:beforeLines="10" w:line="264" w:lineRule="auto"/>
              <w:jc w:val="center"/>
              <w:rPr>
                <w:color w:val="auto"/>
              </w:rPr>
            </w:pPr>
            <w:r>
              <w:rPr>
                <w:rFonts w:hint="eastAsia"/>
                <w:color w:val="auto"/>
                <w:lang w:val="en-US" w:eastAsia="zh-CN"/>
              </w:rPr>
              <w:t>25</w:t>
            </w:r>
          </w:p>
        </w:tc>
        <w:tc>
          <w:tcPr>
            <w:tcW w:w="500" w:type="pct"/>
            <w:tcBorders>
              <w:tl2br w:val="nil"/>
              <w:tr2bl w:val="nil"/>
            </w:tcBorders>
            <w:shd w:val="clear" w:color="auto" w:fill="auto"/>
            <w:noWrap w:val="0"/>
            <w:vAlign w:val="center"/>
          </w:tcPr>
          <w:p w14:paraId="792FF48A">
            <w:pPr>
              <w:spacing w:before="31" w:beforeLines="10" w:line="264" w:lineRule="auto"/>
              <w:jc w:val="center"/>
              <w:rPr>
                <w:color w:val="auto"/>
              </w:rPr>
            </w:pPr>
            <w:r>
              <w:rPr>
                <w:rFonts w:hint="eastAsia"/>
                <w:color w:val="auto"/>
                <w:lang w:val="en-US" w:eastAsia="zh-CN"/>
              </w:rPr>
              <w:t>1.0</w:t>
            </w:r>
          </w:p>
        </w:tc>
        <w:tc>
          <w:tcPr>
            <w:tcW w:w="500" w:type="pct"/>
            <w:tcBorders>
              <w:tl2br w:val="nil"/>
              <w:tr2bl w:val="nil"/>
            </w:tcBorders>
            <w:shd w:val="clear" w:color="auto" w:fill="auto"/>
            <w:noWrap w:val="0"/>
            <w:vAlign w:val="center"/>
          </w:tcPr>
          <w:p w14:paraId="15F84DFF">
            <w:pPr>
              <w:spacing w:before="31" w:beforeLines="10" w:line="264" w:lineRule="auto"/>
              <w:jc w:val="center"/>
              <w:rPr>
                <w:rFonts w:hint="default"/>
                <w:color w:val="auto"/>
                <w:lang w:val="en-US" w:eastAsia="zh-CN"/>
              </w:rPr>
            </w:pPr>
            <w:r>
              <w:rPr>
                <w:rFonts w:hint="eastAsia"/>
                <w:color w:val="auto"/>
                <w:lang w:val="en-US" w:eastAsia="zh-CN"/>
              </w:rPr>
              <w:t>/</w:t>
            </w:r>
          </w:p>
        </w:tc>
      </w:tr>
      <w:tr w14:paraId="5AB2C3B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58A77C83">
            <w:pPr>
              <w:spacing w:before="31" w:beforeLines="10" w:line="264" w:lineRule="auto"/>
              <w:jc w:val="center"/>
              <w:rPr>
                <w:color w:val="auto"/>
              </w:rPr>
            </w:pPr>
          </w:p>
        </w:tc>
        <w:tc>
          <w:tcPr>
            <w:tcW w:w="694" w:type="pct"/>
            <w:tcBorders>
              <w:tl2br w:val="nil"/>
              <w:tr2bl w:val="nil"/>
            </w:tcBorders>
            <w:shd w:val="clear" w:color="auto" w:fill="auto"/>
            <w:noWrap/>
            <w:vAlign w:val="center"/>
          </w:tcPr>
          <w:p w14:paraId="1CE5D6C0">
            <w:pPr>
              <w:spacing w:before="31" w:beforeLines="10" w:line="264" w:lineRule="auto"/>
              <w:jc w:val="center"/>
              <w:rPr>
                <w:color w:val="auto"/>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7B7C0FA4">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49CBEB24">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109D40E3">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053F0D5C">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5633F2FA">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6101E375">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2C62760B">
            <w:pPr>
              <w:spacing w:before="31" w:beforeLines="10" w:line="264" w:lineRule="auto"/>
              <w:jc w:val="center"/>
              <w:rPr>
                <w:rFonts w:hint="default"/>
                <w:color w:val="auto"/>
                <w:lang w:val="en-US" w:eastAsia="zh-CN"/>
              </w:rPr>
            </w:pPr>
            <w:r>
              <w:rPr>
                <w:rFonts w:hint="eastAsia"/>
                <w:color w:val="auto"/>
                <w:lang w:val="en-US" w:eastAsia="zh-CN"/>
              </w:rPr>
              <w:t>/</w:t>
            </w:r>
          </w:p>
        </w:tc>
      </w:tr>
      <w:tr w14:paraId="703FB2E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0"/>
            <w:vAlign w:val="center"/>
          </w:tcPr>
          <w:p w14:paraId="6D835D8E">
            <w:pPr>
              <w:spacing w:before="31" w:beforeLines="10" w:line="264" w:lineRule="auto"/>
              <w:jc w:val="center"/>
              <w:rPr>
                <w:color w:val="auto"/>
              </w:rPr>
            </w:pPr>
            <w:r>
              <w:rPr>
                <w:color w:val="auto"/>
                <w:szCs w:val="21"/>
              </w:rPr>
              <w:t>G5赵楼村</w:t>
            </w:r>
          </w:p>
        </w:tc>
        <w:tc>
          <w:tcPr>
            <w:tcW w:w="694" w:type="pct"/>
            <w:tcBorders>
              <w:tl2br w:val="nil"/>
              <w:tr2bl w:val="nil"/>
            </w:tcBorders>
            <w:shd w:val="clear" w:color="auto" w:fill="auto"/>
            <w:noWrap/>
            <w:vAlign w:val="center"/>
          </w:tcPr>
          <w:p w14:paraId="5A3D41A7">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04539B0B">
            <w:pPr>
              <w:spacing w:before="31" w:beforeLines="10" w:line="264" w:lineRule="auto"/>
              <w:jc w:val="center"/>
              <w:rPr>
                <w:color w:val="auto"/>
              </w:rPr>
            </w:pPr>
            <w:r>
              <w:rPr>
                <w:color w:val="auto"/>
              </w:rPr>
              <w:t>8.28</w:t>
            </w:r>
          </w:p>
        </w:tc>
        <w:tc>
          <w:tcPr>
            <w:tcW w:w="499" w:type="pct"/>
            <w:tcBorders>
              <w:tl2br w:val="nil"/>
              <w:tr2bl w:val="nil"/>
            </w:tcBorders>
            <w:shd w:val="clear" w:color="auto" w:fill="auto"/>
            <w:noWrap/>
            <w:vAlign w:val="center"/>
          </w:tcPr>
          <w:p w14:paraId="079192B8">
            <w:pPr>
              <w:spacing w:before="31" w:beforeLines="10" w:line="264" w:lineRule="auto"/>
              <w:jc w:val="center"/>
              <w:rPr>
                <w:color w:val="auto"/>
              </w:rPr>
            </w:pPr>
            <w:r>
              <w:rPr>
                <w:color w:val="auto"/>
              </w:rPr>
              <w:t>0.2</w:t>
            </w:r>
          </w:p>
        </w:tc>
        <w:tc>
          <w:tcPr>
            <w:tcW w:w="499" w:type="pct"/>
            <w:tcBorders>
              <w:tl2br w:val="nil"/>
              <w:tr2bl w:val="nil"/>
            </w:tcBorders>
            <w:shd w:val="clear" w:color="auto" w:fill="auto"/>
            <w:noWrap/>
            <w:vAlign w:val="center"/>
          </w:tcPr>
          <w:p w14:paraId="62B38FB3">
            <w:pPr>
              <w:spacing w:before="31" w:beforeLines="10" w:line="264" w:lineRule="auto"/>
              <w:jc w:val="center"/>
              <w:rPr>
                <w:color w:val="auto"/>
              </w:rPr>
            </w:pPr>
            <w:r>
              <w:rPr>
                <w:color w:val="auto"/>
              </w:rPr>
              <w:t>20.9</w:t>
            </w:r>
          </w:p>
        </w:tc>
        <w:tc>
          <w:tcPr>
            <w:tcW w:w="499" w:type="pct"/>
            <w:tcBorders>
              <w:tl2br w:val="nil"/>
              <w:tr2bl w:val="nil"/>
            </w:tcBorders>
            <w:shd w:val="clear" w:color="auto" w:fill="auto"/>
            <w:noWrap/>
            <w:vAlign w:val="center"/>
          </w:tcPr>
          <w:p w14:paraId="0DCA9D10">
            <w:pPr>
              <w:spacing w:before="31" w:beforeLines="10" w:line="264" w:lineRule="auto"/>
              <w:jc w:val="center"/>
              <w:rPr>
                <w:color w:val="auto"/>
              </w:rPr>
            </w:pPr>
            <w:r>
              <w:rPr>
                <w:color w:val="auto"/>
              </w:rPr>
              <w:t>40</w:t>
            </w:r>
          </w:p>
        </w:tc>
        <w:tc>
          <w:tcPr>
            <w:tcW w:w="499" w:type="pct"/>
            <w:tcBorders>
              <w:tl2br w:val="nil"/>
              <w:tr2bl w:val="nil"/>
            </w:tcBorders>
            <w:shd w:val="clear" w:color="auto" w:fill="auto"/>
            <w:noWrap/>
            <w:vAlign w:val="center"/>
          </w:tcPr>
          <w:p w14:paraId="3AF3804C">
            <w:pPr>
              <w:spacing w:before="31" w:beforeLines="10" w:line="264" w:lineRule="auto"/>
              <w:jc w:val="center"/>
              <w:rPr>
                <w:color w:val="auto"/>
              </w:rPr>
            </w:pPr>
            <w:r>
              <w:rPr>
                <w:color w:val="auto"/>
              </w:rPr>
              <w:t>5.7</w:t>
            </w:r>
          </w:p>
        </w:tc>
        <w:tc>
          <w:tcPr>
            <w:tcW w:w="500" w:type="pct"/>
            <w:tcBorders>
              <w:tl2br w:val="nil"/>
              <w:tr2bl w:val="nil"/>
            </w:tcBorders>
            <w:shd w:val="clear" w:color="auto" w:fill="auto"/>
            <w:noWrap w:val="0"/>
            <w:vAlign w:val="center"/>
          </w:tcPr>
          <w:p w14:paraId="3930CF6B">
            <w:pPr>
              <w:spacing w:before="31" w:beforeLines="10" w:line="264" w:lineRule="auto"/>
              <w:jc w:val="center"/>
              <w:rPr>
                <w:color w:val="auto"/>
              </w:rPr>
            </w:pPr>
            <w:r>
              <w:rPr>
                <w:color w:val="auto"/>
              </w:rPr>
              <w:t>0.12</w:t>
            </w:r>
          </w:p>
        </w:tc>
        <w:tc>
          <w:tcPr>
            <w:tcW w:w="500" w:type="pct"/>
            <w:tcBorders>
              <w:tl2br w:val="nil"/>
              <w:tr2bl w:val="nil"/>
            </w:tcBorders>
            <w:shd w:val="clear" w:color="auto" w:fill="auto"/>
            <w:noWrap w:val="0"/>
            <w:vAlign w:val="center"/>
          </w:tcPr>
          <w:p w14:paraId="01A50516">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498CA10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28BD2463">
            <w:pPr>
              <w:spacing w:before="31" w:beforeLines="10" w:line="264" w:lineRule="auto"/>
              <w:jc w:val="center"/>
              <w:rPr>
                <w:color w:val="auto"/>
              </w:rPr>
            </w:pPr>
          </w:p>
        </w:tc>
        <w:tc>
          <w:tcPr>
            <w:tcW w:w="694" w:type="pct"/>
            <w:tcBorders>
              <w:tl2br w:val="nil"/>
              <w:tr2bl w:val="nil"/>
            </w:tcBorders>
            <w:shd w:val="clear" w:color="auto" w:fill="auto"/>
            <w:noWrap/>
            <w:vAlign w:val="center"/>
          </w:tcPr>
          <w:p w14:paraId="5179E9BF">
            <w:pPr>
              <w:spacing w:before="31" w:beforeLines="10" w:line="264" w:lineRule="auto"/>
              <w:jc w:val="center"/>
              <w:rPr>
                <w:color w:val="auto"/>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4D570AB8">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182ED74C">
            <w:pPr>
              <w:spacing w:before="31" w:beforeLines="10" w:line="264" w:lineRule="auto"/>
              <w:jc w:val="center"/>
              <w:rPr>
                <w:color w:val="auto"/>
              </w:rPr>
            </w:pPr>
            <w:r>
              <w:rPr>
                <w:rFonts w:hint="eastAsia"/>
                <w:color w:val="auto"/>
                <w:lang w:val="en-US" w:eastAsia="zh-CN"/>
              </w:rPr>
              <w:t>0.6</w:t>
            </w:r>
          </w:p>
        </w:tc>
        <w:tc>
          <w:tcPr>
            <w:tcW w:w="499" w:type="pct"/>
            <w:tcBorders>
              <w:tl2br w:val="nil"/>
              <w:tr2bl w:val="nil"/>
            </w:tcBorders>
            <w:shd w:val="clear" w:color="auto" w:fill="auto"/>
            <w:noWrap/>
            <w:vAlign w:val="center"/>
          </w:tcPr>
          <w:p w14:paraId="72A76BF8">
            <w:pPr>
              <w:spacing w:before="31" w:beforeLines="10" w:line="264" w:lineRule="auto"/>
              <w:jc w:val="center"/>
              <w:rPr>
                <w:color w:val="auto"/>
              </w:rPr>
            </w:pPr>
            <w:r>
              <w:rPr>
                <w:rFonts w:hint="eastAsia"/>
                <w:color w:val="auto"/>
                <w:lang w:val="en-US" w:eastAsia="zh-CN"/>
              </w:rPr>
              <w:t>350</w:t>
            </w:r>
          </w:p>
        </w:tc>
        <w:tc>
          <w:tcPr>
            <w:tcW w:w="499" w:type="pct"/>
            <w:tcBorders>
              <w:tl2br w:val="nil"/>
              <w:tr2bl w:val="nil"/>
            </w:tcBorders>
            <w:shd w:val="clear" w:color="auto" w:fill="auto"/>
            <w:noWrap/>
            <w:vAlign w:val="center"/>
          </w:tcPr>
          <w:p w14:paraId="2C4687C7">
            <w:pPr>
              <w:spacing w:before="31" w:beforeLines="10" w:line="264" w:lineRule="auto"/>
              <w:jc w:val="center"/>
              <w:rPr>
                <w:color w:val="auto"/>
              </w:rPr>
            </w:pPr>
            <w:r>
              <w:rPr>
                <w:rFonts w:hint="eastAsia"/>
                <w:color w:val="auto"/>
                <w:lang w:val="en-US" w:eastAsia="zh-CN"/>
              </w:rPr>
              <w:t>250</w:t>
            </w:r>
          </w:p>
        </w:tc>
        <w:tc>
          <w:tcPr>
            <w:tcW w:w="499" w:type="pct"/>
            <w:tcBorders>
              <w:tl2br w:val="nil"/>
              <w:tr2bl w:val="nil"/>
            </w:tcBorders>
            <w:shd w:val="clear" w:color="auto" w:fill="auto"/>
            <w:noWrap/>
            <w:vAlign w:val="center"/>
          </w:tcPr>
          <w:p w14:paraId="7ECCED1B">
            <w:pPr>
              <w:spacing w:before="31" w:beforeLines="10" w:line="264" w:lineRule="auto"/>
              <w:jc w:val="center"/>
              <w:rPr>
                <w:color w:val="auto"/>
              </w:rPr>
            </w:pPr>
            <w:r>
              <w:rPr>
                <w:rFonts w:hint="eastAsia"/>
                <w:color w:val="auto"/>
                <w:lang w:val="en-US" w:eastAsia="zh-CN"/>
              </w:rPr>
              <w:t>25</w:t>
            </w:r>
          </w:p>
        </w:tc>
        <w:tc>
          <w:tcPr>
            <w:tcW w:w="500" w:type="pct"/>
            <w:tcBorders>
              <w:tl2br w:val="nil"/>
              <w:tr2bl w:val="nil"/>
            </w:tcBorders>
            <w:shd w:val="clear" w:color="auto" w:fill="auto"/>
            <w:noWrap w:val="0"/>
            <w:vAlign w:val="center"/>
          </w:tcPr>
          <w:p w14:paraId="326730D5">
            <w:pPr>
              <w:spacing w:before="31" w:beforeLines="10" w:line="264" w:lineRule="auto"/>
              <w:jc w:val="center"/>
              <w:rPr>
                <w:color w:val="auto"/>
              </w:rPr>
            </w:pPr>
            <w:r>
              <w:rPr>
                <w:rFonts w:hint="eastAsia"/>
                <w:color w:val="auto"/>
                <w:lang w:val="en-US" w:eastAsia="zh-CN"/>
              </w:rPr>
              <w:t>1.0</w:t>
            </w:r>
          </w:p>
        </w:tc>
        <w:tc>
          <w:tcPr>
            <w:tcW w:w="500" w:type="pct"/>
            <w:tcBorders>
              <w:tl2br w:val="nil"/>
              <w:tr2bl w:val="nil"/>
            </w:tcBorders>
            <w:shd w:val="clear" w:color="auto" w:fill="auto"/>
            <w:noWrap w:val="0"/>
            <w:vAlign w:val="center"/>
          </w:tcPr>
          <w:p w14:paraId="67DD689D">
            <w:pPr>
              <w:spacing w:before="31" w:beforeLines="10" w:line="264" w:lineRule="auto"/>
              <w:jc w:val="center"/>
              <w:rPr>
                <w:rFonts w:hint="default"/>
                <w:color w:val="auto"/>
                <w:lang w:val="en-US" w:eastAsia="zh-CN"/>
              </w:rPr>
            </w:pPr>
            <w:r>
              <w:rPr>
                <w:rFonts w:hint="eastAsia"/>
                <w:color w:val="auto"/>
                <w:lang w:val="en-US" w:eastAsia="zh-CN"/>
              </w:rPr>
              <w:t>/</w:t>
            </w:r>
          </w:p>
        </w:tc>
      </w:tr>
      <w:tr w14:paraId="6661039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13E3380C">
            <w:pPr>
              <w:spacing w:before="31" w:beforeLines="10" w:line="264" w:lineRule="auto"/>
              <w:jc w:val="center"/>
              <w:rPr>
                <w:color w:val="auto"/>
              </w:rPr>
            </w:pPr>
          </w:p>
        </w:tc>
        <w:tc>
          <w:tcPr>
            <w:tcW w:w="694" w:type="pct"/>
            <w:tcBorders>
              <w:tl2br w:val="nil"/>
              <w:tr2bl w:val="nil"/>
            </w:tcBorders>
            <w:shd w:val="clear" w:color="auto" w:fill="auto"/>
            <w:noWrap/>
            <w:vAlign w:val="center"/>
          </w:tcPr>
          <w:p w14:paraId="746B7631">
            <w:pPr>
              <w:spacing w:before="31" w:beforeLines="10" w:line="264" w:lineRule="auto"/>
              <w:jc w:val="center"/>
              <w:rPr>
                <w:color w:val="auto"/>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7EA8B248">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0112909B">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1B4109A8">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74EF72FB">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689DE6DF">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0A341C55">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223E870B">
            <w:pPr>
              <w:spacing w:before="31" w:beforeLines="10" w:line="264" w:lineRule="auto"/>
              <w:jc w:val="center"/>
              <w:rPr>
                <w:rFonts w:hint="default"/>
                <w:color w:val="auto"/>
                <w:lang w:val="en-US" w:eastAsia="zh-CN"/>
              </w:rPr>
            </w:pPr>
            <w:r>
              <w:rPr>
                <w:rFonts w:hint="eastAsia"/>
                <w:color w:val="auto"/>
                <w:lang w:val="en-US" w:eastAsia="zh-CN"/>
              </w:rPr>
              <w:t>/</w:t>
            </w:r>
          </w:p>
        </w:tc>
      </w:tr>
    </w:tbl>
    <w:p w14:paraId="7E3E922E">
      <w:pPr>
        <w:spacing w:line="360" w:lineRule="auto"/>
        <w:ind w:firstLine="480" w:firstLineChars="200"/>
        <w:rPr>
          <w:color w:val="auto"/>
          <w:sz w:val="24"/>
        </w:rPr>
      </w:pPr>
    </w:p>
    <w:p w14:paraId="06AC6597">
      <w:pPr>
        <w:spacing w:line="360" w:lineRule="auto"/>
        <w:ind w:firstLine="480" w:firstLineChars="200"/>
        <w:rPr>
          <w:rFonts w:hint="eastAsia"/>
          <w:b w:val="0"/>
          <w:bCs w:val="0"/>
          <w:color w:val="auto"/>
          <w:sz w:val="24"/>
          <w:szCs w:val="32"/>
          <w:lang w:eastAsia="zh-CN"/>
        </w:rPr>
      </w:pPr>
      <w:r>
        <w:rPr>
          <w:color w:val="auto"/>
          <w:sz w:val="24"/>
        </w:rPr>
        <w:t>由上表可看出，各监测点各监测因子均可满足《土壤环境质量标准》（GB15618-1995）中二级标准要求，表明区域土壤</w:t>
      </w:r>
      <w:r>
        <w:rPr>
          <w:rFonts w:hint="eastAsia"/>
          <w:color w:val="auto"/>
          <w:sz w:val="24"/>
        </w:rPr>
        <w:t>环境</w:t>
      </w:r>
      <w:r>
        <w:rPr>
          <w:color w:val="auto"/>
          <w:sz w:val="24"/>
        </w:rPr>
        <w:t>质量较好。此外，根据现场监测，项目所在地的二噁英类背景值为1.2～1.7ng-TEQ</w:t>
      </w:r>
      <w:r>
        <w:rPr>
          <w:rFonts w:hint="eastAsia"/>
          <w:color w:val="auto"/>
          <w:sz w:val="24"/>
        </w:rPr>
        <w:t>/</w:t>
      </w:r>
      <w:r>
        <w:rPr>
          <w:color w:val="auto"/>
          <w:sz w:val="24"/>
        </w:rPr>
        <w:t>kg。</w:t>
      </w:r>
    </w:p>
    <w:p w14:paraId="43AA7EE0">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b/>
          <w:bCs/>
          <w:color w:val="auto"/>
          <w:sz w:val="24"/>
          <w:szCs w:val="32"/>
        </w:rPr>
      </w:pPr>
      <w:r>
        <w:rPr>
          <w:b/>
          <w:bCs/>
          <w:color w:val="auto"/>
          <w:sz w:val="24"/>
          <w:szCs w:val="32"/>
        </w:rPr>
        <w:t>2.</w:t>
      </w:r>
      <w:r>
        <w:rPr>
          <w:rFonts w:hint="eastAsia"/>
          <w:b/>
          <w:bCs/>
          <w:color w:val="auto"/>
          <w:sz w:val="24"/>
          <w:szCs w:val="32"/>
          <w:lang w:val="en-US" w:eastAsia="zh-CN"/>
        </w:rPr>
        <w:t>3</w:t>
      </w:r>
      <w:r>
        <w:rPr>
          <w:b/>
          <w:bCs/>
          <w:color w:val="auto"/>
          <w:sz w:val="24"/>
          <w:szCs w:val="32"/>
        </w:rPr>
        <w:t>.2 监测计划执行情况</w:t>
      </w:r>
      <w:bookmarkEnd w:id="268"/>
      <w:bookmarkEnd w:id="269"/>
    </w:p>
    <w:p w14:paraId="132EAA7B">
      <w:pPr>
        <w:spacing w:line="360" w:lineRule="auto"/>
        <w:ind w:firstLine="480" w:firstLineChars="200"/>
        <w:rPr>
          <w:color w:val="auto"/>
          <w:sz w:val="24"/>
          <w:szCs w:val="32"/>
        </w:rPr>
      </w:pPr>
      <w:r>
        <w:rPr>
          <w:rFonts w:hint="eastAsia"/>
          <w:color w:val="auto"/>
          <w:sz w:val="24"/>
          <w:szCs w:val="32"/>
          <w:lang w:val="en-US" w:eastAsia="zh-CN"/>
        </w:rPr>
        <w:t>项目</w:t>
      </w:r>
      <w:r>
        <w:rPr>
          <w:color w:val="auto"/>
          <w:sz w:val="24"/>
          <w:szCs w:val="32"/>
        </w:rPr>
        <w:t>验收期间由</w:t>
      </w:r>
      <w:r>
        <w:rPr>
          <w:rFonts w:hint="eastAsia"/>
          <w:color w:val="auto"/>
          <w:sz w:val="24"/>
          <w:szCs w:val="32"/>
        </w:rPr>
        <w:t>安徽靖风环境检测有限公司</w:t>
      </w:r>
      <w:r>
        <w:rPr>
          <w:color w:val="auto"/>
          <w:sz w:val="24"/>
          <w:szCs w:val="32"/>
        </w:rPr>
        <w:t>对环保设施进行了监测；后期生产期间委托</w:t>
      </w:r>
      <w:r>
        <w:rPr>
          <w:rFonts w:hint="eastAsia"/>
          <w:color w:val="auto"/>
          <w:sz w:val="24"/>
          <w:szCs w:val="32"/>
        </w:rPr>
        <w:t>安徽阿尔发环境工程有限公司</w:t>
      </w:r>
      <w:r>
        <w:rPr>
          <w:color w:val="auto"/>
          <w:sz w:val="24"/>
          <w:szCs w:val="32"/>
        </w:rPr>
        <w:t>等有资质单位进行定期监测。自项目运行以来，企业对生产中各项污染排放情况开展了季度例行监测，各季度例行监测结果均能满足环评中相应标准要求。</w:t>
      </w:r>
    </w:p>
    <w:p w14:paraId="70700230">
      <w:pPr>
        <w:spacing w:line="360" w:lineRule="auto"/>
        <w:outlineLvl w:val="1"/>
        <w:rPr>
          <w:b/>
          <w:bCs/>
          <w:color w:val="auto"/>
          <w:sz w:val="28"/>
          <w:szCs w:val="36"/>
        </w:rPr>
      </w:pPr>
      <w:bookmarkStart w:id="270" w:name="_Toc3022"/>
      <w:r>
        <w:rPr>
          <w:b/>
          <w:bCs/>
          <w:color w:val="auto"/>
          <w:sz w:val="28"/>
          <w:szCs w:val="36"/>
        </w:rPr>
        <w:t>2.</w:t>
      </w:r>
      <w:r>
        <w:rPr>
          <w:rFonts w:hint="eastAsia"/>
          <w:b/>
          <w:bCs/>
          <w:color w:val="auto"/>
          <w:sz w:val="28"/>
          <w:szCs w:val="36"/>
          <w:lang w:val="en-US" w:eastAsia="zh-CN"/>
        </w:rPr>
        <w:t>4</w:t>
      </w:r>
      <w:r>
        <w:rPr>
          <w:b/>
          <w:bCs/>
          <w:color w:val="auto"/>
          <w:sz w:val="28"/>
          <w:szCs w:val="36"/>
        </w:rPr>
        <w:t xml:space="preserve"> 公众意见收集调查回顾</w:t>
      </w:r>
      <w:bookmarkEnd w:id="270"/>
    </w:p>
    <w:p w14:paraId="6883210A">
      <w:pPr>
        <w:adjustRightInd w:val="0"/>
        <w:spacing w:line="360" w:lineRule="auto"/>
        <w:jc w:val="left"/>
        <w:textAlignment w:val="baseline"/>
        <w:outlineLvl w:val="2"/>
        <w:rPr>
          <w:b/>
          <w:bCs/>
          <w:color w:val="auto"/>
          <w:sz w:val="24"/>
        </w:rPr>
      </w:pPr>
      <w:bookmarkStart w:id="271" w:name="_Toc9415"/>
      <w:r>
        <w:rPr>
          <w:b/>
          <w:bCs/>
          <w:color w:val="auto"/>
          <w:sz w:val="24"/>
        </w:rPr>
        <w:t>2.</w:t>
      </w:r>
      <w:r>
        <w:rPr>
          <w:rFonts w:hint="eastAsia"/>
          <w:b/>
          <w:bCs/>
          <w:color w:val="auto"/>
          <w:sz w:val="24"/>
          <w:lang w:val="en-US" w:eastAsia="zh-CN"/>
        </w:rPr>
        <w:t>4</w:t>
      </w:r>
      <w:r>
        <w:rPr>
          <w:b/>
          <w:bCs/>
          <w:color w:val="auto"/>
          <w:sz w:val="24"/>
        </w:rPr>
        <w:t>.1环评文件公众参与调查情况回顾</w:t>
      </w:r>
      <w:bookmarkEnd w:id="271"/>
    </w:p>
    <w:p w14:paraId="5BA3EF5F">
      <w:pPr>
        <w:spacing w:line="360" w:lineRule="auto"/>
        <w:ind w:firstLine="480" w:firstLineChars="200"/>
        <w:rPr>
          <w:color w:val="auto"/>
          <w:sz w:val="24"/>
          <w:szCs w:val="32"/>
        </w:rPr>
      </w:pPr>
      <w:r>
        <w:rPr>
          <w:rFonts w:hint="eastAsia"/>
          <w:color w:val="auto"/>
          <w:sz w:val="24"/>
          <w:szCs w:val="32"/>
          <w:lang w:val="en-US" w:eastAsia="zh-CN"/>
        </w:rPr>
        <w:t>环评</w:t>
      </w:r>
      <w:r>
        <w:rPr>
          <w:color w:val="auto"/>
          <w:sz w:val="24"/>
          <w:szCs w:val="32"/>
        </w:rPr>
        <w:t>阶段对项目同步进行网站、现场张贴和发放调查问卷三种方式征询公众对于本项目的意见。</w:t>
      </w:r>
    </w:p>
    <w:p w14:paraId="790E988E">
      <w:pPr>
        <w:spacing w:line="360" w:lineRule="auto"/>
        <w:ind w:firstLine="480" w:firstLineChars="200"/>
        <w:rPr>
          <w:color w:val="auto"/>
          <w:sz w:val="24"/>
          <w:szCs w:val="32"/>
        </w:rPr>
      </w:pPr>
      <w:r>
        <w:rPr>
          <w:rFonts w:hint="eastAsia"/>
          <w:color w:val="auto"/>
          <w:kern w:val="24"/>
          <w:sz w:val="24"/>
          <w:lang w:val="en-US" w:eastAsia="zh-CN"/>
        </w:rPr>
        <w:t>原</w:t>
      </w:r>
      <w:r>
        <w:rPr>
          <w:rFonts w:hint="eastAsia"/>
          <w:color w:val="auto"/>
          <w:kern w:val="24"/>
          <w:sz w:val="24"/>
        </w:rPr>
        <w:t>安徽华中天力铝业有限公司</w:t>
      </w:r>
      <w:r>
        <w:rPr>
          <w:color w:val="auto"/>
          <w:sz w:val="24"/>
          <w:szCs w:val="32"/>
        </w:rPr>
        <w:t>于</w:t>
      </w:r>
      <w:r>
        <w:rPr>
          <w:rFonts w:hint="eastAsia"/>
          <w:color w:val="auto"/>
          <w:sz w:val="24"/>
          <w:szCs w:val="32"/>
        </w:rPr>
        <w:t>2015年4月9日～4月22日</w:t>
      </w:r>
      <w:r>
        <w:rPr>
          <w:color w:val="auto"/>
          <w:sz w:val="24"/>
          <w:szCs w:val="32"/>
        </w:rPr>
        <w:t>对该项目的环境影响评价进行第一次信息公告。于</w:t>
      </w:r>
      <w:r>
        <w:rPr>
          <w:rFonts w:hint="eastAsia"/>
          <w:color w:val="auto"/>
          <w:sz w:val="24"/>
          <w:szCs w:val="32"/>
        </w:rPr>
        <w:t>2015年5月29日～6月4日</w:t>
      </w:r>
      <w:r>
        <w:rPr>
          <w:color w:val="auto"/>
          <w:sz w:val="24"/>
          <w:szCs w:val="32"/>
        </w:rPr>
        <w:t>进行了环境影响评价的</w:t>
      </w:r>
      <w:r>
        <w:rPr>
          <w:rFonts w:hint="eastAsia"/>
          <w:color w:val="auto"/>
          <w:sz w:val="24"/>
          <w:szCs w:val="32"/>
          <w:lang w:val="en-US" w:eastAsia="zh-CN"/>
        </w:rPr>
        <w:t>第</w:t>
      </w:r>
      <w:r>
        <w:rPr>
          <w:color w:val="auto"/>
          <w:sz w:val="24"/>
          <w:szCs w:val="32"/>
        </w:rPr>
        <w:t>二次公</w:t>
      </w:r>
      <w:r>
        <w:rPr>
          <w:rFonts w:hint="eastAsia"/>
          <w:color w:val="auto"/>
          <w:sz w:val="24"/>
          <w:szCs w:val="32"/>
          <w:lang w:val="en-US" w:eastAsia="zh-CN"/>
        </w:rPr>
        <w:t>示，并对</w:t>
      </w:r>
      <w:r>
        <w:rPr>
          <w:color w:val="auto"/>
          <w:sz w:val="24"/>
          <w:szCs w:val="32"/>
        </w:rPr>
        <w:t>所在区域进行公众参与问卷调查。公示期间，没有收到有关人士函件及电子邮件等反馈意见，说明了当地的公众对本项目建设基本上认可。</w:t>
      </w:r>
    </w:p>
    <w:p w14:paraId="61718E5D">
      <w:pPr>
        <w:adjustRightInd w:val="0"/>
        <w:spacing w:line="360" w:lineRule="auto"/>
        <w:jc w:val="left"/>
        <w:textAlignment w:val="baseline"/>
        <w:outlineLvl w:val="2"/>
        <w:rPr>
          <w:b/>
          <w:bCs/>
          <w:color w:val="auto"/>
          <w:sz w:val="24"/>
        </w:rPr>
      </w:pPr>
      <w:bookmarkStart w:id="272" w:name="_Toc32351"/>
      <w:r>
        <w:rPr>
          <w:b/>
          <w:bCs/>
          <w:color w:val="auto"/>
          <w:sz w:val="24"/>
        </w:rPr>
        <w:t>2.</w:t>
      </w:r>
      <w:r>
        <w:rPr>
          <w:rFonts w:hint="eastAsia"/>
          <w:b/>
          <w:bCs/>
          <w:color w:val="auto"/>
          <w:sz w:val="24"/>
          <w:lang w:val="en-US" w:eastAsia="zh-CN"/>
        </w:rPr>
        <w:t>4</w:t>
      </w:r>
      <w:r>
        <w:rPr>
          <w:b/>
          <w:bCs/>
          <w:color w:val="auto"/>
          <w:sz w:val="24"/>
        </w:rPr>
        <w:t>.2运营过程中公众意见反馈</w:t>
      </w:r>
      <w:bookmarkEnd w:id="272"/>
    </w:p>
    <w:p w14:paraId="6661528E">
      <w:pPr>
        <w:spacing w:line="360" w:lineRule="auto"/>
        <w:ind w:firstLine="480" w:firstLineChars="200"/>
        <w:rPr>
          <w:color w:val="auto"/>
          <w:sz w:val="24"/>
          <w:szCs w:val="32"/>
        </w:rPr>
      </w:pPr>
      <w:r>
        <w:rPr>
          <w:color w:val="auto"/>
          <w:sz w:val="24"/>
          <w:szCs w:val="32"/>
        </w:rPr>
        <w:t>项目运营至今，未收到公众函件及电子邮件等反馈意见。</w:t>
      </w:r>
    </w:p>
    <w:p w14:paraId="42DA0059">
      <w:pPr>
        <w:spacing w:line="360" w:lineRule="auto"/>
        <w:outlineLvl w:val="1"/>
        <w:rPr>
          <w:b/>
          <w:bCs/>
          <w:color w:val="auto"/>
          <w:sz w:val="28"/>
          <w:szCs w:val="36"/>
        </w:rPr>
      </w:pPr>
      <w:bookmarkStart w:id="273" w:name="_Toc21635"/>
      <w:bookmarkStart w:id="274" w:name="_Toc153956985"/>
      <w:r>
        <w:rPr>
          <w:b/>
          <w:bCs/>
          <w:color w:val="auto"/>
          <w:sz w:val="28"/>
          <w:szCs w:val="36"/>
        </w:rPr>
        <w:t>2.</w:t>
      </w:r>
      <w:r>
        <w:rPr>
          <w:rFonts w:hint="eastAsia"/>
          <w:b/>
          <w:bCs/>
          <w:color w:val="auto"/>
          <w:sz w:val="28"/>
          <w:szCs w:val="36"/>
          <w:lang w:val="en-US" w:eastAsia="zh-CN"/>
        </w:rPr>
        <w:t>5</w:t>
      </w:r>
      <w:r>
        <w:rPr>
          <w:b/>
          <w:bCs/>
          <w:color w:val="auto"/>
          <w:sz w:val="28"/>
          <w:szCs w:val="36"/>
        </w:rPr>
        <w:t xml:space="preserve"> 项目运营期环境污染事故、投诉、处罚等调查</w:t>
      </w:r>
      <w:bookmarkEnd w:id="273"/>
      <w:bookmarkEnd w:id="274"/>
    </w:p>
    <w:p w14:paraId="1702DD53">
      <w:pPr>
        <w:spacing w:line="360" w:lineRule="auto"/>
        <w:ind w:firstLine="480" w:firstLineChars="200"/>
        <w:rPr>
          <w:color w:val="auto"/>
          <w:sz w:val="24"/>
          <w:szCs w:val="32"/>
        </w:rPr>
      </w:pPr>
      <w:r>
        <w:rPr>
          <w:color w:val="auto"/>
          <w:sz w:val="24"/>
          <w:szCs w:val="32"/>
        </w:rPr>
        <w:t>经调查，</w:t>
      </w:r>
      <w:r>
        <w:rPr>
          <w:rFonts w:hint="eastAsia"/>
          <w:color w:val="auto"/>
          <w:sz w:val="24"/>
          <w:szCs w:val="32"/>
          <w:lang w:val="en-US" w:eastAsia="zh-CN"/>
        </w:rPr>
        <w:t>该项目由</w:t>
      </w:r>
      <w:r>
        <w:rPr>
          <w:rFonts w:hint="eastAsia"/>
          <w:color w:val="auto"/>
          <w:kern w:val="24"/>
          <w:sz w:val="24"/>
          <w:lang w:val="en-US" w:eastAsia="zh-CN"/>
        </w:rPr>
        <w:t>安徽省裕康铝业有限公司经营期间因不正常运行污染防治设施和稀释排放污染物，受到淮北市生态环境局行政处罚（【皖淮北环（濉）罚〔2025〕13号】）。</w:t>
      </w:r>
      <w:r>
        <w:rPr>
          <w:rFonts w:hint="eastAsia"/>
          <w:color w:val="auto"/>
          <w:sz w:val="24"/>
          <w:szCs w:val="32"/>
          <w:lang w:val="en-US" w:eastAsia="zh-CN"/>
        </w:rPr>
        <w:t>该项目</w:t>
      </w:r>
      <w:r>
        <w:rPr>
          <w:color w:val="auto"/>
          <w:sz w:val="24"/>
          <w:szCs w:val="32"/>
        </w:rPr>
        <w:t>装置运营期间未发生环境污染事故、未收到周边居民投诉意见等。</w:t>
      </w:r>
    </w:p>
    <w:p w14:paraId="4DD16FBE">
      <w:pPr>
        <w:spacing w:line="360" w:lineRule="auto"/>
        <w:outlineLvl w:val="1"/>
        <w:rPr>
          <w:b/>
          <w:bCs/>
          <w:color w:val="auto"/>
          <w:sz w:val="28"/>
          <w:szCs w:val="36"/>
        </w:rPr>
      </w:pPr>
      <w:bookmarkStart w:id="275" w:name="_Toc153956986"/>
      <w:bookmarkStart w:id="276" w:name="_Toc26971"/>
      <w:r>
        <w:rPr>
          <w:b/>
          <w:bCs/>
          <w:color w:val="auto"/>
          <w:sz w:val="28"/>
          <w:szCs w:val="36"/>
        </w:rPr>
        <w:t>2.</w:t>
      </w:r>
      <w:r>
        <w:rPr>
          <w:rFonts w:hint="eastAsia"/>
          <w:b/>
          <w:bCs/>
          <w:color w:val="auto"/>
          <w:sz w:val="28"/>
          <w:szCs w:val="36"/>
          <w:lang w:val="en-US" w:eastAsia="zh-CN"/>
        </w:rPr>
        <w:t>6</w:t>
      </w:r>
      <w:r>
        <w:rPr>
          <w:b/>
          <w:bCs/>
          <w:color w:val="auto"/>
          <w:sz w:val="28"/>
          <w:szCs w:val="36"/>
        </w:rPr>
        <w:t xml:space="preserve"> 项目排污许可证申请和排污许可制度执行情况</w:t>
      </w:r>
      <w:bookmarkEnd w:id="275"/>
      <w:bookmarkEnd w:id="276"/>
    </w:p>
    <w:p w14:paraId="40E9C7D0">
      <w:pPr>
        <w:spacing w:line="360" w:lineRule="auto"/>
        <w:outlineLvl w:val="2"/>
        <w:rPr>
          <w:b/>
          <w:bCs/>
          <w:color w:val="auto"/>
          <w:sz w:val="24"/>
          <w:szCs w:val="32"/>
        </w:rPr>
      </w:pPr>
      <w:r>
        <w:rPr>
          <w:b/>
          <w:bCs/>
          <w:color w:val="auto"/>
          <w:sz w:val="24"/>
          <w:szCs w:val="32"/>
        </w:rPr>
        <w:t>2.</w:t>
      </w:r>
      <w:r>
        <w:rPr>
          <w:rFonts w:hint="eastAsia"/>
          <w:b/>
          <w:bCs/>
          <w:color w:val="auto"/>
          <w:sz w:val="24"/>
          <w:szCs w:val="32"/>
          <w:lang w:val="en-US" w:eastAsia="zh-CN"/>
        </w:rPr>
        <w:t>6</w:t>
      </w:r>
      <w:r>
        <w:rPr>
          <w:b/>
          <w:bCs/>
          <w:color w:val="auto"/>
          <w:sz w:val="24"/>
          <w:szCs w:val="32"/>
        </w:rPr>
        <w:t>.1 项目排污总量说明</w:t>
      </w:r>
    </w:p>
    <w:p w14:paraId="4398E4D9">
      <w:pPr>
        <w:adjustRightInd w:val="0"/>
        <w:snapToGrid w:val="0"/>
        <w:spacing w:line="360" w:lineRule="auto"/>
        <w:ind w:firstLine="480" w:firstLineChars="200"/>
        <w:rPr>
          <w:color w:val="auto"/>
          <w:sz w:val="24"/>
          <w:szCs w:val="32"/>
        </w:rPr>
      </w:pPr>
      <w:r>
        <w:rPr>
          <w:rFonts w:hint="eastAsia"/>
          <w:color w:val="auto"/>
          <w:sz w:val="24"/>
          <w:szCs w:val="32"/>
        </w:rPr>
        <w:t>1、废气</w:t>
      </w:r>
    </w:p>
    <w:p w14:paraId="7778951D">
      <w:pPr>
        <w:adjustRightInd w:val="0"/>
        <w:snapToGrid w:val="0"/>
        <w:spacing w:line="360" w:lineRule="auto"/>
        <w:ind w:firstLine="480" w:firstLineChars="200"/>
        <w:rPr>
          <w:color w:val="auto"/>
          <w:sz w:val="24"/>
          <w:szCs w:val="32"/>
        </w:rPr>
      </w:pPr>
      <w:r>
        <w:rPr>
          <w:rFonts w:hint="eastAsia"/>
          <w:color w:val="auto"/>
          <w:sz w:val="24"/>
          <w:szCs w:val="32"/>
          <w:lang w:val="en-US" w:eastAsia="zh-CN"/>
        </w:rPr>
        <w:t>根据</w:t>
      </w:r>
      <w:r>
        <w:rPr>
          <w:color w:val="auto"/>
          <w:sz w:val="24"/>
          <w:szCs w:val="32"/>
        </w:rPr>
        <w:t>《</w:t>
      </w:r>
      <w:r>
        <w:rPr>
          <w:rFonts w:hint="eastAsia"/>
          <w:color w:val="auto"/>
          <w:kern w:val="24"/>
          <w:sz w:val="24"/>
        </w:rPr>
        <w:t>安徽华中天力铝业有限公司年产11万吨再生铝建设项目环境影响报告书</w:t>
      </w:r>
      <w:r>
        <w:rPr>
          <w:color w:val="auto"/>
          <w:sz w:val="24"/>
          <w:szCs w:val="32"/>
        </w:rPr>
        <w:t>》环评批复（</w:t>
      </w:r>
      <w:r>
        <w:rPr>
          <w:rFonts w:hint="eastAsia"/>
          <w:color w:val="auto"/>
          <w:sz w:val="24"/>
          <w:szCs w:val="32"/>
          <w:lang w:val="en-US" w:eastAsia="zh-CN"/>
        </w:rPr>
        <w:t>淮环行【2016】27号</w:t>
      </w:r>
      <w:r>
        <w:rPr>
          <w:color w:val="auto"/>
          <w:sz w:val="24"/>
          <w:szCs w:val="32"/>
        </w:rPr>
        <w:t>）</w:t>
      </w:r>
      <w:r>
        <w:rPr>
          <w:rFonts w:hint="eastAsia"/>
          <w:color w:val="auto"/>
          <w:sz w:val="24"/>
          <w:szCs w:val="32"/>
          <w:lang w:val="en-US" w:eastAsia="zh-CN"/>
        </w:rPr>
        <w:t>和</w:t>
      </w:r>
      <w:r>
        <w:rPr>
          <w:rFonts w:hint="eastAsia" w:cs="Times New Roman"/>
          <w:color w:val="auto"/>
          <w:sz w:val="24"/>
          <w:szCs w:val="24"/>
          <w:lang w:val="en-US" w:eastAsia="zh-CN"/>
        </w:rPr>
        <w:t>安徽瑞瑟科金属材料有限公司（原安徽华中天力铝业有限公司年产11万吨再生铝建设项目）主要排放口二氧化硫、氨氧化物许可排放量核算报告》可知</w:t>
      </w:r>
      <w:r>
        <w:rPr>
          <w:color w:val="auto"/>
          <w:sz w:val="24"/>
          <w:szCs w:val="32"/>
        </w:rPr>
        <w:t>，</w:t>
      </w:r>
      <w:r>
        <w:rPr>
          <w:rFonts w:hint="eastAsia"/>
          <w:color w:val="auto"/>
          <w:sz w:val="24"/>
          <w:szCs w:val="32"/>
          <w:lang w:val="en-US" w:eastAsia="zh-CN"/>
        </w:rPr>
        <w:t>现有一期工程</w:t>
      </w:r>
      <w:r>
        <w:rPr>
          <w:rFonts w:hint="eastAsia"/>
          <w:color w:val="auto"/>
          <w:sz w:val="24"/>
          <w:szCs w:val="32"/>
        </w:rPr>
        <w:t>总量控制指标为</w:t>
      </w:r>
      <w:r>
        <w:rPr>
          <w:rFonts w:hint="eastAsia"/>
          <w:color w:val="auto"/>
          <w:sz w:val="24"/>
          <w:szCs w:val="32"/>
          <w:lang w:val="en-US" w:eastAsia="zh-CN"/>
        </w:rPr>
        <w:t>颗粒物6.8</w:t>
      </w:r>
      <w:r>
        <w:rPr>
          <w:color w:val="auto"/>
          <w:sz w:val="24"/>
          <w:szCs w:val="32"/>
        </w:rPr>
        <w:t>t/a</w:t>
      </w:r>
      <w:r>
        <w:rPr>
          <w:rFonts w:hint="eastAsia"/>
          <w:color w:val="auto"/>
          <w:sz w:val="24"/>
          <w:szCs w:val="32"/>
        </w:rPr>
        <w:t>、</w:t>
      </w:r>
      <w:r>
        <w:rPr>
          <w:rFonts w:hint="eastAsia"/>
          <w:color w:val="auto"/>
          <w:sz w:val="24"/>
          <w:szCs w:val="32"/>
          <w:lang w:val="en-US" w:eastAsia="zh-CN"/>
        </w:rPr>
        <w:t>二氧化硫12.635</w:t>
      </w:r>
      <w:r>
        <w:rPr>
          <w:rFonts w:hint="eastAsia"/>
          <w:color w:val="auto"/>
          <w:sz w:val="24"/>
          <w:szCs w:val="32"/>
        </w:rPr>
        <w:t>t/a</w:t>
      </w:r>
      <w:r>
        <w:rPr>
          <w:rFonts w:hint="eastAsia"/>
          <w:color w:val="auto"/>
          <w:sz w:val="24"/>
          <w:szCs w:val="32"/>
          <w:lang w:eastAsia="zh-CN"/>
        </w:rPr>
        <w:t>、</w:t>
      </w:r>
      <w:r>
        <w:rPr>
          <w:rFonts w:hint="eastAsia"/>
          <w:color w:val="auto"/>
          <w:sz w:val="24"/>
          <w:szCs w:val="32"/>
          <w:lang w:val="en-US" w:eastAsia="zh-CN"/>
        </w:rPr>
        <w:t>氮氧化物19.454</w:t>
      </w:r>
      <w:r>
        <w:rPr>
          <w:rFonts w:hint="eastAsia"/>
          <w:color w:val="auto"/>
          <w:sz w:val="24"/>
          <w:szCs w:val="32"/>
        </w:rPr>
        <w:t>t/a</w:t>
      </w:r>
      <w:r>
        <w:rPr>
          <w:color w:val="auto"/>
          <w:sz w:val="24"/>
          <w:szCs w:val="32"/>
        </w:rPr>
        <w:t>。</w:t>
      </w:r>
    </w:p>
    <w:p w14:paraId="0B81E039">
      <w:pPr>
        <w:spacing w:line="360" w:lineRule="auto"/>
        <w:ind w:firstLine="480" w:firstLineChars="200"/>
        <w:rPr>
          <w:color w:val="auto"/>
          <w:sz w:val="24"/>
        </w:rPr>
      </w:pPr>
      <w:bookmarkStart w:id="277" w:name="_Toc19065"/>
      <w:r>
        <w:rPr>
          <w:rFonts w:hint="eastAsia"/>
          <w:color w:val="auto"/>
          <w:sz w:val="24"/>
        </w:rPr>
        <w:t>根据企业</w:t>
      </w:r>
      <w:r>
        <w:rPr>
          <w:rFonts w:hint="eastAsia"/>
          <w:color w:val="auto"/>
          <w:sz w:val="24"/>
          <w:lang w:val="en-US" w:eastAsia="zh-CN"/>
        </w:rPr>
        <w:t>2024年在线监测</w:t>
      </w:r>
      <w:r>
        <w:rPr>
          <w:rFonts w:hint="eastAsia"/>
          <w:color w:val="auto"/>
          <w:sz w:val="24"/>
        </w:rPr>
        <w:t>结果可知：一期</w:t>
      </w:r>
      <w:r>
        <w:rPr>
          <w:rFonts w:hint="eastAsia"/>
          <w:color w:val="auto"/>
          <w:sz w:val="24"/>
          <w:lang w:val="en-US" w:eastAsia="zh-CN"/>
        </w:rPr>
        <w:t>工程</w:t>
      </w:r>
      <w:r>
        <w:rPr>
          <w:rFonts w:hint="eastAsia"/>
          <w:color w:val="auto"/>
          <w:sz w:val="24"/>
        </w:rPr>
        <w:t>颗粒物排放量为</w:t>
      </w:r>
      <w:r>
        <w:rPr>
          <w:rFonts w:hint="eastAsia"/>
          <w:color w:val="auto"/>
          <w:sz w:val="24"/>
          <w:lang w:val="en-US" w:eastAsia="zh-CN"/>
        </w:rPr>
        <w:t>2.44</w:t>
      </w:r>
      <w:r>
        <w:rPr>
          <w:rFonts w:hint="eastAsia"/>
          <w:color w:val="auto"/>
          <w:sz w:val="24"/>
        </w:rPr>
        <w:t>t/a，</w:t>
      </w:r>
      <w:r>
        <w:rPr>
          <w:rFonts w:hint="eastAsia"/>
          <w:color w:val="auto"/>
          <w:sz w:val="24"/>
          <w:szCs w:val="32"/>
          <w:lang w:val="en-US" w:eastAsia="zh-CN"/>
        </w:rPr>
        <w:t>二氧化硫</w:t>
      </w:r>
      <w:r>
        <w:rPr>
          <w:rFonts w:hint="eastAsia"/>
          <w:color w:val="auto"/>
          <w:sz w:val="24"/>
        </w:rPr>
        <w:t>排放量为</w:t>
      </w:r>
      <w:r>
        <w:rPr>
          <w:rFonts w:hint="eastAsia"/>
          <w:color w:val="auto"/>
          <w:sz w:val="24"/>
          <w:lang w:val="en-US" w:eastAsia="zh-CN"/>
        </w:rPr>
        <w:t>3.99</w:t>
      </w:r>
      <w:r>
        <w:rPr>
          <w:rFonts w:hint="eastAsia"/>
          <w:color w:val="auto"/>
          <w:sz w:val="24"/>
        </w:rPr>
        <w:t>t/a</w:t>
      </w:r>
      <w:r>
        <w:rPr>
          <w:rFonts w:hint="eastAsia"/>
          <w:color w:val="auto"/>
          <w:sz w:val="24"/>
          <w:szCs w:val="32"/>
          <w:lang w:val="en-US" w:eastAsia="zh-CN"/>
        </w:rPr>
        <w:t>，氮氧化物</w:t>
      </w:r>
      <w:r>
        <w:rPr>
          <w:rFonts w:hint="eastAsia"/>
          <w:color w:val="auto"/>
          <w:sz w:val="24"/>
        </w:rPr>
        <w:t>排放量为</w:t>
      </w:r>
      <w:r>
        <w:rPr>
          <w:rFonts w:hint="eastAsia"/>
          <w:color w:val="auto"/>
          <w:sz w:val="24"/>
          <w:lang w:val="en-US" w:eastAsia="zh-CN"/>
        </w:rPr>
        <w:t>8.55</w:t>
      </w:r>
      <w:r>
        <w:rPr>
          <w:rFonts w:hint="eastAsia"/>
          <w:color w:val="auto"/>
          <w:sz w:val="24"/>
        </w:rPr>
        <w:t>t/a，满足</w:t>
      </w:r>
      <w:r>
        <w:rPr>
          <w:rFonts w:hint="eastAsia"/>
          <w:color w:val="auto"/>
          <w:sz w:val="24"/>
          <w:lang w:val="en-US" w:eastAsia="zh-CN"/>
        </w:rPr>
        <w:t>现有</w:t>
      </w:r>
      <w:r>
        <w:rPr>
          <w:rFonts w:hint="eastAsia"/>
          <w:color w:val="auto"/>
          <w:sz w:val="24"/>
        </w:rPr>
        <w:t>总量</w:t>
      </w:r>
      <w:r>
        <w:rPr>
          <w:rFonts w:hint="eastAsia"/>
          <w:color w:val="auto"/>
          <w:sz w:val="24"/>
          <w:lang w:val="en-US" w:eastAsia="zh-CN"/>
        </w:rPr>
        <w:t>控制指标</w:t>
      </w:r>
      <w:r>
        <w:rPr>
          <w:rFonts w:hint="eastAsia"/>
          <w:color w:val="auto"/>
          <w:sz w:val="24"/>
        </w:rPr>
        <w:t>要求。</w:t>
      </w:r>
    </w:p>
    <w:p w14:paraId="721DAFC2">
      <w:pPr>
        <w:spacing w:line="360" w:lineRule="auto"/>
        <w:ind w:firstLine="480" w:firstLineChars="200"/>
        <w:rPr>
          <w:color w:val="auto"/>
          <w:sz w:val="24"/>
          <w:szCs w:val="32"/>
        </w:rPr>
      </w:pPr>
      <w:r>
        <w:rPr>
          <w:rFonts w:hint="eastAsia"/>
          <w:color w:val="auto"/>
          <w:sz w:val="24"/>
          <w:szCs w:val="32"/>
        </w:rPr>
        <w:t>2、废水</w:t>
      </w:r>
    </w:p>
    <w:bookmarkEnd w:id="277"/>
    <w:p w14:paraId="6EAC4D1A">
      <w:pPr>
        <w:spacing w:line="360" w:lineRule="auto"/>
        <w:ind w:firstLine="480" w:firstLineChars="200"/>
        <w:rPr>
          <w:color w:val="auto"/>
        </w:rPr>
      </w:pPr>
      <w:r>
        <w:rPr>
          <w:rFonts w:hint="eastAsia"/>
          <w:color w:val="auto"/>
          <w:sz w:val="24"/>
          <w:lang w:val="en-US" w:eastAsia="zh-CN"/>
        </w:rPr>
        <w:t>项目无生产废水外排，项目采用“雨污分流、清污分流”系统。循环冷却水回用于生产，不外排；生活污水经化粪池处理后排入开发区污水管网</w:t>
      </w:r>
      <w:r>
        <w:rPr>
          <w:rFonts w:hint="eastAsia"/>
          <w:color w:val="auto"/>
          <w:sz w:val="24"/>
        </w:rPr>
        <w:t>进入滩溪县第二污水处理厂集中处理</w:t>
      </w:r>
      <w:r>
        <w:rPr>
          <w:color w:val="auto"/>
          <w:sz w:val="24"/>
        </w:rPr>
        <w:t>，</w:t>
      </w:r>
      <w:r>
        <w:rPr>
          <w:color w:val="auto"/>
          <w:sz w:val="24"/>
          <w:szCs w:val="32"/>
        </w:rPr>
        <w:t>故</w:t>
      </w:r>
      <w:r>
        <w:rPr>
          <w:rFonts w:hint="eastAsia"/>
          <w:color w:val="auto"/>
          <w:sz w:val="24"/>
          <w:szCs w:val="32"/>
        </w:rPr>
        <w:t>废水无总量控制指标</w:t>
      </w:r>
      <w:r>
        <w:rPr>
          <w:color w:val="auto"/>
          <w:sz w:val="24"/>
          <w:szCs w:val="32"/>
        </w:rPr>
        <w:t>。</w:t>
      </w:r>
    </w:p>
    <w:p w14:paraId="026F39A7">
      <w:pPr>
        <w:spacing w:line="360" w:lineRule="auto"/>
        <w:ind w:firstLine="480" w:firstLineChars="200"/>
        <w:rPr>
          <w:color w:val="auto"/>
          <w:sz w:val="24"/>
          <w:szCs w:val="32"/>
        </w:rPr>
      </w:pPr>
      <w:bookmarkStart w:id="278" w:name="_Toc27997"/>
      <w:r>
        <w:rPr>
          <w:rFonts w:hint="eastAsia"/>
          <w:color w:val="auto"/>
          <w:sz w:val="24"/>
          <w:szCs w:val="32"/>
        </w:rPr>
        <w:t>3</w:t>
      </w:r>
      <w:r>
        <w:rPr>
          <w:color w:val="auto"/>
          <w:sz w:val="24"/>
          <w:szCs w:val="32"/>
        </w:rPr>
        <w:t>、</w:t>
      </w:r>
      <w:r>
        <w:rPr>
          <w:rFonts w:hint="eastAsia"/>
          <w:color w:val="auto"/>
          <w:sz w:val="24"/>
          <w:szCs w:val="32"/>
        </w:rPr>
        <w:t>总量控制</w:t>
      </w:r>
      <w:r>
        <w:rPr>
          <w:color w:val="auto"/>
          <w:sz w:val="24"/>
          <w:szCs w:val="32"/>
        </w:rPr>
        <w:t>汇总表</w:t>
      </w:r>
      <w:bookmarkEnd w:id="278"/>
    </w:p>
    <w:p w14:paraId="10E61BBE">
      <w:pPr>
        <w:pStyle w:val="9"/>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b/>
          <w:bCs/>
          <w:color w:val="auto"/>
          <w:spacing w:val="-1"/>
          <w:sz w:val="24"/>
        </w:rPr>
      </w:pPr>
      <w:r>
        <w:rPr>
          <w:b/>
          <w:bCs/>
          <w:color w:val="auto"/>
          <w:spacing w:val="-1"/>
          <w:sz w:val="24"/>
        </w:rPr>
        <w:t>表2-</w:t>
      </w:r>
      <w:r>
        <w:rPr>
          <w:rFonts w:hint="eastAsia"/>
          <w:b/>
          <w:bCs/>
          <w:color w:val="auto"/>
          <w:spacing w:val="-1"/>
          <w:sz w:val="24"/>
          <w:lang w:val="en-US" w:eastAsia="zh-CN"/>
        </w:rPr>
        <w:t>21</w:t>
      </w:r>
      <w:r>
        <w:rPr>
          <w:b/>
          <w:bCs/>
          <w:color w:val="auto"/>
          <w:spacing w:val="-1"/>
          <w:sz w:val="24"/>
        </w:rPr>
        <w:t xml:space="preserve"> </w:t>
      </w:r>
      <w:r>
        <w:rPr>
          <w:rFonts w:hint="eastAsia"/>
          <w:b/>
          <w:bCs/>
          <w:color w:val="auto"/>
          <w:spacing w:val="-1"/>
          <w:sz w:val="24"/>
          <w:lang w:val="en-US" w:eastAsia="zh-CN"/>
        </w:rPr>
        <w:t>现有一期工程</w:t>
      </w:r>
      <w:r>
        <w:rPr>
          <w:rFonts w:hint="eastAsia"/>
          <w:b/>
          <w:bCs/>
          <w:color w:val="auto"/>
          <w:spacing w:val="-1"/>
          <w:sz w:val="24"/>
        </w:rPr>
        <w:t>总量控制</w:t>
      </w:r>
      <w:r>
        <w:rPr>
          <w:rFonts w:hint="eastAsia"/>
          <w:b/>
          <w:bCs/>
          <w:color w:val="auto"/>
          <w:spacing w:val="-1"/>
          <w:sz w:val="24"/>
          <w:lang w:val="en-US" w:eastAsia="zh-CN"/>
        </w:rPr>
        <w:t>指标一览表  单位：t/a</w:t>
      </w:r>
    </w:p>
    <w:p w14:paraId="5105E01F">
      <w:pPr>
        <w:spacing w:line="68" w:lineRule="exact"/>
        <w:rPr>
          <w:color w:val="auto"/>
        </w:rPr>
      </w:pPr>
    </w:p>
    <w:tbl>
      <w:tblPr>
        <w:tblStyle w:val="123"/>
        <w:tblW w:w="4996"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1669"/>
        <w:gridCol w:w="2017"/>
        <w:gridCol w:w="2017"/>
        <w:gridCol w:w="2017"/>
        <w:gridCol w:w="2018"/>
      </w:tblGrid>
      <w:tr w14:paraId="5008257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3D50E711">
            <w:pPr>
              <w:jc w:val="center"/>
              <w:rPr>
                <w:b/>
                <w:bCs/>
                <w:color w:val="auto"/>
              </w:rPr>
            </w:pPr>
            <w:r>
              <w:rPr>
                <w:b/>
                <w:bCs/>
                <w:color w:val="auto"/>
              </w:rPr>
              <w:t>项目</w:t>
            </w:r>
          </w:p>
        </w:tc>
        <w:tc>
          <w:tcPr>
            <w:tcW w:w="1035" w:type="pct"/>
            <w:tcBorders>
              <w:tl2br w:val="nil"/>
              <w:tr2bl w:val="nil"/>
            </w:tcBorders>
            <w:vAlign w:val="center"/>
          </w:tcPr>
          <w:p w14:paraId="0320F2C9">
            <w:pPr>
              <w:jc w:val="center"/>
              <w:rPr>
                <w:rFonts w:hint="eastAsia"/>
                <w:b/>
                <w:bCs/>
                <w:color w:val="auto"/>
              </w:rPr>
            </w:pPr>
            <w:r>
              <w:rPr>
                <w:b/>
                <w:bCs/>
                <w:color w:val="auto"/>
              </w:rPr>
              <w:t>环评批复</w:t>
            </w:r>
            <w:r>
              <w:rPr>
                <w:rFonts w:hint="eastAsia"/>
                <w:b/>
                <w:bCs/>
                <w:color w:val="auto"/>
              </w:rPr>
              <w:t>总量</w:t>
            </w:r>
          </w:p>
          <w:p w14:paraId="3190E70A">
            <w:pPr>
              <w:jc w:val="center"/>
              <w:rPr>
                <w:b/>
                <w:bCs/>
                <w:color w:val="auto"/>
              </w:rPr>
            </w:pPr>
            <w:r>
              <w:rPr>
                <w:rFonts w:hint="eastAsia"/>
                <w:b/>
                <w:bCs/>
                <w:color w:val="auto"/>
                <w:lang w:eastAsia="zh-CN"/>
              </w:rPr>
              <w:t>（</w:t>
            </w:r>
            <w:r>
              <w:rPr>
                <w:rFonts w:hint="eastAsia"/>
                <w:b/>
                <w:bCs/>
                <w:color w:val="auto"/>
                <w:lang w:val="en-US" w:eastAsia="zh-CN"/>
              </w:rPr>
              <w:t>一期工程</w:t>
            </w:r>
            <w:r>
              <w:rPr>
                <w:rFonts w:hint="eastAsia"/>
                <w:b/>
                <w:bCs/>
                <w:color w:val="auto"/>
                <w:lang w:eastAsia="zh-CN"/>
              </w:rPr>
              <w:t>）</w:t>
            </w:r>
          </w:p>
        </w:tc>
        <w:tc>
          <w:tcPr>
            <w:tcW w:w="1035" w:type="pct"/>
            <w:tcBorders>
              <w:tl2br w:val="nil"/>
              <w:tr2bl w:val="nil"/>
            </w:tcBorders>
            <w:vAlign w:val="center"/>
          </w:tcPr>
          <w:p w14:paraId="3741831F">
            <w:pPr>
              <w:jc w:val="center"/>
              <w:rPr>
                <w:rFonts w:hint="default"/>
                <w:b/>
                <w:bCs/>
                <w:color w:val="auto"/>
                <w:lang w:val="en-US"/>
              </w:rPr>
            </w:pPr>
            <w:r>
              <w:rPr>
                <w:rFonts w:hint="eastAsia"/>
                <w:b/>
                <w:bCs/>
                <w:color w:val="auto"/>
                <w:lang w:val="en-US" w:eastAsia="zh-CN"/>
              </w:rPr>
              <w:t>许可排放量核算报告批复总量</w:t>
            </w:r>
          </w:p>
        </w:tc>
        <w:tc>
          <w:tcPr>
            <w:tcW w:w="1035" w:type="pct"/>
            <w:tcBorders>
              <w:tl2br w:val="nil"/>
              <w:tr2bl w:val="nil"/>
            </w:tcBorders>
            <w:vAlign w:val="center"/>
          </w:tcPr>
          <w:p w14:paraId="5647AA1E">
            <w:pPr>
              <w:jc w:val="center"/>
              <w:rPr>
                <w:rFonts w:hint="default"/>
                <w:b/>
                <w:bCs/>
                <w:color w:val="auto"/>
                <w:lang w:val="en-US" w:eastAsia="zh-CN"/>
              </w:rPr>
            </w:pPr>
            <w:r>
              <w:rPr>
                <w:rFonts w:hint="eastAsia"/>
                <w:b/>
                <w:bCs/>
                <w:color w:val="auto"/>
                <w:lang w:val="en-US" w:eastAsia="zh-CN"/>
              </w:rPr>
              <w:t>一期工程许可排放量</w:t>
            </w:r>
          </w:p>
        </w:tc>
        <w:tc>
          <w:tcPr>
            <w:tcW w:w="1035" w:type="pct"/>
            <w:tcBorders>
              <w:tl2br w:val="nil"/>
              <w:tr2bl w:val="nil"/>
            </w:tcBorders>
            <w:vAlign w:val="center"/>
          </w:tcPr>
          <w:p w14:paraId="095BE9DC">
            <w:pPr>
              <w:jc w:val="center"/>
              <w:rPr>
                <w:b/>
                <w:bCs/>
                <w:color w:val="auto"/>
              </w:rPr>
            </w:pPr>
            <w:r>
              <w:rPr>
                <w:rFonts w:hint="eastAsia"/>
                <w:b/>
                <w:bCs/>
                <w:color w:val="auto"/>
              </w:rPr>
              <w:t>一期项目实际排放量</w:t>
            </w:r>
          </w:p>
        </w:tc>
      </w:tr>
      <w:tr w14:paraId="6CC7F31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3BEE2EC9">
            <w:pPr>
              <w:jc w:val="center"/>
              <w:rPr>
                <w:color w:val="auto"/>
              </w:rPr>
            </w:pPr>
            <w:r>
              <w:rPr>
                <w:color w:val="auto"/>
              </w:rPr>
              <w:t>颗粒物</w:t>
            </w:r>
          </w:p>
        </w:tc>
        <w:tc>
          <w:tcPr>
            <w:tcW w:w="1035" w:type="pct"/>
            <w:tcBorders>
              <w:tl2br w:val="nil"/>
              <w:tr2bl w:val="nil"/>
            </w:tcBorders>
            <w:vAlign w:val="center"/>
          </w:tcPr>
          <w:p w14:paraId="2E06F7B3">
            <w:pPr>
              <w:jc w:val="center"/>
              <w:rPr>
                <w:rFonts w:hint="default" w:eastAsia="宋体"/>
                <w:color w:val="auto"/>
                <w:szCs w:val="21"/>
                <w:lang w:val="en-US" w:eastAsia="zh-CN"/>
              </w:rPr>
            </w:pPr>
            <w:r>
              <w:rPr>
                <w:rFonts w:hint="eastAsia"/>
                <w:color w:val="auto"/>
                <w:szCs w:val="21"/>
                <w:lang w:val="en-US" w:eastAsia="zh-CN"/>
              </w:rPr>
              <w:t>7.63</w:t>
            </w:r>
          </w:p>
        </w:tc>
        <w:tc>
          <w:tcPr>
            <w:tcW w:w="1035" w:type="pct"/>
            <w:tcBorders>
              <w:tl2br w:val="nil"/>
              <w:tr2bl w:val="nil"/>
            </w:tcBorders>
            <w:vAlign w:val="center"/>
          </w:tcPr>
          <w:p w14:paraId="4F11EC3B">
            <w:pPr>
              <w:jc w:val="center"/>
              <w:rPr>
                <w:rFonts w:hint="eastAsia" w:eastAsia="宋体"/>
                <w:color w:val="auto"/>
                <w:lang w:eastAsia="zh-CN"/>
              </w:rPr>
            </w:pPr>
            <w:r>
              <w:rPr>
                <w:rFonts w:hint="eastAsia"/>
                <w:color w:val="auto"/>
                <w:lang w:val="en-US" w:eastAsia="zh-CN"/>
              </w:rPr>
              <w:t>/</w:t>
            </w:r>
          </w:p>
        </w:tc>
        <w:tc>
          <w:tcPr>
            <w:tcW w:w="1035" w:type="pct"/>
            <w:tcBorders>
              <w:tl2br w:val="nil"/>
              <w:tr2bl w:val="nil"/>
            </w:tcBorders>
            <w:vAlign w:val="center"/>
          </w:tcPr>
          <w:p w14:paraId="71C61011">
            <w:pPr>
              <w:jc w:val="center"/>
              <w:rPr>
                <w:rFonts w:hint="default" w:eastAsia="宋体"/>
                <w:color w:val="auto"/>
                <w:lang w:val="en-US" w:eastAsia="zh-CN"/>
              </w:rPr>
            </w:pPr>
            <w:r>
              <w:rPr>
                <w:rFonts w:hint="eastAsia"/>
                <w:color w:val="auto"/>
                <w:lang w:val="en-US" w:eastAsia="zh-CN"/>
              </w:rPr>
              <w:t>7.63</w:t>
            </w:r>
          </w:p>
        </w:tc>
        <w:tc>
          <w:tcPr>
            <w:tcW w:w="1035" w:type="pct"/>
            <w:tcBorders>
              <w:tl2br w:val="nil"/>
              <w:tr2bl w:val="nil"/>
            </w:tcBorders>
            <w:vAlign w:val="center"/>
          </w:tcPr>
          <w:p w14:paraId="7AFF5954">
            <w:pPr>
              <w:jc w:val="center"/>
              <w:rPr>
                <w:color w:val="auto"/>
              </w:rPr>
            </w:pPr>
            <w:r>
              <w:rPr>
                <w:rFonts w:hint="eastAsia"/>
                <w:color w:val="auto"/>
                <w:lang w:val="en-US" w:eastAsia="zh-CN"/>
              </w:rPr>
              <w:t>2.44</w:t>
            </w:r>
            <w:r>
              <w:rPr>
                <w:rFonts w:hint="eastAsia"/>
                <w:color w:val="auto"/>
              </w:rPr>
              <w:t>t/a</w:t>
            </w:r>
          </w:p>
        </w:tc>
      </w:tr>
      <w:tr w14:paraId="38605E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1E78A65A">
            <w:pPr>
              <w:jc w:val="center"/>
              <w:rPr>
                <w:rFonts w:hint="eastAsia" w:eastAsia="宋体"/>
                <w:color w:val="auto"/>
                <w:lang w:val="en-US" w:eastAsia="zh-CN"/>
              </w:rPr>
            </w:pPr>
            <w:r>
              <w:rPr>
                <w:rFonts w:hint="eastAsia"/>
                <w:color w:val="auto"/>
                <w:lang w:val="en-US" w:eastAsia="zh-CN"/>
              </w:rPr>
              <w:t>二氧化硫</w:t>
            </w:r>
          </w:p>
        </w:tc>
        <w:tc>
          <w:tcPr>
            <w:tcW w:w="1035" w:type="pct"/>
            <w:tcBorders>
              <w:tl2br w:val="nil"/>
              <w:tr2bl w:val="nil"/>
            </w:tcBorders>
            <w:vAlign w:val="center"/>
          </w:tcPr>
          <w:p w14:paraId="55D6882D">
            <w:pPr>
              <w:jc w:val="center"/>
              <w:rPr>
                <w:rFonts w:hint="default" w:eastAsia="宋体"/>
                <w:color w:val="auto"/>
                <w:szCs w:val="21"/>
                <w:lang w:val="en-US" w:eastAsia="zh-CN"/>
              </w:rPr>
            </w:pPr>
            <w:r>
              <w:rPr>
                <w:rFonts w:hint="eastAsia"/>
                <w:color w:val="auto"/>
                <w:szCs w:val="21"/>
                <w:lang w:val="en-US" w:eastAsia="zh-CN"/>
              </w:rPr>
              <w:t>0.18</w:t>
            </w:r>
          </w:p>
        </w:tc>
        <w:tc>
          <w:tcPr>
            <w:tcW w:w="1035" w:type="pct"/>
            <w:tcBorders>
              <w:tl2br w:val="nil"/>
              <w:tr2bl w:val="nil"/>
            </w:tcBorders>
            <w:vAlign w:val="center"/>
          </w:tcPr>
          <w:p w14:paraId="3BCEFE4C">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5598CD5E">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6D8678A6">
            <w:pPr>
              <w:jc w:val="center"/>
              <w:rPr>
                <w:color w:val="auto"/>
              </w:rPr>
            </w:pPr>
            <w:r>
              <w:rPr>
                <w:rFonts w:hint="eastAsia"/>
                <w:color w:val="auto"/>
                <w:lang w:val="en-US" w:eastAsia="zh-CN"/>
              </w:rPr>
              <w:t>3.99</w:t>
            </w:r>
            <w:r>
              <w:rPr>
                <w:rFonts w:hint="eastAsia"/>
                <w:color w:val="auto"/>
              </w:rPr>
              <w:t>t/a</w:t>
            </w:r>
          </w:p>
        </w:tc>
      </w:tr>
      <w:tr w14:paraId="0447B08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564871D6">
            <w:pPr>
              <w:jc w:val="center"/>
              <w:rPr>
                <w:rFonts w:hint="default"/>
                <w:color w:val="auto"/>
                <w:lang w:val="en-US" w:eastAsia="zh-CN"/>
              </w:rPr>
            </w:pPr>
            <w:r>
              <w:rPr>
                <w:rFonts w:hint="eastAsia"/>
                <w:color w:val="auto"/>
                <w:lang w:val="en-US" w:eastAsia="zh-CN"/>
              </w:rPr>
              <w:t>氮氧化物</w:t>
            </w:r>
          </w:p>
        </w:tc>
        <w:tc>
          <w:tcPr>
            <w:tcW w:w="1035" w:type="pct"/>
            <w:tcBorders>
              <w:tl2br w:val="nil"/>
              <w:tr2bl w:val="nil"/>
            </w:tcBorders>
            <w:vAlign w:val="center"/>
          </w:tcPr>
          <w:p w14:paraId="5C92F124">
            <w:pPr>
              <w:jc w:val="center"/>
              <w:rPr>
                <w:rFonts w:hint="default" w:eastAsia="宋体"/>
                <w:color w:val="auto"/>
                <w:szCs w:val="21"/>
                <w:lang w:val="en-US" w:eastAsia="zh-CN"/>
              </w:rPr>
            </w:pPr>
            <w:r>
              <w:rPr>
                <w:rFonts w:hint="eastAsia"/>
                <w:color w:val="auto"/>
                <w:szCs w:val="21"/>
                <w:lang w:val="en-US" w:eastAsia="zh-CN"/>
              </w:rPr>
              <w:t>6.8</w:t>
            </w:r>
          </w:p>
        </w:tc>
        <w:tc>
          <w:tcPr>
            <w:tcW w:w="1035" w:type="pct"/>
            <w:tcBorders>
              <w:tl2br w:val="nil"/>
              <w:tr2bl w:val="nil"/>
            </w:tcBorders>
            <w:vAlign w:val="center"/>
          </w:tcPr>
          <w:p w14:paraId="16A11AB2">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0B873631">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7C232CFC">
            <w:pPr>
              <w:jc w:val="center"/>
              <w:rPr>
                <w:rFonts w:hint="default" w:eastAsia="宋体"/>
                <w:color w:val="auto"/>
                <w:lang w:val="en-US" w:eastAsia="zh-CN"/>
              </w:rPr>
            </w:pPr>
            <w:r>
              <w:rPr>
                <w:rFonts w:hint="eastAsia"/>
                <w:color w:val="auto"/>
                <w:lang w:val="en-US" w:eastAsia="zh-CN"/>
              </w:rPr>
              <w:t>8.55</w:t>
            </w:r>
            <w:r>
              <w:rPr>
                <w:rFonts w:hint="eastAsia"/>
                <w:color w:val="auto"/>
              </w:rPr>
              <w:t>t/a</w:t>
            </w:r>
          </w:p>
        </w:tc>
      </w:tr>
    </w:tbl>
    <w:p w14:paraId="06516F8B">
      <w:pPr>
        <w:spacing w:line="360" w:lineRule="auto"/>
        <w:ind w:firstLine="480" w:firstLineChars="200"/>
        <w:rPr>
          <w:color w:val="auto"/>
          <w:sz w:val="24"/>
          <w:szCs w:val="32"/>
        </w:rPr>
      </w:pPr>
    </w:p>
    <w:p w14:paraId="49D982F9">
      <w:pPr>
        <w:spacing w:line="360" w:lineRule="auto"/>
        <w:ind w:firstLine="480" w:firstLineChars="200"/>
        <w:rPr>
          <w:color w:val="auto"/>
          <w:sz w:val="24"/>
          <w:szCs w:val="32"/>
        </w:rPr>
      </w:pPr>
      <w:r>
        <w:rPr>
          <w:color w:val="auto"/>
          <w:sz w:val="24"/>
          <w:szCs w:val="32"/>
        </w:rPr>
        <w:t>综上可知</w:t>
      </w:r>
      <w:r>
        <w:rPr>
          <w:rFonts w:hint="eastAsia"/>
          <w:color w:val="auto"/>
          <w:sz w:val="24"/>
          <w:szCs w:val="32"/>
          <w:lang w:eastAsia="zh-CN"/>
        </w:rPr>
        <w:t>，</w:t>
      </w:r>
      <w:r>
        <w:rPr>
          <w:rFonts w:hint="eastAsia"/>
          <w:color w:val="auto"/>
          <w:sz w:val="24"/>
          <w:szCs w:val="32"/>
          <w:lang w:val="en-US" w:eastAsia="zh-CN"/>
        </w:rPr>
        <w:t>安徽瑞瑟科金属材料有限公司</w:t>
      </w:r>
      <w:r>
        <w:rPr>
          <w:rFonts w:hint="eastAsia"/>
          <w:color w:val="auto"/>
          <w:sz w:val="24"/>
          <w:szCs w:val="32"/>
        </w:rPr>
        <w:t>实际排污量能够满足</w:t>
      </w:r>
      <w:r>
        <w:rPr>
          <w:rFonts w:hint="eastAsia"/>
          <w:color w:val="auto"/>
          <w:sz w:val="24"/>
          <w:szCs w:val="32"/>
          <w:lang w:val="en-US" w:eastAsia="zh-CN"/>
        </w:rPr>
        <w:t>现行</w:t>
      </w:r>
      <w:r>
        <w:rPr>
          <w:rFonts w:hint="eastAsia"/>
          <w:color w:val="auto"/>
          <w:sz w:val="24"/>
          <w:szCs w:val="32"/>
        </w:rPr>
        <w:t>总量控制</w:t>
      </w:r>
      <w:r>
        <w:rPr>
          <w:rFonts w:hint="eastAsia"/>
          <w:color w:val="auto"/>
          <w:sz w:val="24"/>
          <w:szCs w:val="32"/>
          <w:lang w:val="en-US" w:eastAsia="zh-CN"/>
        </w:rPr>
        <w:t>指标的</w:t>
      </w:r>
      <w:r>
        <w:rPr>
          <w:rFonts w:hint="eastAsia"/>
          <w:color w:val="auto"/>
          <w:sz w:val="24"/>
          <w:szCs w:val="32"/>
        </w:rPr>
        <w:t>要求。</w:t>
      </w:r>
    </w:p>
    <w:p w14:paraId="286D576E">
      <w:pPr>
        <w:spacing w:line="360" w:lineRule="auto"/>
        <w:outlineLvl w:val="2"/>
        <w:rPr>
          <w:b/>
          <w:bCs/>
          <w:color w:val="auto"/>
          <w:sz w:val="24"/>
          <w:szCs w:val="32"/>
        </w:rPr>
      </w:pPr>
      <w:bookmarkStart w:id="279" w:name="_Toc22888"/>
      <w:r>
        <w:rPr>
          <w:b/>
          <w:bCs/>
          <w:color w:val="auto"/>
          <w:sz w:val="24"/>
          <w:szCs w:val="32"/>
        </w:rPr>
        <w:t>2.</w:t>
      </w:r>
      <w:r>
        <w:rPr>
          <w:rFonts w:hint="eastAsia"/>
          <w:b/>
          <w:bCs/>
          <w:color w:val="auto"/>
          <w:sz w:val="24"/>
          <w:szCs w:val="32"/>
          <w:lang w:val="en-US" w:eastAsia="zh-CN"/>
        </w:rPr>
        <w:t>6</w:t>
      </w:r>
      <w:r>
        <w:rPr>
          <w:b/>
          <w:bCs/>
          <w:color w:val="auto"/>
          <w:sz w:val="24"/>
          <w:szCs w:val="32"/>
        </w:rPr>
        <w:t>.2项目排污许可制度执行情况</w:t>
      </w:r>
      <w:bookmarkEnd w:id="279"/>
    </w:p>
    <w:p w14:paraId="049AB9F1">
      <w:pPr>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原安徽华中天力铝业有限公司于2020年4月25日完成对年产11万吨再生铝建设项目的排污许可证申请，排污许可证编号为91340621050197606E002V。由于2022年12月原安徽华中天力铝业有限公司破产，该排污许可证于2023年8月29日注销。</w:t>
      </w:r>
    </w:p>
    <w:p w14:paraId="3F51E579">
      <w:pPr>
        <w:spacing w:line="360" w:lineRule="auto"/>
        <w:ind w:firstLine="480" w:firstLineChars="200"/>
        <w:rPr>
          <w:color w:val="auto"/>
          <w:sz w:val="24"/>
          <w:szCs w:val="32"/>
        </w:rPr>
      </w:pPr>
      <w:r>
        <w:rPr>
          <w:rFonts w:hint="eastAsia"/>
          <w:color w:val="auto"/>
          <w:kern w:val="24"/>
          <w:sz w:val="24"/>
          <w:lang w:val="en-US" w:eastAsia="zh-CN"/>
        </w:rPr>
        <w:t>安徽省裕康铝业有限公司租赁年产11万吨再生铝建设项目厂房、设备及配套物资后，于2024年6月20日完成对年产11万吨再生铝建设项目的排污许可证申请，排污许可证编号为91340621MA2TC70P61001P。由于经营问题该项目于2025年7月12日开始停产，该排污许可证于2026年1月14日注销。</w:t>
      </w:r>
    </w:p>
    <w:p w14:paraId="722992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b/>
          <w:bCs/>
          <w:color w:val="auto"/>
          <w:sz w:val="28"/>
          <w:szCs w:val="36"/>
        </w:rPr>
      </w:pPr>
      <w:r>
        <w:rPr>
          <w:rFonts w:hint="eastAsia"/>
          <w:color w:val="auto"/>
          <w:sz w:val="24"/>
          <w:szCs w:val="32"/>
          <w:lang w:val="en-US" w:eastAsia="zh-CN"/>
        </w:rPr>
        <w:t>安徽瑞瑟科金属材料有限公司将</w:t>
      </w:r>
      <w:r>
        <w:rPr>
          <w:color w:val="auto"/>
          <w:sz w:val="24"/>
          <w:szCs w:val="32"/>
        </w:rPr>
        <w:t>根据《排污许可管理条例》的要求，</w:t>
      </w:r>
      <w:r>
        <w:rPr>
          <w:rFonts w:hint="eastAsia"/>
          <w:color w:val="auto"/>
          <w:sz w:val="24"/>
          <w:szCs w:val="32"/>
          <w:lang w:val="en-US" w:eastAsia="zh-CN"/>
        </w:rPr>
        <w:t>重新申请</w:t>
      </w:r>
      <w:r>
        <w:rPr>
          <w:rFonts w:hint="eastAsia"/>
          <w:color w:val="auto"/>
          <w:kern w:val="24"/>
          <w:sz w:val="24"/>
          <w:lang w:val="en-US" w:eastAsia="zh-CN"/>
        </w:rPr>
        <w:t>排污许可证</w:t>
      </w:r>
      <w:r>
        <w:rPr>
          <w:color w:val="auto"/>
          <w:sz w:val="24"/>
          <w:szCs w:val="32"/>
        </w:rPr>
        <w:t>。</w:t>
      </w:r>
    </w:p>
    <w:p w14:paraId="57A5D3DA">
      <w:pPr>
        <w:rPr>
          <w:b/>
          <w:bCs/>
          <w:color w:val="auto"/>
          <w:sz w:val="32"/>
          <w:szCs w:val="40"/>
        </w:rPr>
      </w:pPr>
      <w:r>
        <w:rPr>
          <w:b/>
          <w:bCs/>
          <w:color w:val="auto"/>
          <w:sz w:val="32"/>
          <w:szCs w:val="40"/>
        </w:rPr>
        <w:br w:type="page"/>
      </w:r>
    </w:p>
    <w:p w14:paraId="65445B9D">
      <w:pPr>
        <w:spacing w:line="360" w:lineRule="auto"/>
        <w:jc w:val="center"/>
        <w:outlineLvl w:val="0"/>
        <w:rPr>
          <w:b/>
          <w:bCs/>
          <w:color w:val="auto"/>
          <w:sz w:val="24"/>
          <w:szCs w:val="32"/>
        </w:rPr>
      </w:pPr>
      <w:bookmarkStart w:id="280" w:name="_Toc2462"/>
      <w:r>
        <w:rPr>
          <w:b/>
          <w:bCs/>
          <w:color w:val="auto"/>
          <w:sz w:val="32"/>
          <w:szCs w:val="40"/>
        </w:rPr>
        <w:t>3 建设项目工程评价</w:t>
      </w:r>
      <w:bookmarkEnd w:id="280"/>
    </w:p>
    <w:p w14:paraId="0A7B707A">
      <w:pPr>
        <w:spacing w:line="360" w:lineRule="auto"/>
        <w:rPr>
          <w:color w:val="auto"/>
          <w:sz w:val="24"/>
          <w:szCs w:val="32"/>
        </w:rPr>
      </w:pPr>
    </w:p>
    <w:p w14:paraId="3C96B503">
      <w:pPr>
        <w:spacing w:line="360" w:lineRule="auto"/>
        <w:outlineLvl w:val="1"/>
        <w:rPr>
          <w:b/>
          <w:bCs/>
          <w:color w:val="auto"/>
          <w:sz w:val="28"/>
          <w:szCs w:val="36"/>
        </w:rPr>
      </w:pPr>
      <w:bookmarkStart w:id="281" w:name="_Toc18789"/>
      <w:r>
        <w:rPr>
          <w:b/>
          <w:bCs/>
          <w:color w:val="auto"/>
          <w:sz w:val="28"/>
          <w:szCs w:val="36"/>
        </w:rPr>
        <w:t>3.1 工程建设情况</w:t>
      </w:r>
      <w:bookmarkEnd w:id="281"/>
    </w:p>
    <w:p w14:paraId="7CAB12DF">
      <w:pPr>
        <w:spacing w:line="360" w:lineRule="auto"/>
        <w:outlineLvl w:val="2"/>
        <w:rPr>
          <w:b/>
          <w:bCs/>
          <w:color w:val="auto"/>
          <w:sz w:val="24"/>
          <w:szCs w:val="32"/>
        </w:rPr>
      </w:pPr>
      <w:r>
        <w:rPr>
          <w:b/>
          <w:bCs/>
          <w:color w:val="auto"/>
          <w:sz w:val="24"/>
          <w:szCs w:val="32"/>
        </w:rPr>
        <w:t>3.1.1 工程概况</w:t>
      </w:r>
    </w:p>
    <w:p w14:paraId="6C0CF0C1">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《安徽华中天力铝业有限公司年产11万吨再生铝建设项目环境影响报告书》于2016年6月30日取得原淮北市环境保护局环评批复，批复文号</w:t>
      </w:r>
      <w:r>
        <w:rPr>
          <w:rFonts w:hint="eastAsia"/>
          <w:color w:val="auto"/>
          <w:kern w:val="24"/>
          <w:sz w:val="24"/>
          <w:lang w:eastAsia="zh-CN"/>
        </w:rPr>
        <w:t>：</w:t>
      </w:r>
      <w:r>
        <w:rPr>
          <w:rFonts w:hint="eastAsia"/>
          <w:color w:val="auto"/>
          <w:kern w:val="24"/>
          <w:sz w:val="24"/>
          <w:lang w:val="en-US" w:eastAsia="zh-CN"/>
        </w:rPr>
        <w:t>淮环行【2016】27号，项目分两期建设，其中一期产能5.05万吨/年，二期产能5.95万吨/年。</w:t>
      </w:r>
      <w:r>
        <w:rPr>
          <w:rFonts w:hint="eastAsia"/>
          <w:color w:val="auto"/>
          <w:sz w:val="24"/>
          <w:szCs w:val="32"/>
          <w:lang w:val="en-US" w:eastAsia="zh-CN"/>
        </w:rPr>
        <w:t>该项目一期工程</w:t>
      </w:r>
      <w:r>
        <w:rPr>
          <w:rFonts w:hint="eastAsia"/>
          <w:color w:val="auto"/>
          <w:kern w:val="24"/>
          <w:sz w:val="24"/>
          <w:lang w:val="en-US" w:eastAsia="zh-CN"/>
        </w:rPr>
        <w:t>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5B9F9AC7">
      <w:pPr>
        <w:spacing w:line="360" w:lineRule="auto"/>
        <w:ind w:firstLine="480" w:firstLineChars="200"/>
        <w:rPr>
          <w:color w:val="auto"/>
          <w:sz w:val="24"/>
          <w:szCs w:val="32"/>
        </w:rPr>
      </w:pPr>
      <w:r>
        <w:rPr>
          <w:rFonts w:hint="eastAsia"/>
          <w:color w:val="auto"/>
          <w:sz w:val="24"/>
          <w:szCs w:val="32"/>
          <w:lang w:val="en-US" w:eastAsia="zh-CN"/>
        </w:rPr>
        <w:t>该项目暂未建设完成，</w:t>
      </w:r>
      <w:r>
        <w:rPr>
          <w:rFonts w:hint="eastAsia"/>
          <w:color w:val="auto"/>
          <w:sz w:val="24"/>
          <w:szCs w:val="32"/>
        </w:rPr>
        <w:t>本次环境影响后评价以</w:t>
      </w:r>
      <w:r>
        <w:rPr>
          <w:rFonts w:hint="eastAsia"/>
          <w:color w:val="auto"/>
          <w:kern w:val="24"/>
          <w:sz w:val="24"/>
        </w:rPr>
        <w:t>年产11万吨再生铝建设项目</w:t>
      </w:r>
      <w:r>
        <w:rPr>
          <w:rFonts w:hint="eastAsia"/>
          <w:color w:val="auto"/>
          <w:sz w:val="24"/>
          <w:szCs w:val="32"/>
        </w:rPr>
        <w:t>一期工程为评价对象。</w:t>
      </w:r>
    </w:p>
    <w:p w14:paraId="7619A1E7">
      <w:pPr>
        <w:spacing w:line="360" w:lineRule="auto"/>
        <w:ind w:firstLine="480" w:firstLineChars="200"/>
        <w:rPr>
          <w:color w:val="auto"/>
          <w:sz w:val="24"/>
          <w:szCs w:val="32"/>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r>
        <w:rPr>
          <w:rFonts w:hint="eastAsia"/>
          <w:color w:val="auto"/>
          <w:sz w:val="24"/>
          <w:szCs w:val="32"/>
          <w:lang w:val="en-US" w:eastAsia="zh-CN"/>
        </w:rPr>
        <w:t>目前工程基本情况与环评及验收阶段情况对比见下表：</w:t>
      </w:r>
    </w:p>
    <w:p w14:paraId="5065229D">
      <w:pPr>
        <w:spacing w:line="360" w:lineRule="auto"/>
        <w:jc w:val="center"/>
        <w:rPr>
          <w:b/>
          <w:bCs/>
          <w:color w:val="auto"/>
          <w:sz w:val="24"/>
          <w:szCs w:val="32"/>
        </w:rPr>
      </w:pPr>
      <w:r>
        <w:rPr>
          <w:b/>
          <w:bCs/>
          <w:color w:val="auto"/>
          <w:sz w:val="24"/>
          <w:szCs w:val="32"/>
        </w:rPr>
        <w:t xml:space="preserve">表3-1 </w:t>
      </w:r>
      <w:r>
        <w:rPr>
          <w:rFonts w:hint="eastAsia"/>
          <w:b/>
          <w:bCs/>
          <w:color w:val="auto"/>
          <w:sz w:val="24"/>
          <w:szCs w:val="32"/>
          <w:lang w:val="en-US" w:eastAsia="zh-CN"/>
        </w:rPr>
        <w:t>项目</w:t>
      </w:r>
      <w:r>
        <w:rPr>
          <w:rFonts w:hint="eastAsia"/>
          <w:b/>
          <w:bCs/>
          <w:color w:val="auto"/>
          <w:sz w:val="24"/>
          <w:szCs w:val="32"/>
        </w:rPr>
        <w:t>一期</w:t>
      </w:r>
      <w:r>
        <w:rPr>
          <w:rFonts w:hint="eastAsia"/>
          <w:b/>
          <w:bCs/>
          <w:color w:val="auto"/>
          <w:sz w:val="24"/>
          <w:szCs w:val="32"/>
          <w:lang w:val="en-US" w:eastAsia="zh-CN"/>
        </w:rPr>
        <w:t>工程内容</w:t>
      </w:r>
      <w:r>
        <w:rPr>
          <w:rFonts w:hint="eastAsia"/>
          <w:b/>
          <w:bCs/>
          <w:color w:val="auto"/>
          <w:sz w:val="24"/>
          <w:szCs w:val="32"/>
        </w:rPr>
        <w:t>与后评价阶段</w:t>
      </w:r>
      <w:r>
        <w:rPr>
          <w:rFonts w:hint="eastAsia"/>
          <w:b/>
          <w:bCs/>
          <w:color w:val="auto"/>
          <w:sz w:val="24"/>
          <w:szCs w:val="32"/>
          <w:lang w:val="en-US" w:eastAsia="zh-CN"/>
        </w:rPr>
        <w:t>一期</w:t>
      </w:r>
      <w:r>
        <w:rPr>
          <w:b/>
          <w:bCs/>
          <w:color w:val="auto"/>
          <w:sz w:val="24"/>
          <w:szCs w:val="32"/>
        </w:rPr>
        <w:t>工程组成</w:t>
      </w:r>
      <w:r>
        <w:rPr>
          <w:rFonts w:hint="eastAsia"/>
          <w:b/>
          <w:bCs/>
          <w:color w:val="auto"/>
          <w:sz w:val="24"/>
          <w:szCs w:val="32"/>
          <w:lang w:val="en-US" w:eastAsia="zh-CN"/>
        </w:rPr>
        <w:t>变化</w:t>
      </w:r>
      <w:r>
        <w:rPr>
          <w:b/>
          <w:bCs/>
          <w:color w:val="auto"/>
          <w:sz w:val="24"/>
          <w:szCs w:val="32"/>
        </w:rPr>
        <w:t>情况一览表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Layout w:type="fixed"/>
        <w:tblCellMar>
          <w:top w:w="15" w:type="dxa"/>
          <w:left w:w="15" w:type="dxa"/>
          <w:bottom w:w="15" w:type="dxa"/>
          <w:right w:w="15" w:type="dxa"/>
        </w:tblCellMar>
      </w:tblPr>
      <w:tblGrid>
        <w:gridCol w:w="424"/>
        <w:gridCol w:w="623"/>
        <w:gridCol w:w="1050"/>
        <w:gridCol w:w="2134"/>
        <w:gridCol w:w="3184"/>
        <w:gridCol w:w="3186"/>
        <w:gridCol w:w="3387"/>
      </w:tblGrid>
      <w:tr w14:paraId="535830A0">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tcBorders>
              <w:tl2br w:val="nil"/>
              <w:tr2bl w:val="nil"/>
            </w:tcBorders>
            <w:noWrap/>
            <w:vAlign w:val="center"/>
          </w:tcPr>
          <w:p w14:paraId="52EDB913">
            <w:pPr>
              <w:widowControl/>
              <w:jc w:val="center"/>
              <w:textAlignment w:val="center"/>
              <w:rPr>
                <w:rFonts w:hint="default" w:eastAsia="宋体"/>
                <w:b/>
                <w:bCs/>
                <w:color w:val="auto"/>
                <w:szCs w:val="21"/>
                <w:lang w:val="en-US" w:eastAsia="zh-CN"/>
              </w:rPr>
            </w:pPr>
            <w:r>
              <w:rPr>
                <w:rFonts w:hint="eastAsia"/>
                <w:b/>
                <w:bCs/>
                <w:color w:val="auto"/>
                <w:kern w:val="0"/>
                <w:szCs w:val="21"/>
                <w:lang w:val="en-US" w:eastAsia="zh-CN" w:bidi="ar"/>
              </w:rPr>
              <w:t>工程类别</w:t>
            </w:r>
          </w:p>
        </w:tc>
        <w:tc>
          <w:tcPr>
            <w:tcW w:w="222" w:type="pct"/>
            <w:tcBorders>
              <w:tl2br w:val="nil"/>
              <w:tr2bl w:val="nil"/>
            </w:tcBorders>
            <w:noWrap/>
            <w:vAlign w:val="center"/>
          </w:tcPr>
          <w:p w14:paraId="04E1F828">
            <w:pPr>
              <w:widowControl/>
              <w:jc w:val="center"/>
              <w:textAlignment w:val="center"/>
              <w:rPr>
                <w:b/>
                <w:bCs/>
                <w:color w:val="auto"/>
                <w:szCs w:val="21"/>
              </w:rPr>
            </w:pPr>
            <w:r>
              <w:rPr>
                <w:b/>
                <w:bCs/>
                <w:color w:val="auto"/>
                <w:kern w:val="0"/>
                <w:szCs w:val="21"/>
                <w:lang w:bidi="ar"/>
              </w:rPr>
              <w:t>单项工程名称</w:t>
            </w:r>
          </w:p>
        </w:tc>
        <w:tc>
          <w:tcPr>
            <w:tcW w:w="1138" w:type="pct"/>
            <w:gridSpan w:val="2"/>
            <w:tcBorders>
              <w:tl2br w:val="nil"/>
              <w:tr2bl w:val="nil"/>
            </w:tcBorders>
            <w:noWrap/>
            <w:vAlign w:val="center"/>
          </w:tcPr>
          <w:p w14:paraId="6BF9B95F">
            <w:pPr>
              <w:widowControl/>
              <w:jc w:val="center"/>
              <w:textAlignment w:val="center"/>
              <w:rPr>
                <w:b/>
                <w:bCs/>
                <w:color w:val="auto"/>
                <w:szCs w:val="21"/>
              </w:rPr>
            </w:pPr>
            <w:r>
              <w:rPr>
                <w:b/>
                <w:bCs/>
                <w:color w:val="auto"/>
                <w:kern w:val="0"/>
                <w:szCs w:val="21"/>
                <w:lang w:bidi="ar"/>
              </w:rPr>
              <w:t>环评阶段</w:t>
            </w:r>
            <w:r>
              <w:rPr>
                <w:rFonts w:hint="eastAsia"/>
                <w:b/>
                <w:bCs/>
                <w:color w:val="auto"/>
                <w:kern w:val="0"/>
                <w:szCs w:val="21"/>
                <w:lang w:val="en-US" w:eastAsia="zh-CN" w:bidi="ar"/>
              </w:rPr>
              <w:t>项目</w:t>
            </w:r>
            <w:r>
              <w:rPr>
                <w:b/>
                <w:bCs/>
                <w:color w:val="auto"/>
                <w:kern w:val="0"/>
                <w:szCs w:val="21"/>
                <w:lang w:bidi="ar"/>
              </w:rPr>
              <w:t>工程内容及规模</w:t>
            </w:r>
          </w:p>
        </w:tc>
        <w:tc>
          <w:tcPr>
            <w:tcW w:w="1138" w:type="pct"/>
            <w:tcBorders>
              <w:tl2br w:val="nil"/>
              <w:tr2bl w:val="nil"/>
            </w:tcBorders>
            <w:noWrap/>
            <w:vAlign w:val="center"/>
          </w:tcPr>
          <w:p w14:paraId="12614F31">
            <w:pPr>
              <w:widowControl/>
              <w:jc w:val="center"/>
              <w:textAlignment w:val="center"/>
              <w:rPr>
                <w:rFonts w:hint="default" w:eastAsia="宋体"/>
                <w:b/>
                <w:bCs/>
                <w:color w:val="auto"/>
                <w:kern w:val="0"/>
                <w:szCs w:val="21"/>
                <w:lang w:val="en-US" w:eastAsia="zh-CN" w:bidi="ar"/>
              </w:rPr>
            </w:pPr>
            <w:r>
              <w:rPr>
                <w:rFonts w:hint="eastAsia"/>
                <w:b/>
                <w:bCs/>
                <w:color w:val="auto"/>
                <w:kern w:val="0"/>
                <w:szCs w:val="21"/>
                <w:lang w:val="en-US" w:eastAsia="zh-CN" w:bidi="ar"/>
              </w:rPr>
              <w:t>阶段性环保验收工程内容及规模</w:t>
            </w:r>
          </w:p>
        </w:tc>
        <w:tc>
          <w:tcPr>
            <w:tcW w:w="1138" w:type="pct"/>
            <w:tcBorders>
              <w:tl2br w:val="nil"/>
              <w:tr2bl w:val="nil"/>
            </w:tcBorders>
            <w:noWrap/>
            <w:vAlign w:val="center"/>
          </w:tcPr>
          <w:p w14:paraId="66495D1B">
            <w:pPr>
              <w:widowControl/>
              <w:jc w:val="center"/>
              <w:textAlignment w:val="center"/>
              <w:rPr>
                <w:b/>
                <w:bCs/>
                <w:color w:val="auto"/>
                <w:kern w:val="0"/>
                <w:szCs w:val="21"/>
                <w:lang w:bidi="ar"/>
              </w:rPr>
            </w:pPr>
            <w:r>
              <w:rPr>
                <w:rFonts w:hint="eastAsia"/>
                <w:b/>
                <w:bCs/>
                <w:color w:val="auto"/>
                <w:kern w:val="0"/>
                <w:szCs w:val="21"/>
                <w:lang w:val="en-US" w:eastAsia="zh-CN" w:bidi="ar"/>
              </w:rPr>
              <w:t>后评价阶段项目</w:t>
            </w:r>
            <w:r>
              <w:rPr>
                <w:b/>
                <w:bCs/>
                <w:color w:val="auto"/>
                <w:kern w:val="0"/>
                <w:szCs w:val="21"/>
                <w:lang w:bidi="ar"/>
              </w:rPr>
              <w:t>工程内容及规模</w:t>
            </w:r>
          </w:p>
        </w:tc>
        <w:tc>
          <w:tcPr>
            <w:tcW w:w="1210" w:type="pct"/>
            <w:tcBorders>
              <w:tl2br w:val="nil"/>
              <w:tr2bl w:val="nil"/>
            </w:tcBorders>
            <w:noWrap/>
            <w:vAlign w:val="center"/>
          </w:tcPr>
          <w:p w14:paraId="2785CEB8">
            <w:pPr>
              <w:widowControl/>
              <w:jc w:val="center"/>
              <w:textAlignment w:val="center"/>
              <w:rPr>
                <w:rFonts w:hint="default" w:eastAsia="宋体"/>
                <w:b/>
                <w:bCs/>
                <w:color w:val="auto"/>
                <w:kern w:val="0"/>
                <w:szCs w:val="21"/>
                <w:lang w:val="en-US" w:eastAsia="zh-CN" w:bidi="ar"/>
              </w:rPr>
            </w:pPr>
            <w:r>
              <w:rPr>
                <w:rFonts w:hint="eastAsia"/>
                <w:b/>
                <w:bCs/>
                <w:color w:val="auto"/>
                <w:kern w:val="0"/>
                <w:szCs w:val="21"/>
                <w:lang w:val="en-US" w:eastAsia="zh-CN" w:bidi="ar"/>
              </w:rPr>
              <w:t>变化说明</w:t>
            </w:r>
          </w:p>
        </w:tc>
      </w:tr>
      <w:tr w14:paraId="400795D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224" w:hRule="atLeast"/>
        </w:trPr>
        <w:tc>
          <w:tcPr>
            <w:tcW w:w="151" w:type="pct"/>
            <w:vMerge w:val="restart"/>
            <w:tcBorders>
              <w:tl2br w:val="nil"/>
              <w:tr2bl w:val="nil"/>
            </w:tcBorders>
            <w:noWrap/>
            <w:vAlign w:val="center"/>
          </w:tcPr>
          <w:p w14:paraId="794E4469">
            <w:pPr>
              <w:widowControl/>
              <w:jc w:val="center"/>
              <w:textAlignment w:val="center"/>
              <w:rPr>
                <w:color w:val="auto"/>
                <w:szCs w:val="21"/>
              </w:rPr>
            </w:pPr>
            <w:r>
              <w:rPr>
                <w:color w:val="auto"/>
                <w:kern w:val="0"/>
                <w:szCs w:val="21"/>
                <w:lang w:bidi="ar"/>
              </w:rPr>
              <w:t>主体工程</w:t>
            </w:r>
          </w:p>
        </w:tc>
        <w:tc>
          <w:tcPr>
            <w:tcW w:w="222" w:type="pct"/>
            <w:tcBorders>
              <w:tl2br w:val="nil"/>
              <w:tr2bl w:val="nil"/>
            </w:tcBorders>
            <w:noWrap/>
            <w:vAlign w:val="center"/>
          </w:tcPr>
          <w:p w14:paraId="4AA36BA0">
            <w:pPr>
              <w:widowControl/>
              <w:jc w:val="center"/>
              <w:textAlignment w:val="center"/>
              <w:rPr>
                <w:rFonts w:hint="default" w:eastAsia="宋体"/>
                <w:color w:val="auto"/>
                <w:szCs w:val="21"/>
                <w:lang w:val="en-US" w:eastAsia="zh-CN"/>
              </w:rPr>
            </w:pPr>
            <w:r>
              <w:rPr>
                <w:rFonts w:hint="eastAsia"/>
                <w:color w:val="auto"/>
                <w:szCs w:val="21"/>
                <w:lang w:val="en-US" w:eastAsia="zh-CN"/>
              </w:rPr>
              <w:t>预处理设备</w:t>
            </w:r>
          </w:p>
        </w:tc>
        <w:tc>
          <w:tcPr>
            <w:tcW w:w="1138" w:type="pct"/>
            <w:gridSpan w:val="2"/>
            <w:tcBorders>
              <w:tl2br w:val="nil"/>
              <w:tr2bl w:val="nil"/>
            </w:tcBorders>
            <w:shd w:val="clear" w:color="auto" w:fill="auto"/>
            <w:noWrap/>
            <w:vAlign w:val="center"/>
          </w:tcPr>
          <w:p w14:paraId="7A64C026">
            <w:pPr>
              <w:keepNext w:val="0"/>
              <w:keepLines w:val="0"/>
              <w:pageBreakBefore w:val="0"/>
              <w:widowControl/>
              <w:kinsoku/>
              <w:wordWrap/>
              <w:overflowPunct/>
              <w:topLinePunct w:val="0"/>
              <w:autoSpaceDE/>
              <w:autoSpaceDN/>
              <w:bidi w:val="0"/>
              <w:adjustRightInd/>
              <w:snapToGrid/>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w:t>
            </w:r>
            <w:r>
              <w:rPr>
                <w:rFonts w:hint="eastAsia"/>
                <w:color w:val="auto"/>
                <w:lang w:val="en-US" w:eastAsia="zh-CN"/>
              </w:rPr>
              <w:t>置</w:t>
            </w:r>
            <w:r>
              <w:rPr>
                <w:color w:val="auto"/>
              </w:rPr>
              <w:t>1台磁选机</w:t>
            </w:r>
          </w:p>
        </w:tc>
        <w:tc>
          <w:tcPr>
            <w:tcW w:w="1138" w:type="pct"/>
            <w:tcBorders>
              <w:tl2br w:val="nil"/>
              <w:tr2bl w:val="nil"/>
            </w:tcBorders>
            <w:noWrap/>
            <w:vAlign w:val="center"/>
          </w:tcPr>
          <w:p w14:paraId="15C152FF">
            <w:pPr>
              <w:keepNext w:val="0"/>
              <w:keepLines w:val="0"/>
              <w:pageBreakBefore w:val="0"/>
              <w:widowControl/>
              <w:kinsoku/>
              <w:wordWrap/>
              <w:overflowPunct/>
              <w:topLinePunct w:val="0"/>
              <w:autoSpaceDE/>
              <w:autoSpaceDN/>
              <w:bidi w:val="0"/>
              <w:adjustRightInd/>
              <w:snapToGrid/>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w:t>
            </w:r>
            <w:r>
              <w:rPr>
                <w:rFonts w:hint="eastAsia"/>
                <w:color w:val="auto"/>
                <w:lang w:val="en-US" w:eastAsia="zh-CN"/>
              </w:rPr>
              <w:t>置</w:t>
            </w:r>
            <w:r>
              <w:rPr>
                <w:color w:val="auto"/>
              </w:rPr>
              <w:t>1台磁选机</w:t>
            </w:r>
          </w:p>
        </w:tc>
        <w:tc>
          <w:tcPr>
            <w:tcW w:w="1138" w:type="pct"/>
            <w:tcBorders>
              <w:tl2br w:val="nil"/>
              <w:tr2bl w:val="nil"/>
            </w:tcBorders>
            <w:noWrap/>
            <w:vAlign w:val="center"/>
          </w:tcPr>
          <w:p w14:paraId="062C68A5">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已建1台磁选机</w:t>
            </w:r>
          </w:p>
        </w:tc>
        <w:tc>
          <w:tcPr>
            <w:tcW w:w="1210" w:type="pct"/>
            <w:tcBorders>
              <w:tl2br w:val="nil"/>
              <w:tr2bl w:val="nil"/>
            </w:tcBorders>
            <w:noWrap/>
            <w:vAlign w:val="center"/>
          </w:tcPr>
          <w:p w14:paraId="70B738B6">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不变</w:t>
            </w:r>
          </w:p>
        </w:tc>
      </w:tr>
      <w:tr w14:paraId="20EB52D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7E0CB039">
            <w:pPr>
              <w:jc w:val="center"/>
              <w:rPr>
                <w:color w:val="auto"/>
                <w:szCs w:val="21"/>
              </w:rPr>
            </w:pPr>
          </w:p>
        </w:tc>
        <w:tc>
          <w:tcPr>
            <w:tcW w:w="222" w:type="pct"/>
            <w:tcBorders>
              <w:tl2br w:val="nil"/>
              <w:tr2bl w:val="nil"/>
            </w:tcBorders>
            <w:noWrap/>
            <w:vAlign w:val="center"/>
          </w:tcPr>
          <w:p w14:paraId="47D1675A">
            <w:pPr>
              <w:widowControl/>
              <w:jc w:val="center"/>
              <w:textAlignment w:val="center"/>
              <w:rPr>
                <w:color w:val="auto"/>
                <w:szCs w:val="21"/>
              </w:rPr>
            </w:pPr>
            <w:r>
              <w:rPr>
                <w:color w:val="auto"/>
                <w:szCs w:val="21"/>
              </w:rPr>
              <w:t>蓄热式</w:t>
            </w:r>
            <w:r>
              <w:rPr>
                <w:rFonts w:hint="eastAsia"/>
                <w:color w:val="auto"/>
                <w:szCs w:val="21"/>
              </w:rPr>
              <w:t>熔炼及</w:t>
            </w:r>
            <w:r>
              <w:rPr>
                <w:color w:val="auto"/>
                <w:szCs w:val="21"/>
              </w:rPr>
              <w:t>精炼炉</w:t>
            </w:r>
          </w:p>
        </w:tc>
        <w:tc>
          <w:tcPr>
            <w:tcW w:w="1138" w:type="pct"/>
            <w:gridSpan w:val="2"/>
            <w:tcBorders>
              <w:tl2br w:val="nil"/>
              <w:tr2bl w:val="nil"/>
            </w:tcBorders>
            <w:shd w:val="clear" w:color="auto" w:fill="auto"/>
            <w:noWrap/>
            <w:vAlign w:val="center"/>
          </w:tcPr>
          <w:p w14:paraId="4776D038">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3组（ 30t熔炼炉配20t精炼炉一组，40t熔炼炉配30t精炼炉一组，10t熔炼精炼两用炉1座）</w:t>
            </w:r>
          </w:p>
        </w:tc>
        <w:tc>
          <w:tcPr>
            <w:tcW w:w="1138" w:type="pct"/>
            <w:tcBorders>
              <w:tl2br w:val="nil"/>
              <w:tr2bl w:val="nil"/>
            </w:tcBorders>
            <w:noWrap/>
            <w:vAlign w:val="center"/>
          </w:tcPr>
          <w:p w14:paraId="59F528FE">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3组（ 30t熔炼炉配20t精炼炉一组，40t熔炼炉配30t精炼炉一组，10t熔炼精炼两用炉1座）</w:t>
            </w:r>
          </w:p>
        </w:tc>
        <w:tc>
          <w:tcPr>
            <w:tcW w:w="1138" w:type="pct"/>
            <w:tcBorders>
              <w:tl2br w:val="nil"/>
              <w:tr2bl w:val="nil"/>
            </w:tcBorders>
            <w:noWrap/>
            <w:vAlign w:val="center"/>
          </w:tcPr>
          <w:p w14:paraId="1F14B903">
            <w:pPr>
              <w:widowControl/>
              <w:jc w:val="center"/>
              <w:textAlignment w:val="center"/>
              <w:rPr>
                <w:color w:val="auto"/>
                <w:kern w:val="0"/>
                <w:szCs w:val="21"/>
                <w:lang w:bidi="ar"/>
              </w:rPr>
            </w:pPr>
            <w:r>
              <w:rPr>
                <w:rFonts w:hint="eastAsia" w:cs="Times New Roman"/>
                <w:color w:val="auto"/>
                <w:kern w:val="2"/>
                <w:sz w:val="21"/>
                <w:szCs w:val="21"/>
                <w:lang w:val="en-US" w:eastAsia="zh-CN" w:bidi="ar-SA"/>
              </w:rPr>
              <w:t>项目拆除1座</w:t>
            </w:r>
            <w:r>
              <w:rPr>
                <w:rFonts w:hint="eastAsia" w:ascii="Times New Roman" w:hAnsi="Times New Roman" w:eastAsia="宋体" w:cs="Times New Roman"/>
                <w:color w:val="auto"/>
                <w:kern w:val="2"/>
                <w:sz w:val="21"/>
                <w:szCs w:val="21"/>
                <w:lang w:val="en-US" w:eastAsia="zh-CN" w:bidi="ar-SA"/>
              </w:rPr>
              <w:t>10t熔炼精炼两用炉</w:t>
            </w:r>
            <w:r>
              <w:rPr>
                <w:rFonts w:hint="eastAsia" w:cs="Times New Roman"/>
                <w:color w:val="auto"/>
                <w:kern w:val="2"/>
                <w:sz w:val="21"/>
                <w:szCs w:val="21"/>
                <w:lang w:val="en-US" w:eastAsia="zh-CN" w:bidi="ar-SA"/>
              </w:rPr>
              <w:t>及一座20t精炼炉，仅保留1台</w:t>
            </w:r>
            <w:r>
              <w:rPr>
                <w:rFonts w:hint="eastAsia" w:ascii="Times New Roman" w:hAnsi="Times New Roman" w:eastAsia="宋体" w:cs="Times New Roman"/>
                <w:color w:val="auto"/>
                <w:kern w:val="2"/>
                <w:sz w:val="21"/>
                <w:szCs w:val="21"/>
                <w:lang w:val="en-US" w:eastAsia="zh-CN" w:bidi="ar-SA"/>
              </w:rPr>
              <w:t>40t熔炼炉</w:t>
            </w:r>
            <w:r>
              <w:rPr>
                <w:rFonts w:hint="eastAsia" w:cs="Times New Roman"/>
                <w:color w:val="auto"/>
                <w:kern w:val="2"/>
                <w:sz w:val="21"/>
                <w:szCs w:val="21"/>
                <w:lang w:val="en-US" w:eastAsia="zh-CN" w:bidi="ar-SA"/>
              </w:rPr>
              <w:t>、1台</w:t>
            </w:r>
            <w:r>
              <w:rPr>
                <w:rFonts w:hint="eastAsia" w:ascii="Times New Roman" w:hAnsi="Times New Roman" w:eastAsia="宋体" w:cs="Times New Roman"/>
                <w:color w:val="auto"/>
                <w:kern w:val="2"/>
                <w:sz w:val="21"/>
                <w:szCs w:val="21"/>
                <w:lang w:val="en-US" w:eastAsia="zh-CN" w:bidi="ar-SA"/>
              </w:rPr>
              <w:t>30t熔炼炉</w:t>
            </w:r>
            <w:r>
              <w:rPr>
                <w:rFonts w:hint="eastAsia" w:cs="Times New Roman"/>
                <w:color w:val="auto"/>
                <w:kern w:val="2"/>
                <w:sz w:val="21"/>
                <w:szCs w:val="21"/>
                <w:lang w:val="en-US" w:eastAsia="zh-CN" w:bidi="ar-SA"/>
              </w:rPr>
              <w:t>和1台30t</w:t>
            </w:r>
            <w:r>
              <w:rPr>
                <w:rFonts w:hint="eastAsia" w:ascii="Times New Roman" w:hAnsi="Times New Roman" w:eastAsia="宋体" w:cs="Times New Roman"/>
                <w:color w:val="auto"/>
                <w:kern w:val="2"/>
                <w:sz w:val="21"/>
                <w:szCs w:val="21"/>
                <w:lang w:val="en-US" w:eastAsia="zh-CN" w:bidi="ar-SA"/>
              </w:rPr>
              <w:t>精炼炉</w:t>
            </w:r>
          </w:p>
        </w:tc>
        <w:tc>
          <w:tcPr>
            <w:tcW w:w="1210" w:type="pct"/>
            <w:tcBorders>
              <w:tl2br w:val="nil"/>
              <w:tr2bl w:val="nil"/>
            </w:tcBorders>
            <w:noWrap/>
            <w:vAlign w:val="center"/>
          </w:tcPr>
          <w:p w14:paraId="790A7304">
            <w:pPr>
              <w:widowControl/>
              <w:jc w:val="center"/>
              <w:textAlignment w:val="center"/>
              <w:rPr>
                <w:rFonts w:hint="default" w:eastAsia="宋体"/>
                <w:color w:val="auto"/>
                <w:kern w:val="0"/>
                <w:szCs w:val="21"/>
                <w:lang w:val="en-US" w:eastAsia="zh-CN" w:bidi="ar"/>
              </w:rPr>
            </w:pPr>
            <w:r>
              <w:rPr>
                <w:rFonts w:hint="eastAsia" w:eastAsia="宋体"/>
                <w:color w:val="auto"/>
                <w:kern w:val="0"/>
                <w:szCs w:val="21"/>
                <w:lang w:val="en-US" w:eastAsia="zh-CN" w:bidi="ar"/>
              </w:rPr>
              <w:t>根据《产业结构调整指导目录（2024年本）》“第三类淘汰类”中“一、落后生产工艺装备”（六）有色金属第18条“15吨以下再生铝用熔炼炉”的规定，同时企业为优化生产布局、提升装备水平、降低能耗与污染物排放，将淘汰并拆除现有1台10吨再生铝用熔炼精炼两用炉、1台20吨</w:t>
            </w:r>
            <w:r>
              <w:rPr>
                <w:rFonts w:hint="eastAsia"/>
                <w:color w:val="auto"/>
                <w:kern w:val="0"/>
                <w:szCs w:val="21"/>
                <w:lang w:val="en-US" w:eastAsia="zh-CN" w:bidi="ar"/>
              </w:rPr>
              <w:t>精炼</w:t>
            </w:r>
            <w:r>
              <w:rPr>
                <w:rFonts w:hint="eastAsia" w:eastAsia="宋体"/>
                <w:color w:val="auto"/>
                <w:kern w:val="0"/>
                <w:szCs w:val="21"/>
                <w:lang w:val="en-US" w:eastAsia="zh-CN" w:bidi="ar"/>
              </w:rPr>
              <w:t>炉</w:t>
            </w:r>
            <w:r>
              <w:rPr>
                <w:rFonts w:hint="eastAsia"/>
                <w:color w:val="auto"/>
                <w:kern w:val="0"/>
                <w:szCs w:val="21"/>
                <w:lang w:val="en-US" w:eastAsia="zh-CN" w:bidi="ar"/>
              </w:rPr>
              <w:t>。对现有1台40吨熔炼炉、1台30吨熔炼炉和1台30t精炼炉实施设备更新与升级，</w:t>
            </w:r>
            <w:r>
              <w:rPr>
                <w:rFonts w:hint="eastAsia" w:cs="Times New Roman"/>
                <w:color w:val="auto"/>
                <w:kern w:val="2"/>
                <w:sz w:val="21"/>
                <w:szCs w:val="21"/>
                <w:lang w:val="en-US" w:eastAsia="zh-CN" w:bidi="ar-SA"/>
              </w:rPr>
              <w:t>通过熔炼炉与精炼炉之间协同运行，可满足年产能5.05万吨再生铝合金锭项目的生产需求</w:t>
            </w:r>
          </w:p>
        </w:tc>
      </w:tr>
      <w:tr w14:paraId="4637CE50">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54E0C90A">
            <w:pPr>
              <w:jc w:val="center"/>
              <w:rPr>
                <w:color w:val="auto"/>
                <w:szCs w:val="21"/>
              </w:rPr>
            </w:pPr>
          </w:p>
        </w:tc>
        <w:tc>
          <w:tcPr>
            <w:tcW w:w="222" w:type="pct"/>
            <w:tcBorders>
              <w:tl2br w:val="nil"/>
              <w:tr2bl w:val="nil"/>
            </w:tcBorders>
            <w:noWrap/>
            <w:vAlign w:val="center"/>
          </w:tcPr>
          <w:p w14:paraId="687C03E0">
            <w:pPr>
              <w:widowControl/>
              <w:jc w:val="center"/>
              <w:textAlignment w:val="center"/>
              <w:rPr>
                <w:rFonts w:hint="eastAsia" w:eastAsia="宋体"/>
                <w:color w:val="auto"/>
                <w:szCs w:val="21"/>
                <w:lang w:val="en-US" w:eastAsia="zh-CN"/>
              </w:rPr>
            </w:pPr>
            <w:r>
              <w:rPr>
                <w:rFonts w:hint="eastAsia"/>
                <w:color w:val="auto"/>
                <w:szCs w:val="21"/>
                <w:lang w:val="en-US" w:eastAsia="zh-CN"/>
              </w:rPr>
              <w:t>回转炉</w:t>
            </w:r>
          </w:p>
        </w:tc>
        <w:tc>
          <w:tcPr>
            <w:tcW w:w="1138" w:type="pct"/>
            <w:gridSpan w:val="2"/>
            <w:tcBorders>
              <w:tl2br w:val="nil"/>
              <w:tr2bl w:val="nil"/>
            </w:tcBorders>
            <w:shd w:val="clear" w:color="auto" w:fill="auto"/>
            <w:noWrap/>
            <w:vAlign w:val="center"/>
          </w:tcPr>
          <w:p w14:paraId="471B7AEF">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rFonts w:hint="eastAsia" w:ascii="Times New Roman" w:hAnsi="Times New Roman" w:eastAsia="宋体" w:cs="Times New Roman"/>
                <w:color w:val="auto"/>
                <w:kern w:val="2"/>
                <w:sz w:val="21"/>
                <w:szCs w:val="21"/>
                <w:lang w:val="en-US" w:eastAsia="zh-CN" w:bidi="ar-SA"/>
              </w:rPr>
              <w:t>1台5t回转炉</w:t>
            </w:r>
          </w:p>
        </w:tc>
        <w:tc>
          <w:tcPr>
            <w:tcW w:w="3184" w:type="dxa"/>
            <w:tcBorders>
              <w:tl2br w:val="nil"/>
              <w:tr2bl w:val="nil"/>
            </w:tcBorders>
            <w:noWrap/>
            <w:vAlign w:val="center"/>
          </w:tcPr>
          <w:p w14:paraId="1FAA0D0D">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rFonts w:hint="eastAsia" w:ascii="Times New Roman" w:hAnsi="Times New Roman" w:eastAsia="宋体" w:cs="Times New Roman"/>
                <w:color w:val="auto"/>
                <w:kern w:val="2"/>
                <w:sz w:val="21"/>
                <w:szCs w:val="21"/>
                <w:lang w:val="en-US" w:eastAsia="zh-CN" w:bidi="ar-SA"/>
              </w:rPr>
              <w:t>1台5t回转炉</w:t>
            </w:r>
          </w:p>
        </w:tc>
        <w:tc>
          <w:tcPr>
            <w:tcW w:w="1138" w:type="pct"/>
            <w:tcBorders>
              <w:tl2br w:val="nil"/>
              <w:tr2bl w:val="nil"/>
            </w:tcBorders>
            <w:noWrap/>
            <w:vAlign w:val="center"/>
          </w:tcPr>
          <w:p w14:paraId="432A9543">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已建</w:t>
            </w:r>
            <w:r>
              <w:rPr>
                <w:rFonts w:hint="eastAsia" w:ascii="Times New Roman" w:hAnsi="Times New Roman" w:eastAsia="宋体" w:cs="Times New Roman"/>
                <w:color w:val="auto"/>
                <w:kern w:val="2"/>
                <w:sz w:val="21"/>
                <w:szCs w:val="21"/>
                <w:lang w:val="en-US" w:eastAsia="zh-CN" w:bidi="ar-SA"/>
              </w:rPr>
              <w:t>1台5t回转炉</w:t>
            </w:r>
          </w:p>
        </w:tc>
        <w:tc>
          <w:tcPr>
            <w:tcW w:w="1210" w:type="pct"/>
            <w:tcBorders>
              <w:tl2br w:val="nil"/>
              <w:tr2bl w:val="nil"/>
            </w:tcBorders>
            <w:noWrap/>
            <w:vAlign w:val="center"/>
          </w:tcPr>
          <w:p w14:paraId="27BC772C">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不变</w:t>
            </w:r>
          </w:p>
        </w:tc>
      </w:tr>
      <w:tr w14:paraId="7A02F91E">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211252B9">
            <w:pPr>
              <w:jc w:val="center"/>
              <w:rPr>
                <w:color w:val="auto"/>
                <w:szCs w:val="21"/>
              </w:rPr>
            </w:pPr>
          </w:p>
        </w:tc>
        <w:tc>
          <w:tcPr>
            <w:tcW w:w="222" w:type="pct"/>
            <w:tcBorders>
              <w:tl2br w:val="nil"/>
              <w:tr2bl w:val="nil"/>
            </w:tcBorders>
            <w:noWrap/>
            <w:vAlign w:val="center"/>
          </w:tcPr>
          <w:p w14:paraId="0D2C00BB">
            <w:pPr>
              <w:widowControl/>
              <w:jc w:val="center"/>
              <w:textAlignment w:val="center"/>
              <w:rPr>
                <w:rFonts w:hint="eastAsia"/>
                <w:color w:val="auto"/>
                <w:szCs w:val="21"/>
                <w:lang w:val="en-US" w:eastAsia="zh-CN"/>
              </w:rPr>
            </w:pPr>
            <w:r>
              <w:rPr>
                <w:rFonts w:hint="eastAsia"/>
                <w:color w:val="auto"/>
                <w:szCs w:val="21"/>
                <w:lang w:val="en-US" w:eastAsia="zh-CN"/>
              </w:rPr>
              <w:t>冷灰桶</w:t>
            </w:r>
          </w:p>
        </w:tc>
        <w:tc>
          <w:tcPr>
            <w:tcW w:w="1138" w:type="pct"/>
            <w:gridSpan w:val="2"/>
            <w:tcBorders>
              <w:tl2br w:val="nil"/>
              <w:tr2bl w:val="nil"/>
            </w:tcBorders>
            <w:shd w:val="clear" w:color="auto" w:fill="auto"/>
            <w:noWrap/>
            <w:vAlign w:val="center"/>
          </w:tcPr>
          <w:p w14:paraId="494CECE2">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设置1台16M筛选式冷灰桶</w:t>
            </w:r>
          </w:p>
        </w:tc>
        <w:tc>
          <w:tcPr>
            <w:tcW w:w="3184" w:type="dxa"/>
            <w:tcBorders>
              <w:tl2br w:val="nil"/>
              <w:tr2bl w:val="nil"/>
            </w:tcBorders>
            <w:noWrap/>
            <w:vAlign w:val="center"/>
          </w:tcPr>
          <w:p w14:paraId="3DD7DF99">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设置1台16M筛选式冷灰桶</w:t>
            </w:r>
          </w:p>
        </w:tc>
        <w:tc>
          <w:tcPr>
            <w:tcW w:w="1138" w:type="pct"/>
            <w:tcBorders>
              <w:tl2br w:val="nil"/>
              <w:tr2bl w:val="nil"/>
            </w:tcBorders>
            <w:noWrap/>
            <w:vAlign w:val="center"/>
          </w:tcPr>
          <w:p w14:paraId="5428CB16">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已建1台16M筛选式冷灰桶</w:t>
            </w:r>
          </w:p>
        </w:tc>
        <w:tc>
          <w:tcPr>
            <w:tcW w:w="1210" w:type="pct"/>
            <w:tcBorders>
              <w:tl2br w:val="nil"/>
              <w:tr2bl w:val="nil"/>
            </w:tcBorders>
            <w:noWrap/>
            <w:vAlign w:val="center"/>
          </w:tcPr>
          <w:p w14:paraId="5044A6E2">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不变</w:t>
            </w:r>
          </w:p>
        </w:tc>
      </w:tr>
      <w:tr w14:paraId="473BFC71">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120B6C14">
            <w:pPr>
              <w:jc w:val="center"/>
              <w:rPr>
                <w:color w:val="auto"/>
                <w:szCs w:val="21"/>
              </w:rPr>
            </w:pPr>
          </w:p>
        </w:tc>
        <w:tc>
          <w:tcPr>
            <w:tcW w:w="222" w:type="pct"/>
            <w:tcBorders>
              <w:tl2br w:val="nil"/>
              <w:tr2bl w:val="nil"/>
            </w:tcBorders>
            <w:noWrap/>
            <w:vAlign w:val="center"/>
          </w:tcPr>
          <w:p w14:paraId="67CBE40A">
            <w:pPr>
              <w:widowControl/>
              <w:jc w:val="center"/>
              <w:textAlignment w:val="center"/>
              <w:rPr>
                <w:rFonts w:hint="eastAsia"/>
                <w:color w:val="auto"/>
                <w:szCs w:val="21"/>
                <w:lang w:val="en-US" w:eastAsia="zh-CN"/>
              </w:rPr>
            </w:pPr>
            <w:r>
              <w:rPr>
                <w:color w:val="auto"/>
              </w:rPr>
              <w:t>铸锭叠锭</w:t>
            </w:r>
          </w:p>
        </w:tc>
        <w:tc>
          <w:tcPr>
            <w:tcW w:w="1138" w:type="pct"/>
            <w:gridSpan w:val="2"/>
            <w:tcBorders>
              <w:tl2br w:val="nil"/>
              <w:tr2bl w:val="nil"/>
            </w:tcBorders>
            <w:shd w:val="clear" w:color="auto" w:fill="auto"/>
            <w:noWrap/>
            <w:vAlign w:val="center"/>
          </w:tcPr>
          <w:p w14:paraId="4A71264A">
            <w:pPr>
              <w:widowControl/>
              <w:jc w:val="center"/>
              <w:textAlignment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color w:val="auto"/>
              </w:rPr>
              <w:t>2条260模铸锭叠锭线</w:t>
            </w:r>
          </w:p>
        </w:tc>
        <w:tc>
          <w:tcPr>
            <w:tcW w:w="3184" w:type="dxa"/>
            <w:tcBorders>
              <w:tl2br w:val="nil"/>
              <w:tr2bl w:val="nil"/>
            </w:tcBorders>
            <w:noWrap/>
            <w:vAlign w:val="center"/>
          </w:tcPr>
          <w:p w14:paraId="1A1C34A6">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color w:val="auto"/>
              </w:rPr>
              <w:t>2条260模铸锭叠锭线</w:t>
            </w:r>
          </w:p>
        </w:tc>
        <w:tc>
          <w:tcPr>
            <w:tcW w:w="1138" w:type="pct"/>
            <w:tcBorders>
              <w:tl2br w:val="nil"/>
              <w:tr2bl w:val="nil"/>
            </w:tcBorders>
            <w:noWrap/>
            <w:vAlign w:val="center"/>
          </w:tcPr>
          <w:p w14:paraId="390D9F55">
            <w:pPr>
              <w:widowControl/>
              <w:jc w:val="center"/>
              <w:textAlignment w:val="center"/>
              <w:rPr>
                <w:rFonts w:hint="default" w:cs="Times New Roman"/>
                <w:color w:val="0000FF"/>
                <w:kern w:val="2"/>
                <w:sz w:val="21"/>
                <w:szCs w:val="21"/>
                <w:lang w:val="en-US" w:eastAsia="zh-CN" w:bidi="ar-SA"/>
              </w:rPr>
            </w:pPr>
            <w:r>
              <w:rPr>
                <w:rFonts w:hint="eastAsia" w:cs="Times New Roman"/>
                <w:color w:val="0000FF"/>
                <w:kern w:val="2"/>
                <w:sz w:val="21"/>
                <w:szCs w:val="21"/>
                <w:lang w:val="en-US" w:eastAsia="zh-CN" w:bidi="ar-SA"/>
              </w:rPr>
              <w:t>已建</w:t>
            </w:r>
            <w:r>
              <w:rPr>
                <w:color w:val="0000FF"/>
              </w:rPr>
              <w:t>2条</w:t>
            </w:r>
            <w:r>
              <w:rPr>
                <w:rFonts w:hint="eastAsia"/>
                <w:color w:val="0000FF"/>
                <w:lang w:val="en-US" w:eastAsia="zh-CN"/>
              </w:rPr>
              <w:t>500</w:t>
            </w:r>
            <w:r>
              <w:rPr>
                <w:color w:val="0000FF"/>
              </w:rPr>
              <w:t>模铸锭叠锭线</w:t>
            </w:r>
          </w:p>
        </w:tc>
        <w:tc>
          <w:tcPr>
            <w:tcW w:w="1210" w:type="pct"/>
            <w:tcBorders>
              <w:tl2br w:val="nil"/>
              <w:tr2bl w:val="nil"/>
            </w:tcBorders>
            <w:noWrap/>
            <w:vAlign w:val="center"/>
          </w:tcPr>
          <w:p w14:paraId="0189F684">
            <w:pPr>
              <w:widowControl/>
              <w:jc w:val="center"/>
              <w:textAlignment w:val="center"/>
              <w:rPr>
                <w:rFonts w:hint="default"/>
                <w:color w:val="0000FF"/>
                <w:kern w:val="0"/>
                <w:szCs w:val="21"/>
                <w:lang w:val="en-US" w:eastAsia="zh-CN" w:bidi="ar"/>
              </w:rPr>
            </w:pPr>
            <w:r>
              <w:rPr>
                <w:rFonts w:hint="eastAsia"/>
                <w:color w:val="0000FF"/>
                <w:kern w:val="0"/>
                <w:szCs w:val="21"/>
                <w:lang w:val="en-US" w:eastAsia="zh-CN" w:bidi="ar"/>
              </w:rPr>
              <w:t>为满足市场高端化、高效铸锭的生产需求，</w:t>
            </w:r>
            <w:r>
              <w:rPr>
                <w:rFonts w:hint="default"/>
                <w:color w:val="0000FF"/>
                <w:kern w:val="0"/>
                <w:szCs w:val="21"/>
                <w:lang w:val="en-US" w:eastAsia="zh-CN" w:bidi="ar"/>
              </w:rPr>
              <w:t>原有叠锭线额定载荷不够</w:t>
            </w:r>
            <w:r>
              <w:rPr>
                <w:rFonts w:hint="eastAsia"/>
                <w:color w:val="0000FF"/>
                <w:kern w:val="0"/>
                <w:szCs w:val="21"/>
                <w:lang w:val="en-US" w:eastAsia="zh-CN" w:bidi="ar"/>
              </w:rPr>
              <w:t>，故设备升级为</w:t>
            </w:r>
            <w:r>
              <w:rPr>
                <w:color w:val="0000FF"/>
              </w:rPr>
              <w:t>2条</w:t>
            </w:r>
            <w:r>
              <w:rPr>
                <w:rFonts w:hint="eastAsia"/>
                <w:color w:val="0000FF"/>
                <w:lang w:val="en-US" w:eastAsia="zh-CN"/>
              </w:rPr>
              <w:t>500</w:t>
            </w:r>
            <w:r>
              <w:rPr>
                <w:color w:val="0000FF"/>
              </w:rPr>
              <w:t>模铸锭叠锭线</w:t>
            </w:r>
          </w:p>
        </w:tc>
      </w:tr>
      <w:tr w14:paraId="0BF3D47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restart"/>
            <w:tcBorders>
              <w:tl2br w:val="nil"/>
              <w:tr2bl w:val="nil"/>
            </w:tcBorders>
            <w:noWrap/>
            <w:vAlign w:val="center"/>
          </w:tcPr>
          <w:p w14:paraId="21B04168">
            <w:pPr>
              <w:jc w:val="center"/>
              <w:rPr>
                <w:rFonts w:hint="eastAsia" w:eastAsia="宋体"/>
                <w:color w:val="auto"/>
                <w:szCs w:val="21"/>
                <w:lang w:val="en-US" w:eastAsia="zh-CN"/>
              </w:rPr>
            </w:pPr>
            <w:r>
              <w:rPr>
                <w:rFonts w:hint="eastAsia"/>
                <w:color w:val="auto"/>
                <w:szCs w:val="21"/>
                <w:lang w:val="en-US" w:eastAsia="zh-CN"/>
              </w:rPr>
              <w:t>公辅工程</w:t>
            </w:r>
          </w:p>
        </w:tc>
        <w:tc>
          <w:tcPr>
            <w:tcW w:w="222" w:type="pct"/>
            <w:tcBorders>
              <w:tl2br w:val="nil"/>
              <w:tr2bl w:val="nil"/>
            </w:tcBorders>
            <w:noWrap/>
            <w:vAlign w:val="center"/>
          </w:tcPr>
          <w:p w14:paraId="59FA0D77">
            <w:pPr>
              <w:widowControl/>
              <w:jc w:val="center"/>
              <w:textAlignment w:val="center"/>
              <w:rPr>
                <w:rFonts w:hint="default" w:eastAsia="宋体"/>
                <w:color w:val="auto"/>
                <w:lang w:val="en-US" w:eastAsia="zh-CN"/>
              </w:rPr>
            </w:pPr>
            <w:r>
              <w:rPr>
                <w:rFonts w:hint="eastAsia"/>
                <w:color w:val="auto"/>
                <w:lang w:val="en-US" w:eastAsia="zh-CN"/>
              </w:rPr>
              <w:t>质检分析室</w:t>
            </w:r>
          </w:p>
        </w:tc>
        <w:tc>
          <w:tcPr>
            <w:tcW w:w="1138" w:type="pct"/>
            <w:gridSpan w:val="2"/>
            <w:tcBorders>
              <w:tl2br w:val="nil"/>
              <w:tr2bl w:val="nil"/>
            </w:tcBorders>
            <w:shd w:val="clear" w:color="auto" w:fill="auto"/>
            <w:noWrap/>
            <w:vAlign w:val="center"/>
          </w:tcPr>
          <w:p w14:paraId="5165FF09">
            <w:pPr>
              <w:widowControl/>
              <w:jc w:val="center"/>
              <w:textAlignment w:val="center"/>
              <w:rPr>
                <w:rFonts w:hint="eastAsia" w:eastAsia="宋体"/>
                <w:color w:val="auto"/>
                <w:lang w:val="en-US" w:eastAsia="zh-CN"/>
              </w:rPr>
            </w:pPr>
            <w:r>
              <w:rPr>
                <w:rFonts w:hint="eastAsia"/>
                <w:color w:val="auto"/>
                <w:lang w:val="en-US" w:eastAsia="zh-CN"/>
              </w:rPr>
              <w:t>/</w:t>
            </w:r>
          </w:p>
        </w:tc>
        <w:tc>
          <w:tcPr>
            <w:tcW w:w="1138" w:type="pct"/>
            <w:tcBorders>
              <w:tl2br w:val="nil"/>
              <w:tr2bl w:val="nil"/>
            </w:tcBorders>
            <w:noWrap/>
            <w:vAlign w:val="center"/>
          </w:tcPr>
          <w:p w14:paraId="1B400FE7">
            <w:pPr>
              <w:widowControl/>
              <w:jc w:val="center"/>
              <w:textAlignment w:val="center"/>
              <w:rPr>
                <w:rFonts w:hint="default"/>
                <w:color w:val="auto"/>
                <w:lang w:val="en-US" w:eastAsia="zh-CN"/>
              </w:rPr>
            </w:pPr>
            <w:r>
              <w:rPr>
                <w:rFonts w:hint="eastAsia"/>
                <w:color w:val="auto"/>
                <w:lang w:val="en-US" w:eastAsia="zh-CN"/>
              </w:rPr>
              <w:t>/</w:t>
            </w:r>
          </w:p>
        </w:tc>
        <w:tc>
          <w:tcPr>
            <w:tcW w:w="1138" w:type="pct"/>
            <w:tcBorders>
              <w:tl2br w:val="nil"/>
              <w:tr2bl w:val="nil"/>
            </w:tcBorders>
            <w:noWrap/>
            <w:vAlign w:val="center"/>
          </w:tcPr>
          <w:p w14:paraId="4723F0E8">
            <w:pPr>
              <w:widowControl/>
              <w:jc w:val="center"/>
              <w:textAlignment w:val="center"/>
              <w:rPr>
                <w:rFonts w:hint="default" w:eastAsia="宋体"/>
                <w:color w:val="0000FF"/>
                <w:lang w:val="en-US" w:eastAsia="zh-CN"/>
              </w:rPr>
            </w:pPr>
            <w:r>
              <w:rPr>
                <w:rFonts w:hint="eastAsia"/>
                <w:color w:val="0000FF"/>
                <w:lang w:val="en-US" w:eastAsia="zh-CN"/>
              </w:rPr>
              <w:t>新增质检分析室位于办公楼内，布设1台</w:t>
            </w:r>
            <w:r>
              <w:rPr>
                <w:rFonts w:hint="eastAsia"/>
                <w:color w:val="0000FF"/>
              </w:rPr>
              <w:t>纯度检测设备、</w:t>
            </w:r>
            <w:r>
              <w:rPr>
                <w:rFonts w:hint="eastAsia"/>
                <w:color w:val="0000FF"/>
                <w:lang w:val="en-US" w:eastAsia="zh-CN"/>
              </w:rPr>
              <w:t>1台</w:t>
            </w:r>
            <w:r>
              <w:rPr>
                <w:rFonts w:hint="eastAsia"/>
                <w:color w:val="0000FF"/>
              </w:rPr>
              <w:t>成分检测设备、</w:t>
            </w:r>
            <w:r>
              <w:rPr>
                <w:rFonts w:hint="eastAsia"/>
                <w:color w:val="0000FF"/>
                <w:lang w:val="en-US" w:eastAsia="zh-CN"/>
              </w:rPr>
              <w:t>1台</w:t>
            </w:r>
            <w:r>
              <w:rPr>
                <w:rFonts w:hint="eastAsia"/>
                <w:color w:val="0000FF"/>
              </w:rPr>
              <w:t>辐射检测设备</w:t>
            </w:r>
            <w:r>
              <w:rPr>
                <w:rFonts w:hint="eastAsia"/>
                <w:color w:val="0000FF"/>
                <w:lang w:eastAsia="zh-CN"/>
              </w:rPr>
              <w:t>，</w:t>
            </w:r>
            <w:r>
              <w:rPr>
                <w:rFonts w:hint="eastAsia"/>
                <w:color w:val="0000FF"/>
                <w:lang w:val="en-US" w:eastAsia="zh-CN"/>
              </w:rPr>
              <w:t>用于原料废铝入厂前检测。</w:t>
            </w:r>
          </w:p>
        </w:tc>
        <w:tc>
          <w:tcPr>
            <w:tcW w:w="1210" w:type="pct"/>
            <w:tcBorders>
              <w:tl2br w:val="nil"/>
              <w:tr2bl w:val="nil"/>
            </w:tcBorders>
            <w:noWrap/>
            <w:vAlign w:val="center"/>
          </w:tcPr>
          <w:p w14:paraId="76FA14DD">
            <w:pPr>
              <w:widowControl/>
              <w:jc w:val="center"/>
              <w:textAlignment w:val="center"/>
              <w:rPr>
                <w:rFonts w:hint="eastAsia" w:eastAsia="宋体"/>
                <w:color w:val="0000FF"/>
                <w:kern w:val="0"/>
                <w:szCs w:val="21"/>
                <w:lang w:val="en-US" w:eastAsia="zh-CN" w:bidi="ar"/>
              </w:rPr>
            </w:pPr>
            <w:r>
              <w:rPr>
                <w:rFonts w:hint="eastAsia"/>
                <w:color w:val="0000FF"/>
                <w:lang w:val="en-US" w:eastAsia="zh-CN"/>
              </w:rPr>
              <w:t>新增1台</w:t>
            </w:r>
            <w:r>
              <w:rPr>
                <w:rFonts w:hint="eastAsia"/>
                <w:color w:val="0000FF"/>
              </w:rPr>
              <w:t>纯度检测设备、</w:t>
            </w:r>
            <w:r>
              <w:rPr>
                <w:rFonts w:hint="eastAsia"/>
                <w:color w:val="0000FF"/>
                <w:lang w:val="en-US" w:eastAsia="zh-CN"/>
              </w:rPr>
              <w:t>1台</w:t>
            </w:r>
            <w:r>
              <w:rPr>
                <w:rFonts w:hint="eastAsia"/>
                <w:color w:val="0000FF"/>
              </w:rPr>
              <w:t>成分检测设备、</w:t>
            </w:r>
            <w:r>
              <w:rPr>
                <w:rFonts w:hint="eastAsia"/>
                <w:color w:val="0000FF"/>
                <w:lang w:val="en-US" w:eastAsia="zh-CN"/>
              </w:rPr>
              <w:t>1台</w:t>
            </w:r>
            <w:r>
              <w:rPr>
                <w:rFonts w:hint="eastAsia"/>
                <w:color w:val="0000FF"/>
              </w:rPr>
              <w:t>辐射检测设备</w:t>
            </w:r>
            <w:r>
              <w:rPr>
                <w:rFonts w:hint="eastAsia"/>
                <w:color w:val="0000FF"/>
                <w:lang w:eastAsia="zh-CN"/>
              </w:rPr>
              <w:t>，</w:t>
            </w:r>
            <w:r>
              <w:rPr>
                <w:rFonts w:hint="eastAsia"/>
                <w:color w:val="0000FF"/>
                <w:lang w:val="en-US" w:eastAsia="zh-CN"/>
              </w:rPr>
              <w:t>用于原料废铝入厂前检测及成品检测。</w:t>
            </w:r>
          </w:p>
        </w:tc>
      </w:tr>
      <w:tr w14:paraId="710CEE77">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413C657B">
            <w:pPr>
              <w:jc w:val="center"/>
              <w:rPr>
                <w:rFonts w:hint="eastAsia" w:eastAsia="宋体"/>
                <w:color w:val="auto"/>
                <w:szCs w:val="21"/>
                <w:lang w:val="en-US" w:eastAsia="zh-CN"/>
              </w:rPr>
            </w:pPr>
          </w:p>
        </w:tc>
        <w:tc>
          <w:tcPr>
            <w:tcW w:w="222" w:type="pct"/>
            <w:tcBorders>
              <w:tl2br w:val="nil"/>
              <w:tr2bl w:val="nil"/>
            </w:tcBorders>
            <w:noWrap/>
            <w:vAlign w:val="center"/>
          </w:tcPr>
          <w:p w14:paraId="5335C968">
            <w:pPr>
              <w:widowControl/>
              <w:jc w:val="center"/>
              <w:textAlignment w:val="center"/>
              <w:rPr>
                <w:color w:val="auto"/>
              </w:rPr>
            </w:pPr>
            <w:r>
              <w:rPr>
                <w:color w:val="auto"/>
              </w:rPr>
              <w:t>给水系统</w:t>
            </w:r>
          </w:p>
        </w:tc>
        <w:tc>
          <w:tcPr>
            <w:tcW w:w="1138" w:type="pct"/>
            <w:gridSpan w:val="2"/>
            <w:tcBorders>
              <w:tl2br w:val="nil"/>
              <w:tr2bl w:val="nil"/>
            </w:tcBorders>
            <w:shd w:val="clear" w:color="auto" w:fill="auto"/>
            <w:noWrap/>
            <w:vAlign w:val="center"/>
          </w:tcPr>
          <w:p w14:paraId="117DF9D2">
            <w:pPr>
              <w:widowControl/>
              <w:jc w:val="center"/>
              <w:textAlignment w:val="center"/>
              <w:rPr>
                <w:rFonts w:hint="eastAsia" w:cs="Times New Roman"/>
                <w:color w:val="auto"/>
                <w:kern w:val="2"/>
                <w:sz w:val="21"/>
                <w:szCs w:val="21"/>
                <w:lang w:val="en-US" w:eastAsia="zh-CN" w:bidi="ar-SA"/>
              </w:rPr>
            </w:pPr>
            <w:r>
              <w:rPr>
                <w:color w:val="auto"/>
              </w:rPr>
              <w:t>包括生产给水系统、消防给水系统、生活给水系统、循环水系统等。新鲜水来自市政管网。</w:t>
            </w:r>
          </w:p>
        </w:tc>
        <w:tc>
          <w:tcPr>
            <w:tcW w:w="3184" w:type="dxa"/>
            <w:tcBorders>
              <w:tl2br w:val="nil"/>
              <w:tr2bl w:val="nil"/>
            </w:tcBorders>
            <w:noWrap/>
            <w:vAlign w:val="center"/>
          </w:tcPr>
          <w:p w14:paraId="545B78D5">
            <w:pPr>
              <w:widowControl/>
              <w:jc w:val="center"/>
              <w:textAlignment w:val="center"/>
              <w:rPr>
                <w:color w:val="auto"/>
              </w:rPr>
            </w:pPr>
            <w:r>
              <w:rPr>
                <w:color w:val="auto"/>
              </w:rPr>
              <w:t>包括生产给水系统、消防给水系统、生活给水系统、循环水系统等。新鲜水来自市政管网。</w:t>
            </w:r>
          </w:p>
        </w:tc>
        <w:tc>
          <w:tcPr>
            <w:tcW w:w="1138" w:type="pct"/>
            <w:tcBorders>
              <w:tl2br w:val="nil"/>
              <w:tr2bl w:val="nil"/>
            </w:tcBorders>
            <w:noWrap/>
            <w:vAlign w:val="center"/>
          </w:tcPr>
          <w:p w14:paraId="74670AAB">
            <w:pPr>
              <w:widowControl/>
              <w:jc w:val="center"/>
              <w:textAlignment w:val="center"/>
              <w:rPr>
                <w:rFonts w:hint="eastAsia" w:cs="Times New Roman"/>
                <w:color w:val="auto"/>
                <w:kern w:val="2"/>
                <w:sz w:val="21"/>
                <w:szCs w:val="21"/>
                <w:lang w:val="en-US" w:eastAsia="zh-CN" w:bidi="ar-SA"/>
              </w:rPr>
            </w:pPr>
            <w:r>
              <w:rPr>
                <w:color w:val="auto"/>
              </w:rPr>
              <w:t>括生产给水系统、消防给水系统、生活给水系统、循环水系统等。新鲜水来自市政管网。</w:t>
            </w:r>
          </w:p>
        </w:tc>
        <w:tc>
          <w:tcPr>
            <w:tcW w:w="1210" w:type="pct"/>
            <w:tcBorders>
              <w:tl2br w:val="nil"/>
              <w:tr2bl w:val="nil"/>
            </w:tcBorders>
            <w:noWrap/>
            <w:vAlign w:val="center"/>
          </w:tcPr>
          <w:p w14:paraId="24B761AC">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不变</w:t>
            </w:r>
          </w:p>
        </w:tc>
      </w:tr>
      <w:tr w14:paraId="23A5BEA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33626DCA">
            <w:pPr>
              <w:jc w:val="center"/>
              <w:rPr>
                <w:rFonts w:hint="eastAsia"/>
                <w:color w:val="auto"/>
                <w:szCs w:val="21"/>
                <w:lang w:val="en-US" w:eastAsia="zh-CN"/>
              </w:rPr>
            </w:pPr>
          </w:p>
        </w:tc>
        <w:tc>
          <w:tcPr>
            <w:tcW w:w="222" w:type="pct"/>
            <w:tcBorders>
              <w:tl2br w:val="nil"/>
              <w:tr2bl w:val="nil"/>
            </w:tcBorders>
            <w:noWrap/>
            <w:vAlign w:val="center"/>
          </w:tcPr>
          <w:p w14:paraId="0B9CCF2E">
            <w:pPr>
              <w:widowControl/>
              <w:jc w:val="center"/>
              <w:textAlignment w:val="center"/>
              <w:rPr>
                <w:color w:val="auto"/>
              </w:rPr>
            </w:pPr>
            <w:r>
              <w:rPr>
                <w:color w:val="auto"/>
              </w:rPr>
              <w:t>排水系统</w:t>
            </w:r>
          </w:p>
        </w:tc>
        <w:tc>
          <w:tcPr>
            <w:tcW w:w="1138" w:type="pct"/>
            <w:gridSpan w:val="2"/>
            <w:tcBorders>
              <w:tl2br w:val="nil"/>
              <w:tr2bl w:val="nil"/>
            </w:tcBorders>
            <w:shd w:val="clear" w:color="auto" w:fill="auto"/>
            <w:noWrap/>
            <w:vAlign w:val="center"/>
          </w:tcPr>
          <w:p w14:paraId="738DF9C0">
            <w:pPr>
              <w:widowControl/>
              <w:jc w:val="center"/>
              <w:textAlignment w:val="center"/>
              <w:rPr>
                <w:color w:val="auto"/>
                <w:highlight w:val="none"/>
              </w:rPr>
            </w:pPr>
            <w:r>
              <w:rPr>
                <w:color w:val="auto"/>
                <w:highlight w:val="none"/>
              </w:rPr>
              <w:t>采用</w:t>
            </w:r>
            <w:r>
              <w:rPr>
                <w:rFonts w:hint="eastAsia" w:ascii="宋体" w:hAnsi="宋体" w:eastAsia="宋体" w:cs="宋体"/>
                <w:color w:val="auto"/>
                <w:highlight w:val="none"/>
              </w:rPr>
              <w:t>“</w:t>
            </w:r>
            <w:r>
              <w:rPr>
                <w:color w:val="auto"/>
                <w:highlight w:val="none"/>
              </w:rPr>
              <w:t>雨污分流、清污分流</w:t>
            </w:r>
            <w:r>
              <w:rPr>
                <w:rFonts w:hint="eastAsia" w:ascii="宋体" w:hAnsi="宋体" w:eastAsia="宋体" w:cs="宋体"/>
                <w:color w:val="auto"/>
                <w:highlight w:val="none"/>
              </w:rPr>
              <w:t>”</w:t>
            </w:r>
            <w:r>
              <w:rPr>
                <w:color w:val="auto"/>
                <w:highlight w:val="none"/>
              </w:rPr>
              <w:t>系统。生活污水经预处理后排入开发区污水管网；生产</w:t>
            </w:r>
            <w:r>
              <w:rPr>
                <w:rFonts w:hint="eastAsia"/>
                <w:color w:val="auto"/>
                <w:highlight w:val="none"/>
              </w:rPr>
              <w:t>废</w:t>
            </w:r>
            <w:r>
              <w:rPr>
                <w:color w:val="auto"/>
                <w:highlight w:val="none"/>
              </w:rPr>
              <w:t>水循环利用</w:t>
            </w:r>
            <w:r>
              <w:rPr>
                <w:rFonts w:hint="eastAsia"/>
                <w:color w:val="auto"/>
                <w:highlight w:val="none"/>
              </w:rPr>
              <w:t>和全部回用</w:t>
            </w:r>
            <w:r>
              <w:rPr>
                <w:color w:val="auto"/>
                <w:highlight w:val="none"/>
              </w:rPr>
              <w:t>，不外排；雨水在厂内汇入初期雨水收集池，前15分钟雨水切换进入污水管网，15分钟后雨水经溢流排入附近自然水体。</w:t>
            </w:r>
          </w:p>
        </w:tc>
        <w:tc>
          <w:tcPr>
            <w:tcW w:w="3184" w:type="dxa"/>
            <w:tcBorders>
              <w:tl2br w:val="nil"/>
              <w:tr2bl w:val="nil"/>
            </w:tcBorders>
            <w:noWrap/>
            <w:vAlign w:val="center"/>
          </w:tcPr>
          <w:p w14:paraId="03B3DC14">
            <w:pPr>
              <w:widowControl/>
              <w:jc w:val="center"/>
              <w:textAlignment w:val="center"/>
              <w:rPr>
                <w:color w:val="auto"/>
                <w:highlight w:val="none"/>
              </w:rPr>
            </w:pPr>
            <w:r>
              <w:rPr>
                <w:color w:val="auto"/>
                <w:highlight w:val="none"/>
              </w:rPr>
              <w:t>采用</w:t>
            </w:r>
            <w:r>
              <w:rPr>
                <w:rFonts w:hint="eastAsia" w:ascii="宋体" w:hAnsi="宋体" w:eastAsia="宋体" w:cs="宋体"/>
                <w:color w:val="auto"/>
                <w:highlight w:val="none"/>
              </w:rPr>
              <w:t>“</w:t>
            </w:r>
            <w:r>
              <w:rPr>
                <w:color w:val="auto"/>
                <w:highlight w:val="none"/>
              </w:rPr>
              <w:t>雨污分流、清污分流</w:t>
            </w:r>
            <w:r>
              <w:rPr>
                <w:rFonts w:hint="eastAsia" w:ascii="宋体" w:hAnsi="宋体" w:eastAsia="宋体" w:cs="宋体"/>
                <w:color w:val="auto"/>
                <w:highlight w:val="none"/>
              </w:rPr>
              <w:t>”</w:t>
            </w:r>
            <w:r>
              <w:rPr>
                <w:color w:val="auto"/>
                <w:highlight w:val="none"/>
              </w:rPr>
              <w:t>系统。生活污水经预处理后排入开发区污水管网；生产</w:t>
            </w:r>
            <w:r>
              <w:rPr>
                <w:rFonts w:hint="eastAsia"/>
                <w:color w:val="auto"/>
                <w:highlight w:val="none"/>
              </w:rPr>
              <w:t>废</w:t>
            </w:r>
            <w:r>
              <w:rPr>
                <w:color w:val="auto"/>
                <w:highlight w:val="none"/>
              </w:rPr>
              <w:t>水循环利用</w:t>
            </w:r>
            <w:r>
              <w:rPr>
                <w:rFonts w:hint="eastAsia"/>
                <w:color w:val="auto"/>
                <w:highlight w:val="none"/>
              </w:rPr>
              <w:t>和全部回用</w:t>
            </w:r>
            <w:r>
              <w:rPr>
                <w:color w:val="auto"/>
                <w:highlight w:val="none"/>
              </w:rPr>
              <w:t>，不外排；雨水在厂内汇入初期雨水收集池，前15分钟雨水切换进入污水管网，15分钟后雨水经溢流排入附近自然水体。</w:t>
            </w:r>
          </w:p>
        </w:tc>
        <w:tc>
          <w:tcPr>
            <w:tcW w:w="1138" w:type="pct"/>
            <w:tcBorders>
              <w:tl2br w:val="nil"/>
              <w:tr2bl w:val="nil"/>
            </w:tcBorders>
            <w:noWrap/>
            <w:vAlign w:val="center"/>
          </w:tcPr>
          <w:p w14:paraId="5B6E292B">
            <w:pPr>
              <w:widowControl/>
              <w:jc w:val="center"/>
              <w:textAlignment w:val="center"/>
              <w:rPr>
                <w:color w:val="auto"/>
                <w:highlight w:val="none"/>
              </w:rPr>
            </w:pPr>
            <w:r>
              <w:rPr>
                <w:rFonts w:hint="eastAsia"/>
                <w:color w:val="auto"/>
                <w:highlight w:val="none"/>
              </w:rPr>
              <w:t>采用“雨污分流、清污分流”系统。生活污水经预处理后排入开发区污水管网</w:t>
            </w:r>
            <w:r>
              <w:rPr>
                <w:rFonts w:hint="eastAsia"/>
                <w:color w:val="auto"/>
                <w:highlight w:val="none"/>
                <w:lang w:eastAsia="zh-CN"/>
              </w:rPr>
              <w:t>；</w:t>
            </w:r>
            <w:r>
              <w:rPr>
                <w:rFonts w:hint="eastAsia"/>
                <w:color w:val="auto"/>
                <w:highlight w:val="none"/>
              </w:rPr>
              <w:t>生产废水循环利用和全部回用，不外排</w:t>
            </w:r>
            <w:r>
              <w:rPr>
                <w:rFonts w:hint="eastAsia"/>
                <w:color w:val="auto"/>
                <w:highlight w:val="none"/>
                <w:lang w:eastAsia="zh-CN"/>
              </w:rPr>
              <w:t>；</w:t>
            </w:r>
            <w:r>
              <w:rPr>
                <w:rFonts w:hint="eastAsia"/>
                <w:color w:val="auto"/>
                <w:highlight w:val="none"/>
              </w:rPr>
              <w:t>雨水经厂区雨水管网排入市政雨水管网。</w:t>
            </w:r>
          </w:p>
        </w:tc>
        <w:tc>
          <w:tcPr>
            <w:tcW w:w="1210" w:type="pct"/>
            <w:tcBorders>
              <w:tl2br w:val="nil"/>
              <w:tr2bl w:val="nil"/>
            </w:tcBorders>
            <w:noWrap/>
            <w:vAlign w:val="center"/>
          </w:tcPr>
          <w:p w14:paraId="2F891183">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不变</w:t>
            </w:r>
          </w:p>
        </w:tc>
      </w:tr>
      <w:tr w14:paraId="125A45E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024A80F3">
            <w:pPr>
              <w:jc w:val="center"/>
              <w:rPr>
                <w:rFonts w:hint="eastAsia"/>
                <w:color w:val="auto"/>
                <w:szCs w:val="21"/>
                <w:lang w:val="en-US" w:eastAsia="zh-CN"/>
              </w:rPr>
            </w:pPr>
          </w:p>
        </w:tc>
        <w:tc>
          <w:tcPr>
            <w:tcW w:w="222" w:type="pct"/>
            <w:tcBorders>
              <w:tl2br w:val="nil"/>
              <w:tr2bl w:val="nil"/>
            </w:tcBorders>
            <w:noWrap/>
            <w:vAlign w:val="center"/>
          </w:tcPr>
          <w:p w14:paraId="37B86181">
            <w:pPr>
              <w:widowControl/>
              <w:jc w:val="center"/>
              <w:textAlignment w:val="center"/>
              <w:rPr>
                <w:color w:val="auto"/>
              </w:rPr>
            </w:pPr>
            <w:r>
              <w:rPr>
                <w:color w:val="auto"/>
                <w:szCs w:val="21"/>
              </w:rPr>
              <w:t>循环水池</w:t>
            </w:r>
          </w:p>
        </w:tc>
        <w:tc>
          <w:tcPr>
            <w:tcW w:w="1138" w:type="pct"/>
            <w:gridSpan w:val="2"/>
            <w:tcBorders>
              <w:tl2br w:val="nil"/>
              <w:tr2bl w:val="nil"/>
            </w:tcBorders>
            <w:shd w:val="clear" w:color="auto" w:fill="auto"/>
            <w:noWrap/>
            <w:vAlign w:val="center"/>
          </w:tcPr>
          <w:p w14:paraId="073B152F">
            <w:pPr>
              <w:widowControl/>
              <w:jc w:val="center"/>
              <w:textAlignment w:val="center"/>
              <w:rPr>
                <w:color w:val="auto"/>
              </w:rPr>
            </w:pPr>
            <w:r>
              <w:rPr>
                <w:color w:val="auto"/>
                <w:szCs w:val="21"/>
              </w:rPr>
              <w:t>12 m×3m×2.5m，容积90m</w:t>
            </w:r>
            <w:r>
              <w:rPr>
                <w:color w:val="auto"/>
                <w:szCs w:val="21"/>
                <w:vertAlign w:val="superscript"/>
              </w:rPr>
              <w:t>3</w:t>
            </w:r>
            <w:r>
              <w:rPr>
                <w:color w:val="auto"/>
                <w:szCs w:val="21"/>
              </w:rPr>
              <w:t>。</w:t>
            </w:r>
          </w:p>
        </w:tc>
        <w:tc>
          <w:tcPr>
            <w:tcW w:w="3184" w:type="dxa"/>
            <w:tcBorders>
              <w:tl2br w:val="nil"/>
              <w:tr2bl w:val="nil"/>
            </w:tcBorders>
            <w:noWrap/>
            <w:vAlign w:val="center"/>
          </w:tcPr>
          <w:p w14:paraId="6541E919">
            <w:pPr>
              <w:widowControl/>
              <w:jc w:val="center"/>
              <w:textAlignment w:val="center"/>
              <w:rPr>
                <w:color w:val="auto"/>
                <w:szCs w:val="21"/>
              </w:rPr>
            </w:pPr>
            <w:r>
              <w:rPr>
                <w:color w:val="auto"/>
                <w:szCs w:val="21"/>
              </w:rPr>
              <w:t>12 m×3m×2.5m，容积90m</w:t>
            </w:r>
            <w:r>
              <w:rPr>
                <w:color w:val="auto"/>
                <w:szCs w:val="21"/>
                <w:vertAlign w:val="superscript"/>
              </w:rPr>
              <w:t>3</w:t>
            </w:r>
            <w:r>
              <w:rPr>
                <w:color w:val="auto"/>
                <w:szCs w:val="21"/>
              </w:rPr>
              <w:t>。</w:t>
            </w:r>
          </w:p>
        </w:tc>
        <w:tc>
          <w:tcPr>
            <w:tcW w:w="1138" w:type="pct"/>
            <w:tcBorders>
              <w:tl2br w:val="nil"/>
              <w:tr2bl w:val="nil"/>
            </w:tcBorders>
            <w:noWrap/>
            <w:vAlign w:val="center"/>
          </w:tcPr>
          <w:p w14:paraId="74C8A321">
            <w:pPr>
              <w:widowControl/>
              <w:jc w:val="center"/>
              <w:textAlignment w:val="center"/>
              <w:rPr>
                <w:color w:val="auto"/>
              </w:rPr>
            </w:pPr>
            <w:r>
              <w:rPr>
                <w:rFonts w:hint="eastAsia"/>
                <w:color w:val="auto"/>
                <w:szCs w:val="21"/>
                <w:lang w:val="en-US" w:eastAsia="zh-CN"/>
              </w:rPr>
              <w:t>78</w:t>
            </w:r>
            <w:r>
              <w:rPr>
                <w:color w:val="auto"/>
                <w:szCs w:val="21"/>
              </w:rPr>
              <w:t>m×</w:t>
            </w:r>
            <w:r>
              <w:rPr>
                <w:rFonts w:hint="eastAsia"/>
                <w:color w:val="auto"/>
                <w:szCs w:val="21"/>
                <w:lang w:val="en-US" w:eastAsia="zh-CN"/>
              </w:rPr>
              <w:t>5.8</w:t>
            </w:r>
            <w:r>
              <w:rPr>
                <w:color w:val="auto"/>
                <w:szCs w:val="21"/>
              </w:rPr>
              <w:t>m×</w:t>
            </w:r>
            <w:r>
              <w:rPr>
                <w:rFonts w:hint="eastAsia"/>
                <w:color w:val="auto"/>
                <w:szCs w:val="21"/>
                <w:lang w:val="en-US" w:eastAsia="zh-CN"/>
              </w:rPr>
              <w:t>4.5</w:t>
            </w:r>
            <w:r>
              <w:rPr>
                <w:color w:val="auto"/>
                <w:szCs w:val="21"/>
              </w:rPr>
              <w:t>m，容积</w:t>
            </w:r>
            <w:r>
              <w:rPr>
                <w:rFonts w:hint="eastAsia"/>
                <w:color w:val="auto"/>
                <w:szCs w:val="21"/>
                <w:lang w:val="en-US" w:eastAsia="zh-CN"/>
              </w:rPr>
              <w:t>2000</w:t>
            </w:r>
            <w:r>
              <w:rPr>
                <w:color w:val="auto"/>
                <w:szCs w:val="21"/>
              </w:rPr>
              <w:t>m</w:t>
            </w:r>
            <w:r>
              <w:rPr>
                <w:color w:val="auto"/>
                <w:szCs w:val="21"/>
                <w:vertAlign w:val="superscript"/>
              </w:rPr>
              <w:t>3</w:t>
            </w:r>
            <w:r>
              <w:rPr>
                <w:color w:val="auto"/>
                <w:szCs w:val="21"/>
              </w:rPr>
              <w:t>。</w:t>
            </w:r>
          </w:p>
        </w:tc>
        <w:tc>
          <w:tcPr>
            <w:tcW w:w="1210" w:type="pct"/>
            <w:tcBorders>
              <w:tl2br w:val="nil"/>
              <w:tr2bl w:val="nil"/>
            </w:tcBorders>
            <w:noWrap/>
            <w:vAlign w:val="center"/>
          </w:tcPr>
          <w:p w14:paraId="46C51D2A">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260模铸锭改500模铸锭，单锭重量、冷却强度、间歇用水峰值都变大，水池需要更大容积来削峰填谷，避免水泵频繁启停、水压不稳</w:t>
            </w:r>
          </w:p>
        </w:tc>
      </w:tr>
      <w:tr w14:paraId="1D6C93A3">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316F414E">
            <w:pPr>
              <w:jc w:val="center"/>
              <w:rPr>
                <w:rFonts w:hint="eastAsia"/>
                <w:color w:val="auto"/>
                <w:szCs w:val="21"/>
                <w:lang w:val="en-US" w:eastAsia="zh-CN"/>
              </w:rPr>
            </w:pPr>
          </w:p>
        </w:tc>
        <w:tc>
          <w:tcPr>
            <w:tcW w:w="222" w:type="pct"/>
            <w:tcBorders>
              <w:tl2br w:val="nil"/>
              <w:tr2bl w:val="nil"/>
            </w:tcBorders>
            <w:noWrap/>
            <w:vAlign w:val="center"/>
          </w:tcPr>
          <w:p w14:paraId="402C8D14">
            <w:pPr>
              <w:widowControl/>
              <w:jc w:val="center"/>
              <w:textAlignment w:val="center"/>
              <w:rPr>
                <w:color w:val="auto"/>
                <w:szCs w:val="21"/>
              </w:rPr>
            </w:pPr>
            <w:r>
              <w:rPr>
                <w:color w:val="auto"/>
              </w:rPr>
              <w:t>氮气机</w:t>
            </w:r>
          </w:p>
        </w:tc>
        <w:tc>
          <w:tcPr>
            <w:tcW w:w="1138" w:type="pct"/>
            <w:gridSpan w:val="2"/>
            <w:tcBorders>
              <w:tl2br w:val="nil"/>
              <w:tr2bl w:val="nil"/>
            </w:tcBorders>
            <w:shd w:val="clear" w:color="auto" w:fill="auto"/>
            <w:noWrap/>
            <w:vAlign w:val="center"/>
          </w:tcPr>
          <w:p w14:paraId="25C5567F">
            <w:pPr>
              <w:widowControl/>
              <w:jc w:val="center"/>
              <w:textAlignment w:val="center"/>
              <w:rPr>
                <w:color w:val="auto"/>
                <w:szCs w:val="21"/>
                <w:highlight w:val="none"/>
              </w:rPr>
            </w:pPr>
            <w:r>
              <w:rPr>
                <w:color w:val="auto"/>
                <w:szCs w:val="21"/>
                <w:highlight w:val="none"/>
              </w:rPr>
              <w:t>1套制氮机</w:t>
            </w:r>
          </w:p>
        </w:tc>
        <w:tc>
          <w:tcPr>
            <w:tcW w:w="3184" w:type="dxa"/>
            <w:tcBorders>
              <w:tl2br w:val="nil"/>
              <w:tr2bl w:val="nil"/>
            </w:tcBorders>
            <w:noWrap/>
            <w:vAlign w:val="center"/>
          </w:tcPr>
          <w:p w14:paraId="44C1F75A">
            <w:pPr>
              <w:widowControl/>
              <w:jc w:val="center"/>
              <w:textAlignment w:val="center"/>
              <w:rPr>
                <w:color w:val="auto"/>
                <w:szCs w:val="21"/>
                <w:highlight w:val="none"/>
              </w:rPr>
            </w:pPr>
            <w:r>
              <w:rPr>
                <w:color w:val="auto"/>
                <w:szCs w:val="21"/>
                <w:highlight w:val="none"/>
              </w:rPr>
              <w:t>1套制氮机</w:t>
            </w:r>
          </w:p>
        </w:tc>
        <w:tc>
          <w:tcPr>
            <w:tcW w:w="1138" w:type="pct"/>
            <w:tcBorders>
              <w:tl2br w:val="nil"/>
              <w:tr2bl w:val="nil"/>
            </w:tcBorders>
            <w:noWrap/>
            <w:vAlign w:val="center"/>
          </w:tcPr>
          <w:p w14:paraId="730D6259">
            <w:pPr>
              <w:widowControl/>
              <w:jc w:val="center"/>
              <w:textAlignment w:val="center"/>
              <w:rPr>
                <w:rFonts w:hint="default" w:eastAsia="宋体"/>
                <w:color w:val="auto"/>
                <w:szCs w:val="21"/>
                <w:highlight w:val="none"/>
                <w:lang w:val="en-US" w:eastAsia="zh-CN"/>
              </w:rPr>
            </w:pPr>
            <w:r>
              <w:rPr>
                <w:rFonts w:hint="eastAsia"/>
                <w:color w:val="auto"/>
                <w:szCs w:val="21"/>
                <w:highlight w:val="none"/>
                <w:lang w:val="en-US" w:eastAsia="zh-CN"/>
              </w:rPr>
              <w:t>购置液氮</w:t>
            </w:r>
          </w:p>
        </w:tc>
        <w:tc>
          <w:tcPr>
            <w:tcW w:w="1210" w:type="pct"/>
            <w:tcBorders>
              <w:tl2br w:val="nil"/>
              <w:tr2bl w:val="nil"/>
            </w:tcBorders>
            <w:noWrap/>
            <w:vAlign w:val="center"/>
          </w:tcPr>
          <w:p w14:paraId="5044E41F">
            <w:pPr>
              <w:widowControl/>
              <w:jc w:val="center"/>
              <w:textAlignment w:val="center"/>
              <w:rPr>
                <w:rFonts w:hint="default"/>
                <w:color w:val="auto"/>
                <w:kern w:val="0"/>
                <w:szCs w:val="21"/>
                <w:highlight w:val="yellow"/>
                <w:lang w:val="en-US" w:eastAsia="zh-CN" w:bidi="ar"/>
              </w:rPr>
            </w:pPr>
            <w:r>
              <w:rPr>
                <w:rFonts w:hint="eastAsia"/>
                <w:color w:val="auto"/>
                <w:kern w:val="0"/>
                <w:szCs w:val="21"/>
                <w:highlight w:val="none"/>
                <w:lang w:val="en-US" w:eastAsia="zh-CN" w:bidi="ar"/>
              </w:rPr>
              <w:t>不变</w:t>
            </w:r>
          </w:p>
        </w:tc>
      </w:tr>
      <w:tr w14:paraId="548E14C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166D3E57">
            <w:pPr>
              <w:jc w:val="center"/>
              <w:rPr>
                <w:rFonts w:hint="eastAsia"/>
                <w:color w:val="auto"/>
                <w:szCs w:val="21"/>
                <w:lang w:val="en-US" w:eastAsia="zh-CN"/>
              </w:rPr>
            </w:pPr>
          </w:p>
        </w:tc>
        <w:tc>
          <w:tcPr>
            <w:tcW w:w="222" w:type="pct"/>
            <w:tcBorders>
              <w:tl2br w:val="nil"/>
              <w:tr2bl w:val="nil"/>
            </w:tcBorders>
            <w:noWrap/>
            <w:vAlign w:val="center"/>
          </w:tcPr>
          <w:p w14:paraId="17C43CDF">
            <w:pPr>
              <w:widowControl/>
              <w:jc w:val="center"/>
              <w:textAlignment w:val="center"/>
              <w:rPr>
                <w:rFonts w:hint="eastAsia" w:eastAsia="宋体"/>
                <w:color w:val="auto"/>
                <w:lang w:val="en-US" w:eastAsia="zh-CN"/>
              </w:rPr>
            </w:pPr>
            <w:r>
              <w:rPr>
                <w:rFonts w:hint="eastAsia"/>
                <w:color w:val="auto"/>
                <w:lang w:val="en-US" w:eastAsia="zh-CN"/>
              </w:rPr>
              <w:t>空压机</w:t>
            </w:r>
          </w:p>
        </w:tc>
        <w:tc>
          <w:tcPr>
            <w:tcW w:w="1138" w:type="pct"/>
            <w:gridSpan w:val="2"/>
            <w:tcBorders>
              <w:tl2br w:val="nil"/>
              <w:tr2bl w:val="nil"/>
            </w:tcBorders>
            <w:shd w:val="clear" w:color="auto" w:fill="auto"/>
            <w:noWrap/>
            <w:vAlign w:val="center"/>
          </w:tcPr>
          <w:p w14:paraId="7F04BCCC">
            <w:pPr>
              <w:widowControl/>
              <w:jc w:val="center"/>
              <w:textAlignment w:val="center"/>
              <w:rPr>
                <w:color w:val="auto"/>
                <w:szCs w:val="21"/>
                <w:highlight w:val="none"/>
              </w:rPr>
            </w:pPr>
            <w:r>
              <w:rPr>
                <w:rFonts w:hint="eastAsia"/>
                <w:color w:val="auto"/>
                <w:szCs w:val="21"/>
                <w:highlight w:val="none"/>
              </w:rPr>
              <w:t>1台螺杆式空压机</w:t>
            </w:r>
          </w:p>
        </w:tc>
        <w:tc>
          <w:tcPr>
            <w:tcW w:w="3184" w:type="dxa"/>
            <w:tcBorders>
              <w:tl2br w:val="nil"/>
              <w:tr2bl w:val="nil"/>
            </w:tcBorders>
            <w:noWrap/>
            <w:vAlign w:val="center"/>
          </w:tcPr>
          <w:p w14:paraId="40278485">
            <w:pPr>
              <w:widowControl/>
              <w:jc w:val="center"/>
              <w:textAlignment w:val="center"/>
              <w:rPr>
                <w:rFonts w:hint="eastAsia"/>
                <w:color w:val="auto"/>
                <w:szCs w:val="21"/>
                <w:highlight w:val="none"/>
              </w:rPr>
            </w:pPr>
            <w:r>
              <w:rPr>
                <w:rFonts w:hint="eastAsia"/>
                <w:color w:val="auto"/>
                <w:szCs w:val="21"/>
                <w:highlight w:val="none"/>
              </w:rPr>
              <w:t>1台螺杆式空压机</w:t>
            </w:r>
          </w:p>
        </w:tc>
        <w:tc>
          <w:tcPr>
            <w:tcW w:w="1138" w:type="pct"/>
            <w:tcBorders>
              <w:tl2br w:val="nil"/>
              <w:tr2bl w:val="nil"/>
            </w:tcBorders>
            <w:noWrap/>
            <w:vAlign w:val="center"/>
          </w:tcPr>
          <w:p w14:paraId="2679CA7E">
            <w:pPr>
              <w:widowControl/>
              <w:jc w:val="center"/>
              <w:textAlignment w:val="center"/>
              <w:rPr>
                <w:rFonts w:hint="eastAsia"/>
                <w:color w:val="auto"/>
                <w:szCs w:val="21"/>
                <w:highlight w:val="none"/>
                <w:lang w:val="en-US" w:eastAsia="zh-CN"/>
              </w:rPr>
            </w:pPr>
            <w:r>
              <w:rPr>
                <w:rFonts w:hint="eastAsia"/>
                <w:color w:val="auto"/>
                <w:szCs w:val="21"/>
                <w:highlight w:val="none"/>
                <w:lang w:val="en-US" w:eastAsia="zh-CN"/>
              </w:rPr>
              <w:t>1台螺杆式空压机</w:t>
            </w:r>
          </w:p>
        </w:tc>
        <w:tc>
          <w:tcPr>
            <w:tcW w:w="1210" w:type="pct"/>
            <w:tcBorders>
              <w:tl2br w:val="nil"/>
              <w:tr2bl w:val="nil"/>
            </w:tcBorders>
            <w:noWrap/>
            <w:vAlign w:val="center"/>
          </w:tcPr>
          <w:p w14:paraId="7883D301">
            <w:pPr>
              <w:widowControl/>
              <w:jc w:val="center"/>
              <w:textAlignment w:val="center"/>
              <w:rPr>
                <w:rFonts w:hint="eastAsia"/>
                <w:color w:val="auto"/>
                <w:kern w:val="0"/>
                <w:szCs w:val="21"/>
                <w:highlight w:val="yellow"/>
                <w:lang w:val="en-US" w:eastAsia="zh-CN" w:bidi="ar"/>
              </w:rPr>
            </w:pPr>
            <w:r>
              <w:rPr>
                <w:rFonts w:hint="eastAsia"/>
                <w:color w:val="auto"/>
                <w:kern w:val="0"/>
                <w:szCs w:val="21"/>
                <w:lang w:val="en-US" w:eastAsia="zh-CN" w:bidi="ar"/>
              </w:rPr>
              <w:t>不变</w:t>
            </w:r>
          </w:p>
        </w:tc>
      </w:tr>
      <w:tr w14:paraId="2CF9D247">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06244FE5">
            <w:pPr>
              <w:jc w:val="center"/>
              <w:rPr>
                <w:rFonts w:hint="eastAsia"/>
                <w:color w:val="auto"/>
                <w:szCs w:val="21"/>
                <w:lang w:val="en-US" w:eastAsia="zh-CN"/>
              </w:rPr>
            </w:pPr>
          </w:p>
        </w:tc>
        <w:tc>
          <w:tcPr>
            <w:tcW w:w="222" w:type="pct"/>
            <w:tcBorders>
              <w:tl2br w:val="nil"/>
              <w:tr2bl w:val="nil"/>
            </w:tcBorders>
            <w:noWrap/>
            <w:vAlign w:val="center"/>
          </w:tcPr>
          <w:p w14:paraId="7302B5DB">
            <w:pPr>
              <w:widowControl/>
              <w:jc w:val="center"/>
              <w:textAlignment w:val="center"/>
              <w:rPr>
                <w:rFonts w:hint="default"/>
                <w:color w:val="auto"/>
                <w:lang w:val="en-US" w:eastAsia="zh-CN"/>
              </w:rPr>
            </w:pPr>
            <w:r>
              <w:rPr>
                <w:rFonts w:hint="eastAsia"/>
                <w:color w:val="auto"/>
                <w:lang w:val="en-US" w:eastAsia="zh-CN"/>
              </w:rPr>
              <w:t>供气</w:t>
            </w:r>
          </w:p>
        </w:tc>
        <w:tc>
          <w:tcPr>
            <w:tcW w:w="1138" w:type="pct"/>
            <w:gridSpan w:val="2"/>
            <w:tcBorders>
              <w:tl2br w:val="nil"/>
              <w:tr2bl w:val="nil"/>
            </w:tcBorders>
            <w:shd w:val="clear" w:color="auto" w:fill="auto"/>
            <w:noWrap/>
            <w:vAlign w:val="center"/>
          </w:tcPr>
          <w:p w14:paraId="60F512B7">
            <w:pPr>
              <w:widowControl/>
              <w:jc w:val="center"/>
              <w:textAlignment w:val="center"/>
              <w:rPr>
                <w:rFonts w:hint="eastAsia" w:eastAsia="宋体"/>
                <w:color w:val="auto"/>
                <w:szCs w:val="21"/>
                <w:highlight w:val="none"/>
                <w:lang w:eastAsia="zh-CN"/>
              </w:rPr>
            </w:pPr>
            <w:r>
              <w:rPr>
                <w:color w:val="auto"/>
                <w:szCs w:val="21"/>
                <w:highlight w:val="none"/>
              </w:rPr>
              <w:t>使用市政天然气作为燃料</w:t>
            </w:r>
            <w:r>
              <w:rPr>
                <w:rFonts w:hint="eastAsia"/>
                <w:color w:val="auto"/>
                <w:szCs w:val="21"/>
                <w:highlight w:val="none"/>
                <w:lang w:eastAsia="zh-CN"/>
              </w:rPr>
              <w:t>（</w:t>
            </w:r>
            <w:r>
              <w:rPr>
                <w:rFonts w:hint="eastAsia"/>
                <w:color w:val="auto"/>
                <w:szCs w:val="21"/>
                <w:highlight w:val="none"/>
                <w:lang w:val="en-US" w:eastAsia="zh-CN"/>
              </w:rPr>
              <w:t>404万m</w:t>
            </w:r>
            <w:r>
              <w:rPr>
                <w:rFonts w:hint="eastAsia"/>
                <w:color w:val="auto"/>
                <w:szCs w:val="21"/>
                <w:highlight w:val="none"/>
                <w:vertAlign w:val="superscript"/>
                <w:lang w:val="en-US" w:eastAsia="zh-CN"/>
              </w:rPr>
              <w:t>3</w:t>
            </w:r>
            <w:r>
              <w:rPr>
                <w:rFonts w:hint="eastAsia"/>
                <w:color w:val="auto"/>
                <w:szCs w:val="21"/>
                <w:highlight w:val="none"/>
                <w:lang w:val="en-US" w:eastAsia="zh-CN"/>
              </w:rPr>
              <w:t>/a</w:t>
            </w:r>
            <w:r>
              <w:rPr>
                <w:rFonts w:hint="eastAsia"/>
                <w:color w:val="auto"/>
                <w:szCs w:val="21"/>
                <w:highlight w:val="none"/>
                <w:lang w:eastAsia="zh-CN"/>
              </w:rPr>
              <w:t>）</w:t>
            </w:r>
          </w:p>
        </w:tc>
        <w:tc>
          <w:tcPr>
            <w:tcW w:w="3184" w:type="dxa"/>
            <w:tcBorders>
              <w:tl2br w:val="nil"/>
              <w:tr2bl w:val="nil"/>
            </w:tcBorders>
            <w:noWrap/>
            <w:vAlign w:val="center"/>
          </w:tcPr>
          <w:p w14:paraId="757734C3">
            <w:pPr>
              <w:widowControl/>
              <w:jc w:val="center"/>
              <w:textAlignment w:val="center"/>
              <w:rPr>
                <w:color w:val="auto"/>
                <w:szCs w:val="21"/>
                <w:highlight w:val="none"/>
              </w:rPr>
            </w:pPr>
            <w:r>
              <w:rPr>
                <w:color w:val="auto"/>
                <w:szCs w:val="21"/>
                <w:highlight w:val="none"/>
              </w:rPr>
              <w:t>使用市政天然气作为燃料</w:t>
            </w:r>
            <w:r>
              <w:rPr>
                <w:rFonts w:hint="eastAsia"/>
                <w:color w:val="auto"/>
                <w:szCs w:val="21"/>
                <w:highlight w:val="none"/>
                <w:lang w:eastAsia="zh-CN"/>
              </w:rPr>
              <w:t>（</w:t>
            </w:r>
            <w:r>
              <w:rPr>
                <w:rFonts w:hint="eastAsia"/>
                <w:color w:val="auto"/>
                <w:szCs w:val="21"/>
                <w:highlight w:val="none"/>
                <w:lang w:val="en-US" w:eastAsia="zh-CN"/>
              </w:rPr>
              <w:t>404万m</w:t>
            </w:r>
            <w:r>
              <w:rPr>
                <w:rFonts w:hint="eastAsia"/>
                <w:color w:val="auto"/>
                <w:szCs w:val="21"/>
                <w:highlight w:val="none"/>
                <w:vertAlign w:val="superscript"/>
                <w:lang w:val="en-US" w:eastAsia="zh-CN"/>
              </w:rPr>
              <w:t>3</w:t>
            </w:r>
            <w:r>
              <w:rPr>
                <w:rFonts w:hint="eastAsia"/>
                <w:color w:val="auto"/>
                <w:szCs w:val="21"/>
                <w:highlight w:val="none"/>
                <w:lang w:val="en-US" w:eastAsia="zh-CN"/>
              </w:rPr>
              <w:t>/a</w:t>
            </w:r>
            <w:r>
              <w:rPr>
                <w:rFonts w:hint="eastAsia"/>
                <w:color w:val="auto"/>
                <w:szCs w:val="21"/>
                <w:highlight w:val="none"/>
                <w:lang w:eastAsia="zh-CN"/>
              </w:rPr>
              <w:t>）</w:t>
            </w:r>
          </w:p>
        </w:tc>
        <w:tc>
          <w:tcPr>
            <w:tcW w:w="1138" w:type="pct"/>
            <w:tcBorders>
              <w:tl2br w:val="nil"/>
              <w:tr2bl w:val="nil"/>
            </w:tcBorders>
            <w:noWrap/>
            <w:vAlign w:val="center"/>
          </w:tcPr>
          <w:p w14:paraId="62B84FC9">
            <w:pPr>
              <w:widowControl/>
              <w:jc w:val="center"/>
              <w:textAlignment w:val="center"/>
              <w:rPr>
                <w:rFonts w:hint="eastAsia"/>
                <w:color w:val="auto"/>
                <w:szCs w:val="21"/>
                <w:highlight w:val="none"/>
                <w:lang w:val="en-US" w:eastAsia="zh-CN"/>
              </w:rPr>
            </w:pPr>
            <w:r>
              <w:rPr>
                <w:color w:val="auto"/>
                <w:szCs w:val="21"/>
                <w:highlight w:val="none"/>
              </w:rPr>
              <w:t>使用市政天然气作为燃料</w:t>
            </w:r>
            <w:r>
              <w:rPr>
                <w:rFonts w:hint="eastAsia"/>
                <w:color w:val="auto"/>
                <w:szCs w:val="21"/>
                <w:highlight w:val="none"/>
                <w:lang w:eastAsia="zh-CN"/>
              </w:rPr>
              <w:t>（</w:t>
            </w:r>
            <w:r>
              <w:rPr>
                <w:rFonts w:hint="eastAsia"/>
                <w:color w:val="auto"/>
                <w:szCs w:val="21"/>
                <w:highlight w:val="none"/>
                <w:lang w:val="en-US" w:eastAsia="zh-CN"/>
              </w:rPr>
              <w:t>404万m</w:t>
            </w:r>
            <w:r>
              <w:rPr>
                <w:rFonts w:hint="eastAsia"/>
                <w:color w:val="auto"/>
                <w:szCs w:val="21"/>
                <w:highlight w:val="none"/>
                <w:vertAlign w:val="superscript"/>
                <w:lang w:val="en-US" w:eastAsia="zh-CN"/>
              </w:rPr>
              <w:t>3</w:t>
            </w:r>
            <w:r>
              <w:rPr>
                <w:rFonts w:hint="eastAsia"/>
                <w:color w:val="auto"/>
                <w:szCs w:val="21"/>
                <w:highlight w:val="none"/>
                <w:lang w:val="en-US" w:eastAsia="zh-CN"/>
              </w:rPr>
              <w:t>/a</w:t>
            </w:r>
            <w:r>
              <w:rPr>
                <w:rFonts w:hint="eastAsia"/>
                <w:color w:val="auto"/>
                <w:szCs w:val="21"/>
                <w:highlight w:val="none"/>
                <w:lang w:eastAsia="zh-CN"/>
              </w:rPr>
              <w:t>）</w:t>
            </w:r>
          </w:p>
        </w:tc>
        <w:tc>
          <w:tcPr>
            <w:tcW w:w="1210" w:type="pct"/>
            <w:tcBorders>
              <w:tl2br w:val="nil"/>
              <w:tr2bl w:val="nil"/>
            </w:tcBorders>
            <w:noWrap/>
            <w:vAlign w:val="center"/>
          </w:tcPr>
          <w:p w14:paraId="0B57320F">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不变</w:t>
            </w:r>
          </w:p>
        </w:tc>
      </w:tr>
      <w:tr w14:paraId="1F7D5B5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tcBorders>
              <w:tl2br w:val="nil"/>
              <w:tr2bl w:val="nil"/>
            </w:tcBorders>
            <w:noWrap/>
            <w:vAlign w:val="center"/>
          </w:tcPr>
          <w:p w14:paraId="4782D014">
            <w:pPr>
              <w:jc w:val="center"/>
              <w:rPr>
                <w:rFonts w:hint="eastAsia"/>
                <w:color w:val="auto"/>
                <w:szCs w:val="21"/>
                <w:lang w:val="en-US" w:eastAsia="zh-CN"/>
              </w:rPr>
            </w:pPr>
          </w:p>
        </w:tc>
        <w:tc>
          <w:tcPr>
            <w:tcW w:w="222" w:type="pct"/>
            <w:tcBorders>
              <w:tl2br w:val="nil"/>
              <w:tr2bl w:val="nil"/>
            </w:tcBorders>
            <w:noWrap/>
            <w:vAlign w:val="center"/>
          </w:tcPr>
          <w:p w14:paraId="3CEF9B52">
            <w:pPr>
              <w:widowControl/>
              <w:jc w:val="center"/>
              <w:textAlignment w:val="center"/>
              <w:rPr>
                <w:rFonts w:hint="default"/>
                <w:color w:val="auto"/>
                <w:lang w:val="en-US" w:eastAsia="zh-CN"/>
              </w:rPr>
            </w:pPr>
            <w:r>
              <w:rPr>
                <w:rFonts w:hint="eastAsia"/>
                <w:color w:val="auto"/>
                <w:lang w:val="en-US" w:eastAsia="zh-CN"/>
              </w:rPr>
              <w:t>供电</w:t>
            </w:r>
          </w:p>
        </w:tc>
        <w:tc>
          <w:tcPr>
            <w:tcW w:w="1138" w:type="pct"/>
            <w:gridSpan w:val="2"/>
            <w:tcBorders>
              <w:tl2br w:val="nil"/>
              <w:tr2bl w:val="nil"/>
            </w:tcBorders>
            <w:shd w:val="clear" w:color="auto" w:fill="auto"/>
            <w:noWrap/>
            <w:vAlign w:val="center"/>
          </w:tcPr>
          <w:p w14:paraId="3CBA43A5">
            <w:pPr>
              <w:widowControl/>
              <w:jc w:val="center"/>
              <w:textAlignment w:val="center"/>
              <w:rPr>
                <w:color w:val="auto"/>
                <w:szCs w:val="21"/>
              </w:rPr>
            </w:pPr>
            <w:r>
              <w:rPr>
                <w:color w:val="auto"/>
                <w:szCs w:val="21"/>
              </w:rPr>
              <w:t>来自</w:t>
            </w:r>
            <w:r>
              <w:rPr>
                <w:color w:val="auto"/>
              </w:rPr>
              <w:t>淮北供电公司濉溪经济开发区变电所</w:t>
            </w:r>
          </w:p>
        </w:tc>
        <w:tc>
          <w:tcPr>
            <w:tcW w:w="3184" w:type="dxa"/>
            <w:tcBorders>
              <w:tl2br w:val="nil"/>
              <w:tr2bl w:val="nil"/>
            </w:tcBorders>
            <w:noWrap/>
            <w:vAlign w:val="center"/>
          </w:tcPr>
          <w:p w14:paraId="2EC2C73D">
            <w:pPr>
              <w:widowControl/>
              <w:jc w:val="center"/>
              <w:textAlignment w:val="center"/>
              <w:rPr>
                <w:color w:val="auto"/>
                <w:szCs w:val="21"/>
              </w:rPr>
            </w:pPr>
            <w:r>
              <w:rPr>
                <w:color w:val="auto"/>
                <w:szCs w:val="21"/>
              </w:rPr>
              <w:t>来自</w:t>
            </w:r>
            <w:r>
              <w:rPr>
                <w:color w:val="auto"/>
              </w:rPr>
              <w:t>淮北供电公司濉溪经济开发区变电所</w:t>
            </w:r>
          </w:p>
        </w:tc>
        <w:tc>
          <w:tcPr>
            <w:tcW w:w="1138" w:type="pct"/>
            <w:tcBorders>
              <w:tl2br w:val="nil"/>
              <w:tr2bl w:val="nil"/>
            </w:tcBorders>
            <w:noWrap/>
            <w:vAlign w:val="center"/>
          </w:tcPr>
          <w:p w14:paraId="0D5E62A2">
            <w:pPr>
              <w:widowControl/>
              <w:jc w:val="center"/>
              <w:textAlignment w:val="center"/>
              <w:rPr>
                <w:color w:val="auto"/>
                <w:szCs w:val="21"/>
              </w:rPr>
            </w:pPr>
            <w:r>
              <w:rPr>
                <w:rFonts w:hint="eastAsia"/>
                <w:color w:val="auto"/>
                <w:szCs w:val="21"/>
              </w:rPr>
              <w:t>由濉溪经济开发区供电网供给</w:t>
            </w:r>
          </w:p>
        </w:tc>
        <w:tc>
          <w:tcPr>
            <w:tcW w:w="1210" w:type="pct"/>
            <w:tcBorders>
              <w:tl2br w:val="nil"/>
              <w:tr2bl w:val="nil"/>
            </w:tcBorders>
            <w:noWrap/>
            <w:vAlign w:val="center"/>
          </w:tcPr>
          <w:p w14:paraId="63428227">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不变</w:t>
            </w:r>
          </w:p>
        </w:tc>
      </w:tr>
      <w:tr w14:paraId="46439464">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restart"/>
            <w:tcBorders>
              <w:tl2br w:val="nil"/>
              <w:tr2bl w:val="nil"/>
            </w:tcBorders>
            <w:noWrap/>
            <w:vAlign w:val="center"/>
          </w:tcPr>
          <w:p w14:paraId="52579BA6">
            <w:pPr>
              <w:widowControl/>
              <w:jc w:val="center"/>
              <w:textAlignment w:val="center"/>
              <w:rPr>
                <w:color w:val="auto"/>
                <w:szCs w:val="21"/>
              </w:rPr>
            </w:pPr>
            <w:r>
              <w:rPr>
                <w:color w:val="auto"/>
                <w:kern w:val="0"/>
                <w:szCs w:val="21"/>
                <w:lang w:bidi="ar"/>
              </w:rPr>
              <w:t>储运工程</w:t>
            </w:r>
          </w:p>
        </w:tc>
        <w:tc>
          <w:tcPr>
            <w:tcW w:w="222" w:type="pct"/>
            <w:tcBorders>
              <w:tl2br w:val="nil"/>
              <w:tr2bl w:val="nil"/>
            </w:tcBorders>
            <w:noWrap/>
            <w:vAlign w:val="center"/>
          </w:tcPr>
          <w:p w14:paraId="05FB1FC7">
            <w:pPr>
              <w:widowControl/>
              <w:jc w:val="center"/>
              <w:textAlignment w:val="center"/>
              <w:rPr>
                <w:color w:val="auto"/>
                <w:szCs w:val="21"/>
              </w:rPr>
            </w:pPr>
            <w:r>
              <w:rPr>
                <w:color w:val="auto"/>
              </w:rPr>
              <w:t>原料库</w:t>
            </w:r>
          </w:p>
        </w:tc>
        <w:tc>
          <w:tcPr>
            <w:tcW w:w="1138" w:type="pct"/>
            <w:gridSpan w:val="2"/>
            <w:tcBorders>
              <w:tl2br w:val="nil"/>
              <w:tr2bl w:val="nil"/>
            </w:tcBorders>
            <w:shd w:val="clear" w:color="auto" w:fill="auto"/>
            <w:noWrap/>
            <w:vAlign w:val="center"/>
          </w:tcPr>
          <w:p w14:paraId="51479B66">
            <w:pPr>
              <w:widowControl/>
              <w:jc w:val="center"/>
              <w:textAlignment w:val="center"/>
              <w:rPr>
                <w:rFonts w:hint="eastAsia" w:ascii="Times New Roman" w:hAnsi="Times New Roman" w:eastAsia="宋体" w:cs="Times New Roman"/>
                <w:color w:val="auto"/>
                <w:kern w:val="2"/>
                <w:sz w:val="21"/>
                <w:szCs w:val="21"/>
                <w:lang w:val="en-US" w:eastAsia="zh-CN" w:bidi="ar-SA"/>
              </w:rPr>
            </w:pPr>
            <w:r>
              <w:rPr>
                <w:color w:val="auto"/>
                <w:kern w:val="0"/>
                <w:szCs w:val="21"/>
                <w:lang w:bidi="ar"/>
              </w:rPr>
              <w:t>1F，</w:t>
            </w:r>
            <w:r>
              <w:rPr>
                <w:color w:val="auto"/>
              </w:rPr>
              <w:t>层高6m，面积</w:t>
            </w:r>
            <w:r>
              <w:rPr>
                <w:rFonts w:hint="eastAsia"/>
                <w:color w:val="auto"/>
              </w:rPr>
              <w:t>6800</w:t>
            </w:r>
            <w:r>
              <w:rPr>
                <w:color w:val="auto"/>
                <w:szCs w:val="21"/>
              </w:rPr>
              <w:t xml:space="preserve"> m</w:t>
            </w:r>
            <w:r>
              <w:rPr>
                <w:color w:val="auto"/>
                <w:szCs w:val="21"/>
                <w:vertAlign w:val="superscript"/>
              </w:rPr>
              <w:t>2</w:t>
            </w:r>
          </w:p>
        </w:tc>
        <w:tc>
          <w:tcPr>
            <w:tcW w:w="3184" w:type="dxa"/>
            <w:tcBorders>
              <w:tl2br w:val="nil"/>
              <w:tr2bl w:val="nil"/>
            </w:tcBorders>
            <w:shd w:val="clear" w:color="auto" w:fill="auto"/>
            <w:noWrap/>
            <w:vAlign w:val="center"/>
          </w:tcPr>
          <w:p w14:paraId="3176DDB2">
            <w:pPr>
              <w:widowControl/>
              <w:jc w:val="center"/>
              <w:textAlignment w:val="center"/>
              <w:rPr>
                <w:color w:val="auto"/>
                <w:kern w:val="0"/>
                <w:szCs w:val="21"/>
                <w:lang w:bidi="ar"/>
              </w:rPr>
            </w:pPr>
            <w:r>
              <w:rPr>
                <w:color w:val="auto"/>
                <w:kern w:val="0"/>
                <w:szCs w:val="21"/>
                <w:lang w:bidi="ar"/>
              </w:rPr>
              <w:t>1F，</w:t>
            </w:r>
            <w:r>
              <w:rPr>
                <w:color w:val="auto"/>
              </w:rPr>
              <w:t>层高6m，面积</w:t>
            </w:r>
            <w:r>
              <w:rPr>
                <w:rFonts w:hint="eastAsia"/>
                <w:color w:val="auto"/>
              </w:rPr>
              <w:t>6800</w:t>
            </w:r>
            <w:r>
              <w:rPr>
                <w:color w:val="auto"/>
                <w:szCs w:val="21"/>
              </w:rPr>
              <w:t xml:space="preserve"> m</w:t>
            </w:r>
            <w:r>
              <w:rPr>
                <w:color w:val="auto"/>
                <w:szCs w:val="21"/>
                <w:vertAlign w:val="superscript"/>
              </w:rPr>
              <w:t>2</w:t>
            </w:r>
          </w:p>
        </w:tc>
        <w:tc>
          <w:tcPr>
            <w:tcW w:w="1138" w:type="pct"/>
            <w:tcBorders>
              <w:tl2br w:val="nil"/>
              <w:tr2bl w:val="nil"/>
            </w:tcBorders>
            <w:shd w:val="clear" w:color="auto" w:fill="auto"/>
            <w:noWrap/>
            <w:vAlign w:val="center"/>
          </w:tcPr>
          <w:p w14:paraId="37605634">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bidi="ar"/>
              </w:rPr>
              <w:t>1F，原料库建筑面积6800</w:t>
            </w:r>
            <w:r>
              <w:rPr>
                <w:color w:val="auto"/>
                <w:szCs w:val="21"/>
              </w:rPr>
              <w:t>m</w:t>
            </w:r>
            <w:r>
              <w:rPr>
                <w:color w:val="auto"/>
                <w:szCs w:val="21"/>
                <w:vertAlign w:val="superscript"/>
              </w:rPr>
              <w:t>2</w:t>
            </w:r>
            <w:r>
              <w:rPr>
                <w:rFonts w:hint="eastAsia"/>
                <w:color w:val="auto"/>
                <w:kern w:val="0"/>
                <w:szCs w:val="21"/>
                <w:lang w:bidi="ar"/>
              </w:rPr>
              <w:t>，用于储存废铝、工业硅、金属铜、精炼剂等原料</w:t>
            </w:r>
            <w:r>
              <w:rPr>
                <w:rFonts w:hint="eastAsia"/>
                <w:color w:val="auto"/>
                <w:kern w:val="0"/>
                <w:szCs w:val="21"/>
                <w:lang w:eastAsia="zh-CN" w:bidi="ar"/>
              </w:rPr>
              <w:t>。</w:t>
            </w:r>
          </w:p>
        </w:tc>
        <w:tc>
          <w:tcPr>
            <w:tcW w:w="1210" w:type="pct"/>
            <w:vMerge w:val="restart"/>
            <w:tcBorders>
              <w:tl2br w:val="nil"/>
              <w:tr2bl w:val="nil"/>
            </w:tcBorders>
            <w:noWrap/>
            <w:vAlign w:val="center"/>
          </w:tcPr>
          <w:p w14:paraId="31766DF3">
            <w:pPr>
              <w:widowControl/>
              <w:jc w:val="center"/>
              <w:textAlignment w:val="center"/>
              <w:rPr>
                <w:color w:val="auto"/>
              </w:rPr>
            </w:pPr>
            <w:r>
              <w:rPr>
                <w:rFonts w:hint="eastAsia"/>
                <w:color w:val="auto"/>
                <w:kern w:val="0"/>
                <w:szCs w:val="21"/>
                <w:lang w:val="en-US" w:eastAsia="zh-CN" w:bidi="ar"/>
              </w:rPr>
              <w:t>不变</w:t>
            </w:r>
          </w:p>
        </w:tc>
      </w:tr>
      <w:tr w14:paraId="0200F701">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29A092AD">
            <w:pPr>
              <w:jc w:val="center"/>
              <w:rPr>
                <w:color w:val="auto"/>
                <w:szCs w:val="21"/>
              </w:rPr>
            </w:pPr>
          </w:p>
        </w:tc>
        <w:tc>
          <w:tcPr>
            <w:tcW w:w="222" w:type="pct"/>
            <w:tcBorders>
              <w:tl2br w:val="nil"/>
              <w:tr2bl w:val="nil"/>
            </w:tcBorders>
            <w:noWrap/>
            <w:vAlign w:val="center"/>
          </w:tcPr>
          <w:p w14:paraId="1027C23B">
            <w:pPr>
              <w:widowControl/>
              <w:jc w:val="center"/>
              <w:textAlignment w:val="center"/>
              <w:rPr>
                <w:rFonts w:hint="default" w:eastAsia="宋体"/>
                <w:color w:val="auto"/>
                <w:szCs w:val="21"/>
                <w:lang w:val="en-US" w:eastAsia="zh-CN"/>
              </w:rPr>
            </w:pPr>
            <w:r>
              <w:rPr>
                <w:rFonts w:hint="eastAsia"/>
                <w:color w:val="auto"/>
                <w:szCs w:val="21"/>
                <w:lang w:val="en-US" w:eastAsia="zh-CN"/>
              </w:rPr>
              <w:t>成品库</w:t>
            </w:r>
          </w:p>
        </w:tc>
        <w:tc>
          <w:tcPr>
            <w:tcW w:w="1138" w:type="pct"/>
            <w:gridSpan w:val="2"/>
            <w:tcBorders>
              <w:tl2br w:val="nil"/>
              <w:tr2bl w:val="nil"/>
            </w:tcBorders>
            <w:shd w:val="clear" w:color="auto" w:fill="auto"/>
            <w:noWrap/>
            <w:vAlign w:val="center"/>
          </w:tcPr>
          <w:p w14:paraId="058341E0">
            <w:pPr>
              <w:widowControl/>
              <w:jc w:val="center"/>
              <w:textAlignment w:val="center"/>
              <w:rPr>
                <w:rFonts w:hint="eastAsia" w:ascii="Times New Roman" w:hAnsi="Times New Roman" w:eastAsia="宋体" w:cs="Times New Roman"/>
                <w:color w:val="auto"/>
                <w:kern w:val="2"/>
                <w:sz w:val="21"/>
                <w:szCs w:val="21"/>
                <w:lang w:val="en-US" w:eastAsia="zh-CN" w:bidi="ar-SA"/>
              </w:rPr>
            </w:pPr>
            <w:r>
              <w:rPr>
                <w:color w:val="auto"/>
                <w:kern w:val="0"/>
                <w:szCs w:val="21"/>
                <w:lang w:bidi="ar"/>
              </w:rPr>
              <w:t>1F，</w:t>
            </w:r>
            <w:r>
              <w:rPr>
                <w:color w:val="auto"/>
              </w:rPr>
              <w:t>层高9m，面积</w:t>
            </w:r>
            <w:r>
              <w:rPr>
                <w:rFonts w:hint="eastAsia"/>
                <w:color w:val="auto"/>
              </w:rPr>
              <w:t>2900</w:t>
            </w:r>
            <w:r>
              <w:rPr>
                <w:color w:val="auto"/>
              </w:rPr>
              <w:t xml:space="preserve"> </w:t>
            </w:r>
            <w:r>
              <w:rPr>
                <w:color w:val="auto"/>
                <w:szCs w:val="21"/>
              </w:rPr>
              <w:t>m</w:t>
            </w:r>
            <w:r>
              <w:rPr>
                <w:color w:val="auto"/>
                <w:szCs w:val="21"/>
                <w:vertAlign w:val="superscript"/>
              </w:rPr>
              <w:t>2</w:t>
            </w:r>
            <w:r>
              <w:rPr>
                <w:rFonts w:hint="eastAsia"/>
                <w:color w:val="auto"/>
                <w:kern w:val="0"/>
                <w:szCs w:val="21"/>
                <w:lang w:eastAsia="zh-CN" w:bidi="ar"/>
              </w:rPr>
              <w:t>。</w:t>
            </w:r>
          </w:p>
        </w:tc>
        <w:tc>
          <w:tcPr>
            <w:tcW w:w="3184" w:type="dxa"/>
            <w:tcBorders>
              <w:tl2br w:val="nil"/>
              <w:tr2bl w:val="nil"/>
            </w:tcBorders>
            <w:shd w:val="clear" w:color="auto" w:fill="auto"/>
            <w:noWrap/>
            <w:vAlign w:val="center"/>
          </w:tcPr>
          <w:p w14:paraId="033A05A0">
            <w:pPr>
              <w:widowControl/>
              <w:jc w:val="center"/>
              <w:textAlignment w:val="center"/>
              <w:rPr>
                <w:color w:val="auto"/>
                <w:kern w:val="0"/>
                <w:szCs w:val="21"/>
                <w:lang w:bidi="ar"/>
              </w:rPr>
            </w:pPr>
            <w:r>
              <w:rPr>
                <w:color w:val="auto"/>
                <w:kern w:val="0"/>
                <w:szCs w:val="21"/>
                <w:lang w:bidi="ar"/>
              </w:rPr>
              <w:t>1F，</w:t>
            </w:r>
            <w:r>
              <w:rPr>
                <w:color w:val="auto"/>
              </w:rPr>
              <w:t>层高9m，面积</w:t>
            </w:r>
            <w:r>
              <w:rPr>
                <w:rFonts w:hint="eastAsia"/>
                <w:color w:val="auto"/>
              </w:rPr>
              <w:t>2900</w:t>
            </w:r>
            <w:r>
              <w:rPr>
                <w:color w:val="auto"/>
              </w:rPr>
              <w:t xml:space="preserve"> </w:t>
            </w:r>
            <w:r>
              <w:rPr>
                <w:color w:val="auto"/>
                <w:szCs w:val="21"/>
              </w:rPr>
              <w:t>m</w:t>
            </w:r>
            <w:r>
              <w:rPr>
                <w:color w:val="auto"/>
                <w:szCs w:val="21"/>
                <w:vertAlign w:val="superscript"/>
              </w:rPr>
              <w:t>2</w:t>
            </w:r>
            <w:r>
              <w:rPr>
                <w:rFonts w:hint="eastAsia"/>
                <w:color w:val="auto"/>
                <w:kern w:val="0"/>
                <w:szCs w:val="21"/>
                <w:lang w:eastAsia="zh-CN" w:bidi="ar"/>
              </w:rPr>
              <w:t>。</w:t>
            </w:r>
          </w:p>
        </w:tc>
        <w:tc>
          <w:tcPr>
            <w:tcW w:w="1138" w:type="pct"/>
            <w:tcBorders>
              <w:tl2br w:val="nil"/>
              <w:tr2bl w:val="nil"/>
            </w:tcBorders>
            <w:shd w:val="clear" w:color="auto" w:fill="auto"/>
            <w:noWrap/>
            <w:vAlign w:val="center"/>
          </w:tcPr>
          <w:p w14:paraId="06161844">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bidi="ar"/>
              </w:rPr>
              <w:t>1F，成品库建筑面积2900</w:t>
            </w:r>
            <w:r>
              <w:rPr>
                <w:color w:val="auto"/>
                <w:szCs w:val="21"/>
              </w:rPr>
              <w:t>m</w:t>
            </w:r>
            <w:r>
              <w:rPr>
                <w:color w:val="auto"/>
                <w:szCs w:val="21"/>
                <w:vertAlign w:val="superscript"/>
              </w:rPr>
              <w:t>2</w:t>
            </w:r>
            <w:r>
              <w:rPr>
                <w:rFonts w:hint="eastAsia"/>
                <w:color w:val="auto"/>
                <w:kern w:val="0"/>
                <w:szCs w:val="21"/>
                <w:lang w:bidi="ar"/>
              </w:rPr>
              <w:t>，用于储存成品再生铝合金锭</w:t>
            </w:r>
            <w:r>
              <w:rPr>
                <w:rFonts w:hint="eastAsia"/>
                <w:color w:val="auto"/>
                <w:kern w:val="0"/>
                <w:szCs w:val="21"/>
                <w:lang w:eastAsia="zh-CN" w:bidi="ar"/>
              </w:rPr>
              <w:t>。</w:t>
            </w:r>
          </w:p>
        </w:tc>
        <w:tc>
          <w:tcPr>
            <w:tcW w:w="1210" w:type="pct"/>
            <w:vMerge w:val="continue"/>
            <w:tcBorders>
              <w:tl2br w:val="nil"/>
              <w:tr2bl w:val="nil"/>
            </w:tcBorders>
            <w:noWrap/>
            <w:vAlign w:val="center"/>
          </w:tcPr>
          <w:p w14:paraId="448A202B">
            <w:pPr>
              <w:widowControl/>
              <w:jc w:val="center"/>
              <w:textAlignment w:val="center"/>
              <w:rPr>
                <w:color w:val="auto"/>
                <w:kern w:val="0"/>
                <w:szCs w:val="21"/>
                <w:lang w:bidi="ar"/>
              </w:rPr>
            </w:pPr>
          </w:p>
        </w:tc>
      </w:tr>
      <w:tr w14:paraId="3575603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1053" w:hRule="atLeast"/>
        </w:trPr>
        <w:tc>
          <w:tcPr>
            <w:tcW w:w="151" w:type="pct"/>
            <w:vMerge w:val="restart"/>
            <w:tcBorders>
              <w:tl2br w:val="nil"/>
              <w:tr2bl w:val="nil"/>
            </w:tcBorders>
            <w:noWrap/>
            <w:vAlign w:val="center"/>
          </w:tcPr>
          <w:p w14:paraId="377C2335">
            <w:pPr>
              <w:jc w:val="center"/>
              <w:rPr>
                <w:color w:val="auto"/>
                <w:szCs w:val="21"/>
              </w:rPr>
            </w:pPr>
            <w:r>
              <w:rPr>
                <w:color w:val="auto"/>
              </w:rPr>
              <w:t>环保工程</w:t>
            </w:r>
          </w:p>
        </w:tc>
        <w:tc>
          <w:tcPr>
            <w:tcW w:w="222" w:type="pct"/>
            <w:vMerge w:val="restart"/>
            <w:tcBorders>
              <w:tl2br w:val="nil"/>
              <w:tr2bl w:val="nil"/>
            </w:tcBorders>
            <w:noWrap/>
            <w:vAlign w:val="center"/>
          </w:tcPr>
          <w:p w14:paraId="305F6F96">
            <w:pPr>
              <w:widowControl/>
              <w:jc w:val="center"/>
              <w:textAlignment w:val="center"/>
              <w:rPr>
                <w:color w:val="auto"/>
                <w:szCs w:val="21"/>
              </w:rPr>
            </w:pPr>
            <w:r>
              <w:rPr>
                <w:color w:val="auto"/>
                <w:kern w:val="0"/>
                <w:szCs w:val="21"/>
                <w:lang w:bidi="ar"/>
              </w:rPr>
              <w:t>废气治理</w:t>
            </w:r>
          </w:p>
        </w:tc>
        <w:tc>
          <w:tcPr>
            <w:tcW w:w="375" w:type="pct"/>
            <w:tcBorders>
              <w:right w:val="single" w:color="000000" w:sz="2" w:space="0"/>
              <w:tl2br w:val="nil"/>
              <w:tr2bl w:val="nil"/>
            </w:tcBorders>
            <w:shd w:val="clear" w:color="auto" w:fill="auto"/>
            <w:noWrap/>
            <w:vAlign w:val="center"/>
          </w:tcPr>
          <w:p w14:paraId="5848A455">
            <w:pPr>
              <w:widowControl/>
              <w:jc w:val="center"/>
              <w:textAlignment w:val="center"/>
              <w:rPr>
                <w:rFonts w:hint="eastAsia" w:ascii="Times New Roman" w:hAnsi="Times New Roman" w:eastAsia="宋体" w:cs="Times New Roman"/>
                <w:color w:val="auto"/>
                <w:kern w:val="2"/>
                <w:sz w:val="21"/>
                <w:szCs w:val="21"/>
                <w:lang w:val="en-US" w:eastAsia="zh-CN" w:bidi="ar-SA"/>
              </w:rPr>
            </w:pPr>
            <w:r>
              <w:rPr>
                <w:color w:val="auto"/>
              </w:rPr>
              <w:t>熔炼烟气净化系统</w:t>
            </w:r>
          </w:p>
        </w:tc>
        <w:tc>
          <w:tcPr>
            <w:tcW w:w="762" w:type="pct"/>
            <w:vMerge w:val="restart"/>
            <w:tcBorders>
              <w:left w:val="single" w:color="000000" w:sz="2" w:space="0"/>
              <w:tl2br w:val="nil"/>
              <w:tr2bl w:val="nil"/>
            </w:tcBorders>
            <w:shd w:val="clear" w:color="auto" w:fill="auto"/>
            <w:noWrap/>
            <w:vAlign w:val="center"/>
          </w:tcPr>
          <w:p w14:paraId="297F3906">
            <w:pPr>
              <w:widowControl/>
              <w:jc w:val="center"/>
              <w:textAlignment w:val="center"/>
              <w:rPr>
                <w:color w:val="auto"/>
              </w:rPr>
            </w:pPr>
            <w:r>
              <w:rPr>
                <w:color w:val="auto"/>
              </w:rPr>
              <w:t>2套</w:t>
            </w:r>
            <w:r>
              <w:rPr>
                <w:rFonts w:hint="eastAsia"/>
                <w:color w:val="auto"/>
              </w:rPr>
              <w:t>旋风除尘+</w:t>
            </w:r>
            <w:r>
              <w:rPr>
                <w:color w:val="auto"/>
              </w:rPr>
              <w:t>布袋除尘器</w:t>
            </w:r>
            <w:r>
              <w:rPr>
                <w:rFonts w:hint="eastAsia"/>
                <w:color w:val="auto"/>
              </w:rPr>
              <w:t>+碱喷淋</w:t>
            </w:r>
          </w:p>
        </w:tc>
        <w:tc>
          <w:tcPr>
            <w:tcW w:w="1138" w:type="pct"/>
            <w:vMerge w:val="restart"/>
            <w:tcBorders>
              <w:tl2br w:val="nil"/>
              <w:tr2bl w:val="nil"/>
            </w:tcBorders>
            <w:shd w:val="clear" w:color="auto" w:fill="auto"/>
            <w:noWrap/>
            <w:vAlign w:val="center"/>
          </w:tcPr>
          <w:p w14:paraId="1623857A">
            <w:pPr>
              <w:widowControl/>
              <w:jc w:val="center"/>
              <w:textAlignment w:val="center"/>
              <w:rPr>
                <w:color w:val="auto"/>
              </w:rPr>
            </w:pPr>
            <w:r>
              <w:rPr>
                <w:color w:val="auto"/>
              </w:rPr>
              <w:t>2套</w:t>
            </w:r>
            <w:r>
              <w:rPr>
                <w:rFonts w:hint="eastAsia"/>
                <w:color w:val="auto"/>
              </w:rPr>
              <w:t>旋风除尘+</w:t>
            </w:r>
            <w:r>
              <w:rPr>
                <w:color w:val="auto"/>
              </w:rPr>
              <w:t>布袋除尘器</w:t>
            </w:r>
            <w:r>
              <w:rPr>
                <w:rFonts w:hint="eastAsia"/>
                <w:color w:val="auto"/>
              </w:rPr>
              <w:t>+碱喷淋</w:t>
            </w:r>
          </w:p>
        </w:tc>
        <w:tc>
          <w:tcPr>
            <w:tcW w:w="1138" w:type="pct"/>
            <w:vMerge w:val="restart"/>
            <w:tcBorders>
              <w:tl2br w:val="nil"/>
              <w:tr2bl w:val="nil"/>
            </w:tcBorders>
            <w:shd w:val="clear" w:color="auto" w:fill="auto"/>
            <w:noWrap/>
            <w:vAlign w:val="center"/>
          </w:tcPr>
          <w:p w14:paraId="0D873D13">
            <w:pPr>
              <w:ind w:firstLine="444" w:firstLineChars="200"/>
              <w:jc w:val="both"/>
              <w:rPr>
                <w:rFonts w:hint="eastAsia"/>
                <w:color w:val="auto"/>
                <w:szCs w:val="21"/>
                <w:lang w:val="en-US" w:eastAsia="zh-CN"/>
              </w:rPr>
            </w:pPr>
            <w:r>
              <w:rPr>
                <w:rFonts w:hint="eastAsia"/>
                <w:bCs/>
                <w:color w:val="auto"/>
                <w:spacing w:val="6"/>
                <w:szCs w:val="21"/>
                <w:lang w:val="en-US" w:eastAsia="zh-CN"/>
              </w:rPr>
              <w:t>项目生产过程中产生的</w:t>
            </w:r>
            <w:r>
              <w:rPr>
                <w:rFonts w:hint="eastAsia" w:eastAsia="宋体"/>
                <w:bCs/>
                <w:color w:val="auto"/>
                <w:spacing w:val="6"/>
                <w:szCs w:val="21"/>
                <w:lang w:val="en-US" w:eastAsia="zh-CN"/>
              </w:rPr>
              <w:t>熔炼烟气（含天然气燃烧废气）和铝渣处理粉尘</w:t>
            </w:r>
            <w:r>
              <w:rPr>
                <w:rFonts w:hint="eastAsia"/>
                <w:bCs/>
                <w:color w:val="auto"/>
                <w:spacing w:val="6"/>
                <w:szCs w:val="21"/>
                <w:lang w:val="en-US" w:eastAsia="zh-CN"/>
              </w:rPr>
              <w:t>废气收集后统一采用“SNCR+烟气急冷+活性炭喷粉+重力沉降</w:t>
            </w:r>
            <w:r>
              <w:rPr>
                <w:color w:val="auto"/>
                <w:szCs w:val="21"/>
              </w:rPr>
              <w:t>除尘器</w:t>
            </w:r>
            <w:r>
              <w:rPr>
                <w:rFonts w:hint="eastAsia"/>
                <w:color w:val="auto"/>
                <w:szCs w:val="21"/>
              </w:rPr>
              <w:t>+</w:t>
            </w:r>
            <w:r>
              <w:rPr>
                <w:color w:val="auto"/>
                <w:szCs w:val="21"/>
              </w:rPr>
              <w:t>布袋除尘器</w:t>
            </w:r>
            <w:r>
              <w:rPr>
                <w:rFonts w:hint="eastAsia"/>
                <w:color w:val="auto"/>
                <w:szCs w:val="21"/>
              </w:rPr>
              <w:t>+碱喷淋</w:t>
            </w:r>
            <w:r>
              <w:rPr>
                <w:rFonts w:hint="eastAsia"/>
                <w:color w:val="auto"/>
                <w:szCs w:val="21"/>
                <w:lang w:eastAsia="zh-CN"/>
              </w:rPr>
              <w:t>”</w:t>
            </w:r>
            <w:r>
              <w:rPr>
                <w:rFonts w:hint="eastAsia"/>
                <w:color w:val="auto"/>
                <w:szCs w:val="21"/>
                <w:lang w:val="en-US" w:eastAsia="zh-CN"/>
              </w:rPr>
              <w:t>处理，处理后由1根24.5m高（DA001）排气筒排放；</w:t>
            </w:r>
          </w:p>
          <w:p w14:paraId="7484A1AE">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szCs w:val="21"/>
                <w:lang w:val="en-US" w:eastAsia="zh-CN"/>
              </w:rPr>
              <w:t>项目危废库铝灰暂存时产生氨气经收集后采用一级水喷淋装置处理，处理后由1根15m高（DA002）排气筒排放</w:t>
            </w:r>
            <w:r>
              <w:rPr>
                <w:rFonts w:hint="eastAsia" w:eastAsia="宋体"/>
                <w:bCs/>
                <w:color w:val="auto"/>
                <w:spacing w:val="6"/>
                <w:szCs w:val="21"/>
                <w:lang w:val="en-US" w:eastAsia="zh-CN"/>
              </w:rPr>
              <w:t>。</w:t>
            </w:r>
          </w:p>
        </w:tc>
        <w:tc>
          <w:tcPr>
            <w:tcW w:w="1210" w:type="pct"/>
            <w:vMerge w:val="restart"/>
            <w:tcBorders>
              <w:tl2br w:val="nil"/>
              <w:tr2bl w:val="nil"/>
            </w:tcBorders>
            <w:noWrap/>
            <w:vAlign w:val="center"/>
          </w:tcPr>
          <w:p w14:paraId="257BE95C">
            <w:pPr>
              <w:widowControl/>
              <w:jc w:val="center"/>
              <w:textAlignment w:val="center"/>
              <w:rPr>
                <w:color w:val="auto"/>
                <w:kern w:val="0"/>
                <w:szCs w:val="21"/>
                <w:lang w:bidi="ar"/>
              </w:rPr>
            </w:pPr>
            <w:r>
              <w:rPr>
                <w:rFonts w:hint="eastAsia"/>
                <w:color w:val="0000FF"/>
                <w:szCs w:val="21"/>
                <w:lang w:val="en-US" w:eastAsia="zh-CN"/>
              </w:rPr>
              <w:t>对原项目的污染防治措施进行升级更新，将两套独立“旋风+布袋+碱喷淋”装置整合为一套分质预处理+集中后处理装置，处理工艺为“SNCR+烟气急冷+活性炭喷粉+重力沉降</w:t>
            </w:r>
            <w:r>
              <w:rPr>
                <w:color w:val="0000FF"/>
                <w:szCs w:val="21"/>
              </w:rPr>
              <w:t>除尘器</w:t>
            </w:r>
            <w:r>
              <w:rPr>
                <w:rFonts w:hint="eastAsia"/>
                <w:color w:val="0000FF"/>
                <w:szCs w:val="21"/>
              </w:rPr>
              <w:t>+</w:t>
            </w:r>
            <w:r>
              <w:rPr>
                <w:color w:val="0000FF"/>
                <w:szCs w:val="21"/>
              </w:rPr>
              <w:t>布袋除尘器</w:t>
            </w:r>
            <w:r>
              <w:rPr>
                <w:rFonts w:hint="eastAsia"/>
                <w:color w:val="0000FF"/>
                <w:szCs w:val="21"/>
              </w:rPr>
              <w:t>+碱喷淋</w:t>
            </w:r>
            <w:r>
              <w:rPr>
                <w:rFonts w:hint="eastAsia"/>
                <w:color w:val="0000FF"/>
                <w:szCs w:val="21"/>
                <w:lang w:val="en-US" w:eastAsia="zh-CN"/>
              </w:rPr>
              <w:t>”</w:t>
            </w:r>
            <w:r>
              <w:rPr>
                <w:rFonts w:hint="eastAsia"/>
                <w:bCs/>
                <w:color w:val="0000FF"/>
                <w:spacing w:val="6"/>
                <w:szCs w:val="21"/>
                <w:lang w:val="en-US" w:eastAsia="zh-CN"/>
              </w:rPr>
              <w:t>；</w:t>
            </w:r>
            <w:r>
              <w:rPr>
                <w:rFonts w:hint="eastAsia"/>
                <w:color w:val="0000FF"/>
                <w:szCs w:val="21"/>
                <w:lang w:val="en-US" w:eastAsia="zh-CN"/>
              </w:rPr>
              <w:t>铝灰暂存库废气由无组织排放改为有组织排放，治理措施为“一级水喷淋”。</w:t>
            </w:r>
          </w:p>
        </w:tc>
      </w:tr>
      <w:tr w14:paraId="586837B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72F95733">
            <w:pPr>
              <w:jc w:val="center"/>
              <w:rPr>
                <w:color w:val="auto"/>
                <w:szCs w:val="21"/>
              </w:rPr>
            </w:pPr>
          </w:p>
        </w:tc>
        <w:tc>
          <w:tcPr>
            <w:tcW w:w="222" w:type="pct"/>
            <w:vMerge w:val="continue"/>
            <w:tcBorders>
              <w:tl2br w:val="nil"/>
              <w:tr2bl w:val="nil"/>
            </w:tcBorders>
            <w:noWrap/>
            <w:vAlign w:val="center"/>
          </w:tcPr>
          <w:p w14:paraId="62934054">
            <w:pPr>
              <w:widowControl/>
              <w:jc w:val="center"/>
              <w:textAlignment w:val="center"/>
              <w:rPr>
                <w:color w:val="auto"/>
                <w:kern w:val="0"/>
                <w:szCs w:val="21"/>
                <w:lang w:bidi="ar"/>
              </w:rPr>
            </w:pPr>
          </w:p>
        </w:tc>
        <w:tc>
          <w:tcPr>
            <w:tcW w:w="375" w:type="pct"/>
            <w:tcBorders>
              <w:right w:val="single" w:color="000000" w:sz="2" w:space="0"/>
              <w:tl2br w:val="nil"/>
              <w:tr2bl w:val="nil"/>
            </w:tcBorders>
            <w:shd w:val="clear" w:color="auto" w:fill="auto"/>
            <w:noWrap/>
            <w:vAlign w:val="center"/>
          </w:tcPr>
          <w:p w14:paraId="4617B9A5">
            <w:pPr>
              <w:widowControl/>
              <w:jc w:val="center"/>
              <w:textAlignment w:val="center"/>
              <w:rPr>
                <w:rFonts w:hint="eastAsia" w:ascii="Times New Roman" w:hAnsi="Times New Roman" w:eastAsia="宋体" w:cs="Times New Roman"/>
                <w:color w:val="auto"/>
                <w:kern w:val="0"/>
                <w:sz w:val="21"/>
                <w:szCs w:val="21"/>
                <w:lang w:val="en-US" w:eastAsia="zh-CN" w:bidi="ar"/>
              </w:rPr>
            </w:pPr>
            <w:r>
              <w:rPr>
                <w:color w:val="auto"/>
              </w:rPr>
              <w:t>铝渣处理系统</w:t>
            </w:r>
          </w:p>
        </w:tc>
        <w:tc>
          <w:tcPr>
            <w:tcW w:w="762" w:type="pct"/>
            <w:vMerge w:val="continue"/>
            <w:tcBorders>
              <w:left w:val="single" w:color="000000" w:sz="2" w:space="0"/>
              <w:tl2br w:val="nil"/>
              <w:tr2bl w:val="nil"/>
            </w:tcBorders>
            <w:shd w:val="clear" w:color="auto" w:fill="auto"/>
            <w:noWrap/>
            <w:vAlign w:val="center"/>
          </w:tcPr>
          <w:p w14:paraId="187B9F21">
            <w:pPr>
              <w:widowControl/>
              <w:jc w:val="center"/>
              <w:textAlignment w:val="center"/>
              <w:rPr>
                <w:color w:val="auto"/>
                <w:kern w:val="0"/>
                <w:szCs w:val="21"/>
                <w:lang w:bidi="ar"/>
              </w:rPr>
            </w:pPr>
          </w:p>
        </w:tc>
        <w:tc>
          <w:tcPr>
            <w:tcW w:w="1138" w:type="pct"/>
            <w:vMerge w:val="continue"/>
            <w:tcBorders>
              <w:tl2br w:val="nil"/>
              <w:tr2bl w:val="nil"/>
            </w:tcBorders>
            <w:shd w:val="clear" w:color="auto" w:fill="auto"/>
            <w:noWrap/>
            <w:vAlign w:val="center"/>
          </w:tcPr>
          <w:p w14:paraId="6F3D8AAD">
            <w:pPr>
              <w:widowControl/>
              <w:jc w:val="center"/>
              <w:textAlignment w:val="center"/>
              <w:rPr>
                <w:color w:val="auto"/>
                <w:kern w:val="0"/>
                <w:szCs w:val="21"/>
                <w:lang w:bidi="ar"/>
              </w:rPr>
            </w:pPr>
          </w:p>
        </w:tc>
        <w:tc>
          <w:tcPr>
            <w:tcW w:w="1138" w:type="pct"/>
            <w:vMerge w:val="continue"/>
            <w:tcBorders>
              <w:tl2br w:val="nil"/>
              <w:tr2bl w:val="nil"/>
            </w:tcBorders>
            <w:shd w:val="clear" w:color="auto" w:fill="auto"/>
            <w:noWrap/>
            <w:vAlign w:val="center"/>
          </w:tcPr>
          <w:p w14:paraId="66E153D8">
            <w:pPr>
              <w:widowControl/>
              <w:jc w:val="center"/>
              <w:textAlignment w:val="center"/>
              <w:rPr>
                <w:rFonts w:hint="eastAsia" w:ascii="Times New Roman" w:hAnsi="Times New Roman" w:eastAsia="宋体" w:cs="Times New Roman"/>
                <w:color w:val="auto"/>
                <w:kern w:val="0"/>
                <w:sz w:val="21"/>
                <w:szCs w:val="21"/>
                <w:lang w:val="en-US" w:eastAsia="zh-CN" w:bidi="ar"/>
              </w:rPr>
            </w:pPr>
          </w:p>
        </w:tc>
        <w:tc>
          <w:tcPr>
            <w:tcW w:w="1210" w:type="pct"/>
            <w:vMerge w:val="continue"/>
            <w:tcBorders>
              <w:tl2br w:val="nil"/>
              <w:tr2bl w:val="nil"/>
            </w:tcBorders>
            <w:noWrap/>
            <w:vAlign w:val="center"/>
          </w:tcPr>
          <w:p w14:paraId="6E629E85">
            <w:pPr>
              <w:widowControl/>
              <w:jc w:val="center"/>
              <w:textAlignment w:val="center"/>
              <w:rPr>
                <w:color w:val="auto"/>
                <w:kern w:val="0"/>
                <w:szCs w:val="21"/>
                <w:lang w:bidi="ar"/>
              </w:rPr>
            </w:pPr>
          </w:p>
        </w:tc>
      </w:tr>
      <w:tr w14:paraId="231E094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56E00373">
            <w:pPr>
              <w:jc w:val="center"/>
              <w:rPr>
                <w:color w:val="auto"/>
                <w:szCs w:val="21"/>
              </w:rPr>
            </w:pPr>
          </w:p>
        </w:tc>
        <w:tc>
          <w:tcPr>
            <w:tcW w:w="222" w:type="pct"/>
            <w:tcBorders>
              <w:tl2br w:val="nil"/>
              <w:tr2bl w:val="nil"/>
            </w:tcBorders>
            <w:noWrap/>
            <w:vAlign w:val="center"/>
          </w:tcPr>
          <w:p w14:paraId="6AF136A8">
            <w:pPr>
              <w:widowControl/>
              <w:jc w:val="center"/>
              <w:textAlignment w:val="center"/>
              <w:rPr>
                <w:color w:val="auto"/>
                <w:kern w:val="0"/>
                <w:szCs w:val="21"/>
                <w:lang w:bidi="ar"/>
              </w:rPr>
            </w:pPr>
            <w:r>
              <w:rPr>
                <w:color w:val="auto"/>
                <w:kern w:val="0"/>
                <w:szCs w:val="21"/>
                <w:lang w:bidi="ar"/>
              </w:rPr>
              <w:t>噪声治理</w:t>
            </w:r>
          </w:p>
        </w:tc>
        <w:tc>
          <w:tcPr>
            <w:tcW w:w="1138" w:type="pct"/>
            <w:gridSpan w:val="2"/>
            <w:tcBorders>
              <w:tl2br w:val="nil"/>
              <w:tr2bl w:val="nil"/>
            </w:tcBorders>
            <w:shd w:val="clear" w:color="auto" w:fill="auto"/>
            <w:noWrap/>
            <w:vAlign w:val="center"/>
          </w:tcPr>
          <w:p w14:paraId="42CAA9BE">
            <w:pPr>
              <w:widowControl/>
              <w:jc w:val="center"/>
              <w:textAlignment w:val="center"/>
              <w:rPr>
                <w:rFonts w:hint="eastAsia" w:ascii="Times New Roman" w:hAnsi="Times New Roman" w:eastAsia="宋体" w:cs="Times New Roman"/>
                <w:color w:val="auto"/>
                <w:kern w:val="0"/>
                <w:sz w:val="21"/>
                <w:szCs w:val="21"/>
                <w:lang w:val="en-US" w:eastAsia="zh-CN" w:bidi="ar"/>
              </w:rPr>
            </w:pPr>
            <w:r>
              <w:rPr>
                <w:color w:val="auto"/>
              </w:rPr>
              <w:t>合理布局、安装消声器、隔声等</w:t>
            </w:r>
          </w:p>
        </w:tc>
        <w:tc>
          <w:tcPr>
            <w:tcW w:w="3184" w:type="dxa"/>
            <w:tcBorders>
              <w:tl2br w:val="nil"/>
              <w:tr2bl w:val="nil"/>
            </w:tcBorders>
            <w:shd w:val="clear" w:color="auto" w:fill="auto"/>
            <w:noWrap/>
            <w:vAlign w:val="center"/>
          </w:tcPr>
          <w:p w14:paraId="794C59E7">
            <w:pPr>
              <w:widowControl/>
              <w:jc w:val="center"/>
              <w:textAlignment w:val="center"/>
              <w:rPr>
                <w:color w:val="auto"/>
              </w:rPr>
            </w:pPr>
            <w:r>
              <w:rPr>
                <w:color w:val="auto"/>
              </w:rPr>
              <w:t>合理布局、安装消声器、隔声等</w:t>
            </w:r>
          </w:p>
        </w:tc>
        <w:tc>
          <w:tcPr>
            <w:tcW w:w="1138" w:type="pct"/>
            <w:tcBorders>
              <w:tl2br w:val="nil"/>
              <w:tr2bl w:val="nil"/>
            </w:tcBorders>
            <w:shd w:val="clear" w:color="auto" w:fill="auto"/>
            <w:noWrap/>
            <w:vAlign w:val="center"/>
          </w:tcPr>
          <w:p w14:paraId="73DEA846">
            <w:pPr>
              <w:widowControl/>
              <w:jc w:val="center"/>
              <w:textAlignment w:val="center"/>
              <w:rPr>
                <w:rFonts w:ascii="Times New Roman" w:hAnsi="Times New Roman" w:eastAsia="宋体" w:cs="Times New Roman"/>
                <w:color w:val="auto"/>
                <w:kern w:val="0"/>
                <w:sz w:val="21"/>
                <w:szCs w:val="21"/>
                <w:lang w:val="en-US" w:eastAsia="zh-CN" w:bidi="ar"/>
              </w:rPr>
            </w:pPr>
            <w:r>
              <w:rPr>
                <w:color w:val="auto"/>
              </w:rPr>
              <w:t>合理布局、安装消声器、隔声等</w:t>
            </w:r>
          </w:p>
        </w:tc>
        <w:tc>
          <w:tcPr>
            <w:tcW w:w="1210" w:type="pct"/>
            <w:tcBorders>
              <w:tl2br w:val="nil"/>
              <w:tr2bl w:val="nil"/>
            </w:tcBorders>
            <w:noWrap/>
            <w:vAlign w:val="center"/>
          </w:tcPr>
          <w:p w14:paraId="3FEA85DB">
            <w:pPr>
              <w:widowControl/>
              <w:jc w:val="center"/>
              <w:textAlignment w:val="center"/>
              <w:rPr>
                <w:color w:val="auto"/>
                <w:kern w:val="0"/>
                <w:szCs w:val="21"/>
                <w:lang w:bidi="ar"/>
              </w:rPr>
            </w:pPr>
            <w:r>
              <w:rPr>
                <w:rFonts w:hint="eastAsia"/>
                <w:color w:val="auto"/>
                <w:kern w:val="0"/>
                <w:szCs w:val="21"/>
                <w:lang w:val="en-US" w:eastAsia="zh-CN" w:bidi="ar"/>
              </w:rPr>
              <w:t>不变</w:t>
            </w:r>
          </w:p>
        </w:tc>
      </w:tr>
      <w:tr w14:paraId="11C588A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713" w:hRule="atLeast"/>
        </w:trPr>
        <w:tc>
          <w:tcPr>
            <w:tcW w:w="151" w:type="pct"/>
            <w:vMerge w:val="continue"/>
            <w:tcBorders>
              <w:tl2br w:val="nil"/>
              <w:tr2bl w:val="nil"/>
            </w:tcBorders>
            <w:noWrap/>
            <w:vAlign w:val="center"/>
          </w:tcPr>
          <w:p w14:paraId="5257107B">
            <w:pPr>
              <w:jc w:val="center"/>
              <w:rPr>
                <w:color w:val="auto"/>
                <w:szCs w:val="21"/>
              </w:rPr>
            </w:pPr>
          </w:p>
        </w:tc>
        <w:tc>
          <w:tcPr>
            <w:tcW w:w="222" w:type="pct"/>
            <w:tcBorders>
              <w:tl2br w:val="nil"/>
              <w:tr2bl w:val="nil"/>
            </w:tcBorders>
            <w:noWrap/>
            <w:vAlign w:val="center"/>
          </w:tcPr>
          <w:p w14:paraId="71202C27">
            <w:pPr>
              <w:widowControl/>
              <w:jc w:val="center"/>
              <w:textAlignment w:val="center"/>
              <w:rPr>
                <w:color w:val="auto"/>
                <w:kern w:val="0"/>
                <w:szCs w:val="21"/>
                <w:lang w:bidi="ar"/>
              </w:rPr>
            </w:pPr>
            <w:r>
              <w:rPr>
                <w:color w:val="auto"/>
                <w:kern w:val="0"/>
                <w:szCs w:val="21"/>
                <w:lang w:bidi="ar"/>
              </w:rPr>
              <w:t>固废治理</w:t>
            </w:r>
          </w:p>
        </w:tc>
        <w:tc>
          <w:tcPr>
            <w:tcW w:w="1138" w:type="pct"/>
            <w:gridSpan w:val="2"/>
            <w:tcBorders>
              <w:tl2br w:val="nil"/>
              <w:tr2bl w:val="nil"/>
            </w:tcBorders>
            <w:shd w:val="clear" w:color="auto" w:fill="auto"/>
            <w:noWrap/>
            <w:vAlign w:val="center"/>
          </w:tcPr>
          <w:p w14:paraId="05F615FD">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lang w:val="en-US" w:eastAsia="zh-CN"/>
              </w:rPr>
              <w:t>设置1座</w:t>
            </w:r>
            <w:r>
              <w:rPr>
                <w:rFonts w:hint="eastAsia"/>
                <w:color w:val="auto"/>
              </w:rPr>
              <w:t>172m</w:t>
            </w:r>
            <w:r>
              <w:rPr>
                <w:rFonts w:hint="eastAsia"/>
                <w:color w:val="auto"/>
                <w:vertAlign w:val="superscript"/>
              </w:rPr>
              <w:t>2</w:t>
            </w:r>
            <w:r>
              <w:rPr>
                <w:rFonts w:hint="eastAsia"/>
                <w:color w:val="auto"/>
              </w:rPr>
              <w:t>铝灰储存间和</w:t>
            </w:r>
            <w:r>
              <w:rPr>
                <w:rFonts w:hint="eastAsia"/>
                <w:color w:val="auto"/>
                <w:lang w:val="en-US" w:eastAsia="zh-CN"/>
              </w:rPr>
              <w:t>1座</w:t>
            </w:r>
            <w:r>
              <w:rPr>
                <w:rFonts w:hint="eastAsia"/>
                <w:color w:val="auto"/>
              </w:rPr>
              <w:t>16m</w:t>
            </w:r>
            <w:r>
              <w:rPr>
                <w:rFonts w:hint="eastAsia"/>
                <w:color w:val="auto"/>
                <w:vertAlign w:val="superscript"/>
              </w:rPr>
              <w:t>2</w:t>
            </w:r>
            <w:r>
              <w:rPr>
                <w:rFonts w:hint="eastAsia"/>
                <w:color w:val="auto"/>
              </w:rPr>
              <w:t>危废暂存间</w:t>
            </w:r>
          </w:p>
        </w:tc>
        <w:tc>
          <w:tcPr>
            <w:tcW w:w="3184" w:type="dxa"/>
            <w:tcBorders>
              <w:tl2br w:val="nil"/>
              <w:tr2bl w:val="nil"/>
            </w:tcBorders>
            <w:shd w:val="clear" w:color="auto" w:fill="auto"/>
            <w:noWrap/>
            <w:vAlign w:val="center"/>
          </w:tcPr>
          <w:p w14:paraId="11E76812">
            <w:pPr>
              <w:widowControl/>
              <w:jc w:val="center"/>
              <w:textAlignment w:val="center"/>
              <w:rPr>
                <w:rFonts w:hint="eastAsia"/>
                <w:color w:val="auto"/>
                <w:lang w:val="en-US" w:eastAsia="zh-CN"/>
              </w:rPr>
            </w:pPr>
            <w:r>
              <w:rPr>
                <w:rFonts w:hint="eastAsia"/>
                <w:color w:val="auto"/>
                <w:lang w:val="en-US" w:eastAsia="zh-CN"/>
              </w:rPr>
              <w:t>设置1座</w:t>
            </w:r>
            <w:r>
              <w:rPr>
                <w:rFonts w:hint="eastAsia"/>
                <w:color w:val="auto"/>
              </w:rPr>
              <w:t>172m</w:t>
            </w:r>
            <w:r>
              <w:rPr>
                <w:rFonts w:hint="eastAsia"/>
                <w:color w:val="auto"/>
                <w:vertAlign w:val="superscript"/>
              </w:rPr>
              <w:t>2</w:t>
            </w:r>
            <w:r>
              <w:rPr>
                <w:rFonts w:hint="eastAsia"/>
                <w:color w:val="auto"/>
              </w:rPr>
              <w:t>铝灰储存间和</w:t>
            </w:r>
            <w:r>
              <w:rPr>
                <w:rFonts w:hint="eastAsia"/>
                <w:color w:val="auto"/>
                <w:lang w:val="en-US" w:eastAsia="zh-CN"/>
              </w:rPr>
              <w:t>1座</w:t>
            </w:r>
            <w:r>
              <w:rPr>
                <w:rFonts w:hint="eastAsia"/>
                <w:color w:val="auto"/>
              </w:rPr>
              <w:t>16m</w:t>
            </w:r>
            <w:r>
              <w:rPr>
                <w:rFonts w:hint="eastAsia"/>
                <w:color w:val="auto"/>
                <w:vertAlign w:val="superscript"/>
              </w:rPr>
              <w:t>2</w:t>
            </w:r>
            <w:r>
              <w:rPr>
                <w:rFonts w:hint="eastAsia"/>
                <w:color w:val="auto"/>
              </w:rPr>
              <w:t>危废暂存间</w:t>
            </w:r>
          </w:p>
        </w:tc>
        <w:tc>
          <w:tcPr>
            <w:tcW w:w="1138" w:type="pct"/>
            <w:tcBorders>
              <w:tl2br w:val="nil"/>
              <w:tr2bl w:val="nil"/>
            </w:tcBorders>
            <w:shd w:val="clear" w:color="auto" w:fill="auto"/>
            <w:noWrap/>
            <w:vAlign w:val="center"/>
          </w:tcPr>
          <w:p w14:paraId="202D1B71">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lang w:val="en-US" w:eastAsia="zh-CN"/>
              </w:rPr>
              <w:t>设置1座200</w:t>
            </w:r>
            <w:r>
              <w:rPr>
                <w:rFonts w:hint="eastAsia"/>
                <w:color w:val="auto"/>
              </w:rPr>
              <w:t>m</w:t>
            </w:r>
            <w:r>
              <w:rPr>
                <w:rFonts w:hint="eastAsia"/>
                <w:color w:val="auto"/>
                <w:vertAlign w:val="superscript"/>
              </w:rPr>
              <w:t>2</w:t>
            </w:r>
            <w:r>
              <w:rPr>
                <w:rFonts w:hint="eastAsia"/>
                <w:color w:val="auto"/>
                <w:lang w:val="en-US" w:eastAsia="zh-CN"/>
              </w:rPr>
              <w:t>危险废物暂</w:t>
            </w:r>
            <w:r>
              <w:rPr>
                <w:rFonts w:hint="eastAsia"/>
                <w:color w:val="auto"/>
              </w:rPr>
              <w:t>存间</w:t>
            </w:r>
            <w:r>
              <w:rPr>
                <w:rFonts w:hint="eastAsia"/>
                <w:color w:val="auto"/>
                <w:lang w:eastAsia="zh-CN"/>
              </w:rPr>
              <w:t>（</w:t>
            </w:r>
            <w:r>
              <w:rPr>
                <w:rFonts w:hint="eastAsia"/>
                <w:color w:val="auto"/>
                <w:lang w:val="en-US" w:eastAsia="zh-CN"/>
              </w:rPr>
              <w:t>废铝灰与其他危险废物分区域暂存</w:t>
            </w:r>
            <w:r>
              <w:rPr>
                <w:rFonts w:hint="eastAsia"/>
                <w:color w:val="auto"/>
                <w:lang w:eastAsia="zh-CN"/>
              </w:rPr>
              <w:t>）</w:t>
            </w:r>
            <w:r>
              <w:rPr>
                <w:rFonts w:hint="eastAsia"/>
                <w:color w:val="auto"/>
              </w:rPr>
              <w:t>和</w:t>
            </w:r>
            <w:r>
              <w:rPr>
                <w:rFonts w:hint="eastAsia"/>
                <w:color w:val="auto"/>
                <w:lang w:val="en-US" w:eastAsia="zh-CN"/>
              </w:rPr>
              <w:t>1座30</w:t>
            </w:r>
            <w:r>
              <w:rPr>
                <w:rFonts w:hint="eastAsia"/>
                <w:color w:val="auto"/>
              </w:rPr>
              <w:t>m</w:t>
            </w:r>
            <w:r>
              <w:rPr>
                <w:rFonts w:hint="eastAsia"/>
                <w:color w:val="auto"/>
                <w:vertAlign w:val="superscript"/>
              </w:rPr>
              <w:t>2</w:t>
            </w:r>
            <w:r>
              <w:rPr>
                <w:rFonts w:hint="eastAsia"/>
                <w:color w:val="auto"/>
                <w:lang w:val="en-US" w:eastAsia="zh-CN"/>
              </w:rPr>
              <w:t>一般固废暂存间</w:t>
            </w:r>
          </w:p>
        </w:tc>
        <w:tc>
          <w:tcPr>
            <w:tcW w:w="1210" w:type="pct"/>
            <w:tcBorders>
              <w:tl2br w:val="nil"/>
              <w:tr2bl w:val="nil"/>
            </w:tcBorders>
            <w:noWrap/>
            <w:vAlign w:val="center"/>
          </w:tcPr>
          <w:p w14:paraId="7D827B6A">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实际</w:t>
            </w:r>
            <w:r>
              <w:rPr>
                <w:color w:val="auto"/>
                <w:kern w:val="0"/>
                <w:szCs w:val="21"/>
                <w:lang w:bidi="ar"/>
              </w:rPr>
              <w:t>设置1座 200m</w:t>
            </w:r>
            <w:r>
              <w:rPr>
                <w:rFonts w:hint="eastAsia"/>
                <w:color w:val="auto"/>
                <w:kern w:val="0"/>
                <w:szCs w:val="21"/>
                <w:vertAlign w:val="superscript"/>
                <w:lang w:val="en-US" w:eastAsia="zh-CN" w:bidi="ar"/>
              </w:rPr>
              <w:t>2</w:t>
            </w:r>
            <w:r>
              <w:rPr>
                <w:color w:val="auto"/>
                <w:kern w:val="0"/>
                <w:szCs w:val="21"/>
                <w:lang w:bidi="ar"/>
              </w:rPr>
              <w:t>危险废物暂存间，废铝灰与其他危险废物分区存放，满足防渗、防风、防雨、防流失要求</w:t>
            </w:r>
            <w:r>
              <w:rPr>
                <w:rFonts w:hint="eastAsia"/>
                <w:color w:val="auto"/>
                <w:kern w:val="0"/>
                <w:szCs w:val="21"/>
                <w:lang w:eastAsia="zh-CN" w:bidi="ar"/>
              </w:rPr>
              <w:t>。</w:t>
            </w:r>
          </w:p>
        </w:tc>
      </w:tr>
      <w:tr w14:paraId="46FA4AE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18BDD2BD">
            <w:pPr>
              <w:jc w:val="center"/>
              <w:rPr>
                <w:color w:val="auto"/>
                <w:szCs w:val="21"/>
              </w:rPr>
            </w:pPr>
          </w:p>
        </w:tc>
        <w:tc>
          <w:tcPr>
            <w:tcW w:w="222" w:type="pct"/>
            <w:tcBorders>
              <w:tl2br w:val="nil"/>
              <w:tr2bl w:val="nil"/>
            </w:tcBorders>
            <w:noWrap/>
            <w:vAlign w:val="center"/>
          </w:tcPr>
          <w:p w14:paraId="454A5E13">
            <w:pPr>
              <w:widowControl/>
              <w:jc w:val="center"/>
              <w:textAlignment w:val="center"/>
              <w:rPr>
                <w:color w:val="auto"/>
                <w:kern w:val="0"/>
                <w:szCs w:val="21"/>
                <w:lang w:bidi="ar"/>
              </w:rPr>
            </w:pPr>
            <w:r>
              <w:rPr>
                <w:color w:val="auto"/>
                <w:kern w:val="0"/>
                <w:szCs w:val="21"/>
                <w:lang w:bidi="ar"/>
              </w:rPr>
              <w:t>地下水防渗</w:t>
            </w:r>
          </w:p>
        </w:tc>
        <w:tc>
          <w:tcPr>
            <w:tcW w:w="1138" w:type="pct"/>
            <w:gridSpan w:val="2"/>
            <w:tcBorders>
              <w:tl2br w:val="nil"/>
              <w:tr2bl w:val="nil"/>
            </w:tcBorders>
            <w:shd w:val="clear" w:color="auto" w:fill="auto"/>
            <w:noWrap/>
            <w:vAlign w:val="center"/>
          </w:tcPr>
          <w:p w14:paraId="113D7912">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ascii="宋体" w:hAnsi="宋体"/>
                <w:color w:val="auto"/>
                <w:szCs w:val="21"/>
              </w:rPr>
              <w:t>原料车间、生产车间、成品库、</w:t>
            </w:r>
            <w:r>
              <w:rPr>
                <w:rFonts w:hint="eastAsia" w:ascii="宋体" w:hAnsi="宋体"/>
                <w:color w:val="auto"/>
                <w:szCs w:val="21"/>
                <w:lang w:val="en-US" w:eastAsia="zh-CN"/>
              </w:rPr>
              <w:t>危</w:t>
            </w:r>
            <w:r>
              <w:rPr>
                <w:rFonts w:hint="eastAsia" w:ascii="宋体" w:hAnsi="宋体"/>
                <w:color w:val="auto"/>
                <w:szCs w:val="21"/>
              </w:rPr>
              <w:t>废暂存间、铝灰</w:t>
            </w:r>
            <w:r>
              <w:rPr>
                <w:rFonts w:hint="eastAsia" w:ascii="宋体" w:hAnsi="宋体"/>
                <w:color w:val="auto"/>
                <w:szCs w:val="21"/>
                <w:lang w:val="en-US" w:eastAsia="zh-CN"/>
              </w:rPr>
              <w:t>暂</w:t>
            </w:r>
            <w:r>
              <w:rPr>
                <w:rFonts w:hint="eastAsia" w:ascii="宋体" w:hAnsi="宋体"/>
                <w:color w:val="auto"/>
                <w:szCs w:val="21"/>
              </w:rPr>
              <w:t>存间，以及</w:t>
            </w:r>
            <w:r>
              <w:rPr>
                <w:rFonts w:hint="eastAsia" w:hAnsi="宋体"/>
                <w:color w:val="auto"/>
                <w:szCs w:val="21"/>
              </w:rPr>
              <w:t>废水管网</w:t>
            </w:r>
            <w:r>
              <w:rPr>
                <w:rFonts w:hAnsi="宋体"/>
                <w:color w:val="auto"/>
                <w:szCs w:val="21"/>
              </w:rPr>
              <w:t>等处</w:t>
            </w:r>
            <w:r>
              <w:rPr>
                <w:rFonts w:hint="eastAsia" w:hAnsi="宋体"/>
                <w:color w:val="auto"/>
                <w:szCs w:val="21"/>
              </w:rPr>
              <w:t>均采取相应的</w:t>
            </w:r>
            <w:r>
              <w:rPr>
                <w:rFonts w:hAnsi="宋体"/>
                <w:color w:val="auto"/>
                <w:szCs w:val="21"/>
              </w:rPr>
              <w:t>防渗结构层</w:t>
            </w:r>
          </w:p>
        </w:tc>
        <w:tc>
          <w:tcPr>
            <w:tcW w:w="3184" w:type="dxa"/>
            <w:tcBorders>
              <w:tl2br w:val="nil"/>
              <w:tr2bl w:val="nil"/>
            </w:tcBorders>
            <w:shd w:val="clear" w:color="auto" w:fill="auto"/>
            <w:noWrap/>
            <w:vAlign w:val="center"/>
          </w:tcPr>
          <w:p w14:paraId="4726E140">
            <w:pPr>
              <w:widowControl/>
              <w:jc w:val="center"/>
              <w:textAlignment w:val="center"/>
              <w:rPr>
                <w:rFonts w:hint="eastAsia" w:ascii="宋体" w:hAnsi="宋体"/>
                <w:color w:val="auto"/>
                <w:szCs w:val="21"/>
              </w:rPr>
            </w:pPr>
            <w:r>
              <w:rPr>
                <w:rFonts w:hint="eastAsia" w:ascii="宋体" w:hAnsi="宋体"/>
                <w:color w:val="auto"/>
                <w:szCs w:val="21"/>
              </w:rPr>
              <w:t>原料车间、生产车间、成品库、</w:t>
            </w:r>
            <w:r>
              <w:rPr>
                <w:rFonts w:hint="eastAsia" w:ascii="宋体" w:hAnsi="宋体"/>
                <w:color w:val="auto"/>
                <w:szCs w:val="21"/>
                <w:lang w:val="en-US" w:eastAsia="zh-CN"/>
              </w:rPr>
              <w:t>危</w:t>
            </w:r>
            <w:r>
              <w:rPr>
                <w:rFonts w:hint="eastAsia" w:ascii="宋体" w:hAnsi="宋体"/>
                <w:color w:val="auto"/>
                <w:szCs w:val="21"/>
              </w:rPr>
              <w:t>废暂存间、铝灰</w:t>
            </w:r>
            <w:r>
              <w:rPr>
                <w:rFonts w:hint="eastAsia" w:ascii="宋体" w:hAnsi="宋体"/>
                <w:color w:val="auto"/>
                <w:szCs w:val="21"/>
                <w:lang w:val="en-US" w:eastAsia="zh-CN"/>
              </w:rPr>
              <w:t>暂</w:t>
            </w:r>
            <w:r>
              <w:rPr>
                <w:rFonts w:hint="eastAsia" w:ascii="宋体" w:hAnsi="宋体"/>
                <w:color w:val="auto"/>
                <w:szCs w:val="21"/>
              </w:rPr>
              <w:t>存间，以及</w:t>
            </w:r>
            <w:r>
              <w:rPr>
                <w:rFonts w:hint="eastAsia" w:hAnsi="宋体"/>
                <w:color w:val="auto"/>
                <w:szCs w:val="21"/>
              </w:rPr>
              <w:t>废水管网</w:t>
            </w:r>
            <w:r>
              <w:rPr>
                <w:rFonts w:hAnsi="宋体"/>
                <w:color w:val="auto"/>
                <w:szCs w:val="21"/>
              </w:rPr>
              <w:t>等处</w:t>
            </w:r>
            <w:r>
              <w:rPr>
                <w:rFonts w:hint="eastAsia" w:hAnsi="宋体"/>
                <w:color w:val="auto"/>
                <w:szCs w:val="21"/>
              </w:rPr>
              <w:t>均采取相应的</w:t>
            </w:r>
            <w:r>
              <w:rPr>
                <w:rFonts w:hAnsi="宋体"/>
                <w:color w:val="auto"/>
                <w:szCs w:val="21"/>
              </w:rPr>
              <w:t>防渗结构层</w:t>
            </w:r>
          </w:p>
        </w:tc>
        <w:tc>
          <w:tcPr>
            <w:tcW w:w="1138" w:type="pct"/>
            <w:tcBorders>
              <w:tl2br w:val="nil"/>
              <w:tr2bl w:val="nil"/>
            </w:tcBorders>
            <w:shd w:val="clear" w:color="auto" w:fill="auto"/>
            <w:noWrap/>
            <w:vAlign w:val="center"/>
          </w:tcPr>
          <w:p w14:paraId="329D3F05">
            <w:pPr>
              <w:widowControl/>
              <w:jc w:val="center"/>
              <w:textAlignment w:val="center"/>
              <w:rPr>
                <w:rFonts w:ascii="Times New Roman" w:hAnsi="Times New Roman" w:eastAsia="宋体" w:cs="Times New Roman"/>
                <w:color w:val="auto"/>
                <w:kern w:val="0"/>
                <w:sz w:val="21"/>
                <w:szCs w:val="21"/>
                <w:lang w:val="en-US" w:eastAsia="zh-CN" w:bidi="ar"/>
              </w:rPr>
            </w:pPr>
            <w:r>
              <w:rPr>
                <w:color w:val="auto"/>
                <w:kern w:val="0"/>
                <w:szCs w:val="21"/>
                <w:lang w:bidi="ar"/>
              </w:rPr>
              <w:t>重点防渗区（</w:t>
            </w:r>
            <w:r>
              <w:rPr>
                <w:rFonts w:hint="eastAsia"/>
                <w:color w:val="auto"/>
                <w:kern w:val="0"/>
                <w:szCs w:val="21"/>
                <w:lang w:val="en-US" w:eastAsia="zh-CN" w:bidi="ar"/>
              </w:rPr>
              <w:t>危废暂存间</w:t>
            </w:r>
            <w:r>
              <w:rPr>
                <w:color w:val="auto"/>
                <w:kern w:val="0"/>
                <w:szCs w:val="21"/>
                <w:lang w:bidi="ar"/>
              </w:rPr>
              <w:t>）：基础防渗层为至少1米厚粘土层（渗透系数≤10</w:t>
            </w:r>
            <w:r>
              <w:rPr>
                <w:color w:val="auto"/>
                <w:kern w:val="0"/>
                <w:szCs w:val="21"/>
                <w:vertAlign w:val="superscript"/>
                <w:lang w:bidi="ar"/>
              </w:rPr>
              <w:t>-7</w:t>
            </w:r>
            <w:r>
              <w:rPr>
                <w:color w:val="auto"/>
                <w:kern w:val="0"/>
                <w:szCs w:val="21"/>
                <w:lang w:bidi="ar"/>
              </w:rPr>
              <w:t>cm/s），或2mm厚高密度聚乙烯，或至少2mm厚的其它人工材料（渗透系数≤10</w:t>
            </w:r>
            <w:r>
              <w:rPr>
                <w:color w:val="auto"/>
                <w:kern w:val="0"/>
                <w:szCs w:val="21"/>
                <w:vertAlign w:val="superscript"/>
                <w:lang w:bidi="ar"/>
              </w:rPr>
              <w:t>-10</w:t>
            </w:r>
            <w:r>
              <w:rPr>
                <w:color w:val="auto"/>
                <w:kern w:val="0"/>
                <w:szCs w:val="21"/>
                <w:lang w:bidi="ar"/>
              </w:rPr>
              <w:t>cm/s）；一般防渗区（</w:t>
            </w:r>
            <w:r>
              <w:rPr>
                <w:rFonts w:hint="eastAsia"/>
                <w:color w:val="auto"/>
                <w:kern w:val="0"/>
                <w:szCs w:val="21"/>
                <w:lang w:val="en-US" w:eastAsia="zh-CN" w:bidi="ar"/>
              </w:rPr>
              <w:t>生产</w:t>
            </w:r>
            <w:r>
              <w:rPr>
                <w:color w:val="auto"/>
                <w:kern w:val="0"/>
                <w:szCs w:val="21"/>
                <w:lang w:bidi="ar"/>
              </w:rPr>
              <w:t>车间</w:t>
            </w:r>
            <w:r>
              <w:rPr>
                <w:rFonts w:hint="eastAsia"/>
                <w:color w:val="auto"/>
                <w:kern w:val="0"/>
                <w:szCs w:val="21"/>
                <w:lang w:eastAsia="zh-CN" w:bidi="ar"/>
              </w:rPr>
              <w:t>、</w:t>
            </w:r>
            <w:r>
              <w:rPr>
                <w:rFonts w:hint="eastAsia"/>
                <w:color w:val="auto"/>
                <w:kern w:val="0"/>
                <w:szCs w:val="21"/>
                <w:lang w:val="en-US" w:eastAsia="zh-CN" w:bidi="ar"/>
              </w:rPr>
              <w:t>原料库、成品库</w:t>
            </w:r>
            <w:r>
              <w:rPr>
                <w:color w:val="auto"/>
                <w:kern w:val="0"/>
                <w:szCs w:val="21"/>
                <w:lang w:bidi="ar"/>
              </w:rPr>
              <w:t>）：防渗层的防渗性能不应低于1.5m厚渗透系数为1.0×10</w:t>
            </w:r>
            <w:r>
              <w:rPr>
                <w:color w:val="auto"/>
                <w:kern w:val="0"/>
                <w:szCs w:val="21"/>
                <w:vertAlign w:val="superscript"/>
                <w:lang w:bidi="ar"/>
              </w:rPr>
              <w:t>-7</w:t>
            </w:r>
            <w:r>
              <w:rPr>
                <w:color w:val="auto"/>
                <w:kern w:val="0"/>
                <w:szCs w:val="21"/>
                <w:lang w:bidi="ar"/>
              </w:rPr>
              <w:t>cm/s的黏土层的防渗性能。</w:t>
            </w:r>
          </w:p>
        </w:tc>
        <w:tc>
          <w:tcPr>
            <w:tcW w:w="1210" w:type="pct"/>
            <w:tcBorders>
              <w:tl2br w:val="nil"/>
              <w:tr2bl w:val="nil"/>
            </w:tcBorders>
            <w:noWrap/>
            <w:vAlign w:val="center"/>
          </w:tcPr>
          <w:p w14:paraId="558769FF">
            <w:pPr>
              <w:widowControl/>
              <w:jc w:val="center"/>
              <w:textAlignment w:val="center"/>
              <w:rPr>
                <w:color w:val="auto"/>
                <w:kern w:val="0"/>
                <w:szCs w:val="21"/>
                <w:lang w:bidi="ar"/>
              </w:rPr>
            </w:pPr>
            <w:r>
              <w:rPr>
                <w:rFonts w:hint="eastAsia"/>
                <w:color w:val="auto"/>
                <w:kern w:val="0"/>
                <w:szCs w:val="21"/>
                <w:lang w:val="en-US" w:eastAsia="zh-CN" w:bidi="ar"/>
              </w:rPr>
              <w:t>不变</w:t>
            </w:r>
          </w:p>
        </w:tc>
      </w:tr>
      <w:tr w14:paraId="67460D5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0B187602">
            <w:pPr>
              <w:jc w:val="center"/>
              <w:rPr>
                <w:color w:val="auto"/>
                <w:szCs w:val="21"/>
              </w:rPr>
            </w:pPr>
          </w:p>
        </w:tc>
        <w:tc>
          <w:tcPr>
            <w:tcW w:w="222" w:type="pct"/>
            <w:tcBorders>
              <w:tl2br w:val="nil"/>
              <w:tr2bl w:val="nil"/>
            </w:tcBorders>
            <w:noWrap/>
            <w:vAlign w:val="center"/>
          </w:tcPr>
          <w:p w14:paraId="4473E865">
            <w:pPr>
              <w:widowControl/>
              <w:jc w:val="center"/>
              <w:textAlignment w:val="center"/>
              <w:rPr>
                <w:color w:val="auto"/>
                <w:kern w:val="0"/>
                <w:szCs w:val="21"/>
                <w:lang w:bidi="ar"/>
              </w:rPr>
            </w:pPr>
            <w:r>
              <w:rPr>
                <w:color w:val="auto"/>
                <w:kern w:val="0"/>
                <w:szCs w:val="21"/>
                <w:lang w:bidi="ar"/>
              </w:rPr>
              <w:t>绿化</w:t>
            </w:r>
          </w:p>
        </w:tc>
        <w:tc>
          <w:tcPr>
            <w:tcW w:w="1138" w:type="pct"/>
            <w:gridSpan w:val="2"/>
            <w:tcBorders>
              <w:tl2br w:val="nil"/>
              <w:tr2bl w:val="nil"/>
            </w:tcBorders>
            <w:shd w:val="clear" w:color="auto" w:fill="auto"/>
            <w:noWrap/>
            <w:vAlign w:val="center"/>
          </w:tcPr>
          <w:p w14:paraId="2DA730FA">
            <w:pPr>
              <w:widowControl/>
              <w:jc w:val="center"/>
              <w:textAlignment w:val="center"/>
              <w:rPr>
                <w:rFonts w:hint="eastAsia" w:ascii="Times New Roman" w:hAnsi="Times New Roman" w:eastAsia="宋体" w:cs="Times New Roman"/>
                <w:color w:val="auto"/>
                <w:kern w:val="0"/>
                <w:sz w:val="21"/>
                <w:szCs w:val="21"/>
                <w:lang w:val="en-US" w:eastAsia="zh-CN" w:bidi="ar"/>
              </w:rPr>
            </w:pPr>
            <w:r>
              <w:rPr>
                <w:color w:val="auto"/>
              </w:rPr>
              <w:t>厂区绿地率为30%</w:t>
            </w:r>
          </w:p>
        </w:tc>
        <w:tc>
          <w:tcPr>
            <w:tcW w:w="3184" w:type="dxa"/>
            <w:tcBorders>
              <w:tl2br w:val="nil"/>
              <w:tr2bl w:val="nil"/>
            </w:tcBorders>
            <w:noWrap/>
            <w:vAlign w:val="center"/>
          </w:tcPr>
          <w:p w14:paraId="478159A5">
            <w:pPr>
              <w:widowControl/>
              <w:jc w:val="center"/>
              <w:textAlignment w:val="center"/>
              <w:rPr>
                <w:color w:val="auto"/>
              </w:rPr>
            </w:pPr>
            <w:r>
              <w:rPr>
                <w:color w:val="auto"/>
              </w:rPr>
              <w:t>厂区绿地率为30%</w:t>
            </w:r>
          </w:p>
        </w:tc>
        <w:tc>
          <w:tcPr>
            <w:tcW w:w="1138" w:type="pct"/>
            <w:tcBorders>
              <w:tl2br w:val="nil"/>
              <w:tr2bl w:val="nil"/>
            </w:tcBorders>
            <w:noWrap/>
            <w:vAlign w:val="center"/>
          </w:tcPr>
          <w:p w14:paraId="020EA8D6">
            <w:pPr>
              <w:widowControl/>
              <w:jc w:val="center"/>
              <w:textAlignment w:val="center"/>
              <w:rPr>
                <w:color w:val="auto"/>
                <w:kern w:val="0"/>
                <w:szCs w:val="21"/>
                <w:lang w:bidi="ar"/>
              </w:rPr>
            </w:pPr>
            <w:r>
              <w:rPr>
                <w:color w:val="auto"/>
              </w:rPr>
              <w:t>厂区绿地率为30%</w:t>
            </w:r>
          </w:p>
        </w:tc>
        <w:tc>
          <w:tcPr>
            <w:tcW w:w="1210" w:type="pct"/>
            <w:tcBorders>
              <w:tl2br w:val="nil"/>
              <w:tr2bl w:val="nil"/>
            </w:tcBorders>
            <w:noWrap/>
            <w:vAlign w:val="center"/>
          </w:tcPr>
          <w:p w14:paraId="076FCE32">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不变</w:t>
            </w:r>
          </w:p>
        </w:tc>
      </w:tr>
    </w:tbl>
    <w:p w14:paraId="071A7319">
      <w:pPr>
        <w:spacing w:line="360" w:lineRule="auto"/>
        <w:ind w:firstLine="480" w:firstLineChars="200"/>
        <w:rPr>
          <w:color w:val="auto"/>
          <w:sz w:val="24"/>
          <w:szCs w:val="32"/>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472A2C9D">
      <w:pPr>
        <w:spacing w:line="360" w:lineRule="auto"/>
        <w:outlineLvl w:val="2"/>
        <w:rPr>
          <w:b/>
          <w:bCs/>
          <w:color w:val="auto"/>
          <w:sz w:val="24"/>
          <w:szCs w:val="32"/>
        </w:rPr>
      </w:pPr>
      <w:r>
        <w:rPr>
          <w:b/>
          <w:bCs/>
          <w:color w:val="auto"/>
          <w:sz w:val="24"/>
          <w:szCs w:val="32"/>
        </w:rPr>
        <w:t>3.1.2生产规模</w:t>
      </w:r>
    </w:p>
    <w:p w14:paraId="37FE6C76">
      <w:pPr>
        <w:spacing w:line="360" w:lineRule="auto"/>
        <w:ind w:firstLine="480" w:firstLineChars="200"/>
        <w:rPr>
          <w:color w:val="auto"/>
          <w:sz w:val="24"/>
          <w:szCs w:val="32"/>
        </w:rPr>
      </w:pPr>
      <w:r>
        <w:rPr>
          <w:rFonts w:hint="eastAsia"/>
          <w:color w:val="auto"/>
          <w:sz w:val="24"/>
          <w:szCs w:val="32"/>
        </w:rPr>
        <w:t>环评一期</w:t>
      </w:r>
      <w:r>
        <w:rPr>
          <w:rFonts w:hint="eastAsia"/>
          <w:color w:val="auto"/>
          <w:sz w:val="24"/>
          <w:szCs w:val="32"/>
          <w:lang w:val="en-US" w:eastAsia="zh-CN"/>
        </w:rPr>
        <w:t>工程</w:t>
      </w:r>
      <w:r>
        <w:rPr>
          <w:rFonts w:hint="eastAsia"/>
          <w:color w:val="auto"/>
          <w:sz w:val="24"/>
          <w:szCs w:val="32"/>
        </w:rPr>
        <w:t>、</w:t>
      </w:r>
      <w:r>
        <w:rPr>
          <w:rFonts w:hint="eastAsia"/>
          <w:color w:val="auto"/>
          <w:sz w:val="24"/>
          <w:szCs w:val="32"/>
          <w:lang w:val="en-US" w:eastAsia="zh-CN"/>
        </w:rPr>
        <w:t>阶段性环保</w:t>
      </w:r>
      <w:r>
        <w:rPr>
          <w:rFonts w:hint="eastAsia"/>
          <w:color w:val="auto"/>
          <w:sz w:val="24"/>
          <w:szCs w:val="32"/>
        </w:rPr>
        <w:t>验收及后评价阶段产品方案</w:t>
      </w:r>
      <w:r>
        <w:rPr>
          <w:rFonts w:hint="eastAsia"/>
          <w:color w:val="auto"/>
          <w:sz w:val="24"/>
          <w:szCs w:val="32"/>
          <w:lang w:val="en-US" w:eastAsia="zh-CN"/>
        </w:rPr>
        <w:t>情况见下表</w:t>
      </w:r>
      <w:r>
        <w:rPr>
          <w:color w:val="auto"/>
          <w:sz w:val="24"/>
          <w:szCs w:val="32"/>
        </w:rPr>
        <w:t>：</w:t>
      </w:r>
    </w:p>
    <w:p w14:paraId="3693B426">
      <w:pPr>
        <w:spacing w:line="360" w:lineRule="auto"/>
        <w:jc w:val="center"/>
        <w:rPr>
          <w:b/>
          <w:bCs/>
          <w:color w:val="auto"/>
          <w:sz w:val="24"/>
          <w:szCs w:val="32"/>
        </w:rPr>
      </w:pPr>
      <w:r>
        <w:rPr>
          <w:b/>
          <w:bCs/>
          <w:color w:val="auto"/>
          <w:sz w:val="24"/>
          <w:szCs w:val="32"/>
        </w:rPr>
        <w:t xml:space="preserve">表3-2 </w:t>
      </w:r>
      <w:r>
        <w:rPr>
          <w:rFonts w:hint="eastAsia"/>
          <w:b/>
          <w:bCs/>
          <w:color w:val="auto"/>
          <w:sz w:val="24"/>
          <w:szCs w:val="32"/>
        </w:rPr>
        <w:t>环评一期</w:t>
      </w:r>
      <w:r>
        <w:rPr>
          <w:rFonts w:hint="eastAsia"/>
          <w:b/>
          <w:bCs/>
          <w:color w:val="auto"/>
          <w:sz w:val="24"/>
          <w:szCs w:val="32"/>
          <w:lang w:val="en-US" w:eastAsia="zh-CN"/>
        </w:rPr>
        <w:t>工程</w:t>
      </w:r>
      <w:r>
        <w:rPr>
          <w:rFonts w:hint="eastAsia"/>
          <w:b/>
          <w:bCs/>
          <w:color w:val="auto"/>
          <w:sz w:val="24"/>
          <w:szCs w:val="32"/>
        </w:rPr>
        <w:t>、</w:t>
      </w:r>
      <w:r>
        <w:rPr>
          <w:rFonts w:hint="eastAsia"/>
          <w:b/>
          <w:bCs/>
          <w:color w:val="auto"/>
          <w:sz w:val="24"/>
          <w:szCs w:val="32"/>
          <w:lang w:val="en-US" w:eastAsia="zh-CN"/>
        </w:rPr>
        <w:t>阶段性环保</w:t>
      </w:r>
      <w:r>
        <w:rPr>
          <w:rFonts w:hint="eastAsia"/>
          <w:b/>
          <w:bCs/>
          <w:color w:val="auto"/>
          <w:sz w:val="24"/>
          <w:szCs w:val="32"/>
        </w:rPr>
        <w:t>验收及后评价阶段产品方案对比</w:t>
      </w:r>
      <w:r>
        <w:rPr>
          <w:b/>
          <w:bCs/>
          <w:color w:val="auto"/>
          <w:sz w:val="24"/>
          <w:szCs w:val="32"/>
        </w:rPr>
        <w:t>一览表</w:t>
      </w:r>
    </w:p>
    <w:tbl>
      <w:tblPr>
        <w:tblStyle w:val="31"/>
        <w:tblW w:w="499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777"/>
        <w:gridCol w:w="1540"/>
        <w:gridCol w:w="1335"/>
        <w:gridCol w:w="1335"/>
        <w:gridCol w:w="2799"/>
        <w:gridCol w:w="1156"/>
      </w:tblGrid>
      <w:tr w14:paraId="3D336B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893" w:type="pct"/>
            <w:tcBorders>
              <w:tl2br w:val="nil"/>
              <w:tr2bl w:val="nil"/>
            </w:tcBorders>
            <w:vAlign w:val="center"/>
          </w:tcPr>
          <w:p w14:paraId="61553626">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bidi="ar"/>
              </w:rPr>
              <w:t>产品名称</w:t>
            </w:r>
          </w:p>
        </w:tc>
        <w:tc>
          <w:tcPr>
            <w:tcW w:w="774" w:type="pct"/>
            <w:tcBorders>
              <w:tl2br w:val="nil"/>
              <w:tr2bl w:val="nil"/>
            </w:tcBorders>
            <w:vAlign w:val="center"/>
          </w:tcPr>
          <w:p w14:paraId="1D0B3E54">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bidi="ar"/>
              </w:rPr>
              <w:t>环评</w:t>
            </w:r>
            <w:r>
              <w:rPr>
                <w:rFonts w:hint="eastAsia" w:cs="Times New Roman"/>
                <w:b/>
                <w:bCs/>
                <w:color w:val="auto"/>
                <w:kern w:val="0"/>
                <w:szCs w:val="21"/>
                <w:lang w:val="en-US" w:eastAsia="zh-CN" w:bidi="ar"/>
              </w:rPr>
              <w:t>阶段</w:t>
            </w:r>
            <w:r>
              <w:rPr>
                <w:rFonts w:hint="default" w:ascii="Times New Roman" w:hAnsi="Times New Roman" w:cs="Times New Roman"/>
                <w:b/>
                <w:bCs/>
                <w:color w:val="auto"/>
                <w:kern w:val="0"/>
                <w:szCs w:val="21"/>
                <w:lang w:bidi="ar"/>
              </w:rPr>
              <w:t>产品方案(t/a)</w:t>
            </w:r>
          </w:p>
        </w:tc>
        <w:tc>
          <w:tcPr>
            <w:tcW w:w="671" w:type="pct"/>
            <w:tcBorders>
              <w:tl2br w:val="nil"/>
              <w:tr2bl w:val="nil"/>
            </w:tcBorders>
            <w:vAlign w:val="center"/>
          </w:tcPr>
          <w:p w14:paraId="3F3D7679">
            <w:pPr>
              <w:widowControl/>
              <w:jc w:val="center"/>
              <w:textAlignment w:val="center"/>
              <w:rPr>
                <w:rFonts w:hint="default" w:ascii="Times New Roman" w:hAnsi="Times New Roman" w:cs="Times New Roman"/>
                <w:b/>
                <w:bCs/>
                <w:color w:val="auto"/>
                <w:kern w:val="0"/>
                <w:szCs w:val="21"/>
                <w:lang w:bidi="ar"/>
              </w:rPr>
            </w:pPr>
            <w:r>
              <w:rPr>
                <w:rFonts w:hint="eastAsia" w:cs="Times New Roman"/>
                <w:b/>
                <w:bCs/>
                <w:color w:val="auto"/>
                <w:kern w:val="0"/>
                <w:szCs w:val="21"/>
                <w:lang w:val="en-US" w:eastAsia="zh-CN" w:bidi="ar"/>
              </w:rPr>
              <w:t>验收</w:t>
            </w:r>
            <w:r>
              <w:rPr>
                <w:rFonts w:hint="default" w:ascii="Times New Roman" w:hAnsi="Times New Roman" w:cs="Times New Roman"/>
                <w:b/>
                <w:bCs/>
                <w:color w:val="auto"/>
                <w:kern w:val="0"/>
                <w:szCs w:val="21"/>
                <w:lang w:val="en-US" w:eastAsia="zh-CN" w:bidi="ar"/>
              </w:rPr>
              <w:t>阶段</w:t>
            </w:r>
            <w:r>
              <w:rPr>
                <w:rFonts w:hint="default" w:ascii="Times New Roman" w:hAnsi="Times New Roman" w:cs="Times New Roman"/>
                <w:b/>
                <w:bCs/>
                <w:color w:val="auto"/>
                <w:kern w:val="0"/>
                <w:szCs w:val="21"/>
                <w:lang w:bidi="ar"/>
              </w:rPr>
              <w:t>产品方案(t/a)</w:t>
            </w:r>
          </w:p>
        </w:tc>
        <w:tc>
          <w:tcPr>
            <w:tcW w:w="671" w:type="pct"/>
            <w:tcBorders>
              <w:tl2br w:val="nil"/>
              <w:tr2bl w:val="nil"/>
            </w:tcBorders>
            <w:vAlign w:val="center"/>
          </w:tcPr>
          <w:p w14:paraId="5362CCEB">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val="en-US" w:eastAsia="zh-CN" w:bidi="ar"/>
              </w:rPr>
              <w:t>后评价阶段产品方案</w:t>
            </w:r>
            <w:r>
              <w:rPr>
                <w:rFonts w:hint="default" w:ascii="Times New Roman" w:hAnsi="Times New Roman" w:cs="Times New Roman"/>
                <w:b/>
                <w:bCs/>
                <w:color w:val="auto"/>
                <w:kern w:val="0"/>
                <w:szCs w:val="21"/>
                <w:lang w:bidi="ar"/>
              </w:rPr>
              <w:t>(t/a)</w:t>
            </w:r>
          </w:p>
        </w:tc>
        <w:tc>
          <w:tcPr>
            <w:tcW w:w="1407" w:type="pct"/>
            <w:tcBorders>
              <w:tl2br w:val="nil"/>
              <w:tr2bl w:val="nil"/>
            </w:tcBorders>
            <w:vAlign w:val="center"/>
          </w:tcPr>
          <w:p w14:paraId="099DBCA1">
            <w:pPr>
              <w:widowControl/>
              <w:jc w:val="center"/>
              <w:textAlignment w:val="center"/>
              <w:rPr>
                <w:rFonts w:hint="default" w:ascii="Times New Roman" w:hAnsi="Times New Roman" w:cs="Times New Roman"/>
                <w:b/>
                <w:bCs/>
                <w:color w:val="auto"/>
                <w:kern w:val="0"/>
                <w:szCs w:val="21"/>
                <w:lang w:val="en-US" w:eastAsia="zh-CN" w:bidi="ar"/>
              </w:rPr>
            </w:pPr>
            <w:r>
              <w:rPr>
                <w:rFonts w:hint="default" w:ascii="Times New Roman" w:hAnsi="Times New Roman" w:cs="Times New Roman"/>
                <w:b/>
                <w:bCs/>
                <w:color w:val="auto"/>
                <w:szCs w:val="21"/>
              </w:rPr>
              <w:t>生产时间</w:t>
            </w:r>
          </w:p>
        </w:tc>
        <w:tc>
          <w:tcPr>
            <w:tcW w:w="581" w:type="pct"/>
            <w:tcBorders>
              <w:tl2br w:val="nil"/>
              <w:tr2bl w:val="nil"/>
            </w:tcBorders>
            <w:vAlign w:val="center"/>
          </w:tcPr>
          <w:p w14:paraId="105C3A40">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bidi="ar"/>
              </w:rPr>
              <w:t>备注</w:t>
            </w:r>
          </w:p>
        </w:tc>
      </w:tr>
      <w:tr w14:paraId="6FB3B5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893" w:type="pct"/>
            <w:tcBorders>
              <w:tl2br w:val="nil"/>
              <w:tr2bl w:val="nil"/>
            </w:tcBorders>
            <w:vAlign w:val="center"/>
          </w:tcPr>
          <w:p w14:paraId="34ACD0F0">
            <w:pPr>
              <w:widowControl/>
              <w:jc w:val="center"/>
              <w:textAlignment w:val="center"/>
              <w:rPr>
                <w:rFonts w:hint="default" w:ascii="Times New Roman" w:hAnsi="Times New Roman" w:cs="Times New Roman"/>
                <w:color w:val="auto"/>
                <w:szCs w:val="21"/>
              </w:rPr>
            </w:pPr>
            <w:r>
              <w:rPr>
                <w:rFonts w:hint="eastAsia"/>
                <w:color w:val="auto"/>
                <w:szCs w:val="21"/>
              </w:rPr>
              <w:t>铝硅系铸造铝合金锭</w:t>
            </w:r>
          </w:p>
        </w:tc>
        <w:tc>
          <w:tcPr>
            <w:tcW w:w="774" w:type="pct"/>
            <w:tcBorders>
              <w:tl2br w:val="nil"/>
              <w:tr2bl w:val="nil"/>
            </w:tcBorders>
            <w:shd w:val="clear" w:color="auto" w:fill="auto"/>
            <w:vAlign w:val="center"/>
          </w:tcPr>
          <w:p w14:paraId="64D85423">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671" w:type="pct"/>
            <w:tcBorders>
              <w:tl2br w:val="nil"/>
              <w:tr2bl w:val="nil"/>
            </w:tcBorders>
            <w:shd w:val="clear" w:color="auto" w:fill="auto"/>
            <w:vAlign w:val="center"/>
          </w:tcPr>
          <w:p w14:paraId="7CE6802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671" w:type="pct"/>
            <w:tcBorders>
              <w:tl2br w:val="nil"/>
              <w:tr2bl w:val="nil"/>
            </w:tcBorders>
            <w:shd w:val="clear" w:color="auto" w:fill="auto"/>
            <w:vAlign w:val="center"/>
          </w:tcPr>
          <w:p w14:paraId="5A20B175">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1407" w:type="pct"/>
            <w:tcBorders>
              <w:tl2br w:val="nil"/>
              <w:tr2bl w:val="nil"/>
            </w:tcBorders>
            <w:shd w:val="clear" w:color="auto" w:fill="auto"/>
            <w:vAlign w:val="center"/>
          </w:tcPr>
          <w:p w14:paraId="0DF8613F">
            <w:pPr>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Cs w:val="21"/>
              </w:rPr>
              <w:t>年生产300天，7200小时</w:t>
            </w:r>
          </w:p>
        </w:tc>
        <w:tc>
          <w:tcPr>
            <w:tcW w:w="581" w:type="pct"/>
            <w:tcBorders>
              <w:tl2br w:val="nil"/>
              <w:tr2bl w:val="nil"/>
            </w:tcBorders>
            <w:vAlign w:val="center"/>
          </w:tcPr>
          <w:p w14:paraId="786152F1">
            <w:pPr>
              <w:widowControl/>
              <w:jc w:val="center"/>
              <w:textAlignment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w:t>
            </w:r>
          </w:p>
        </w:tc>
      </w:tr>
      <w:tr w14:paraId="3E53F7B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893" w:type="pct"/>
            <w:tcBorders>
              <w:tl2br w:val="nil"/>
              <w:tr2bl w:val="nil"/>
            </w:tcBorders>
            <w:vAlign w:val="center"/>
          </w:tcPr>
          <w:p w14:paraId="76EA0BEE">
            <w:pPr>
              <w:widowControl/>
              <w:jc w:val="center"/>
              <w:textAlignment w:val="center"/>
              <w:rPr>
                <w:rFonts w:hint="default" w:ascii="Times New Roman" w:hAnsi="Times New Roman" w:eastAsia="宋体" w:cs="Times New Roman"/>
                <w:color w:val="auto"/>
                <w:kern w:val="0"/>
                <w:szCs w:val="21"/>
                <w:lang w:val="en-US" w:eastAsia="zh-CN" w:bidi="ar"/>
              </w:rPr>
            </w:pPr>
            <w:r>
              <w:rPr>
                <w:rFonts w:hint="eastAsia" w:ascii="Times New Roman" w:hAnsi="Times New Roman" w:cs="Times New Roman"/>
                <w:color w:val="auto"/>
                <w:kern w:val="0"/>
                <w:szCs w:val="21"/>
                <w:lang w:val="en-US" w:eastAsia="zh-CN" w:bidi="ar"/>
              </w:rPr>
              <w:t>合计</w:t>
            </w:r>
          </w:p>
        </w:tc>
        <w:tc>
          <w:tcPr>
            <w:tcW w:w="1540" w:type="dxa"/>
            <w:tcBorders>
              <w:tl2br w:val="nil"/>
              <w:tr2bl w:val="nil"/>
            </w:tcBorders>
            <w:shd w:val="clear" w:color="auto" w:fill="auto"/>
            <w:vAlign w:val="center"/>
          </w:tcPr>
          <w:p w14:paraId="3EF4ECE0">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1335" w:type="dxa"/>
            <w:tcBorders>
              <w:tl2br w:val="nil"/>
              <w:tr2bl w:val="nil"/>
            </w:tcBorders>
            <w:shd w:val="clear" w:color="auto" w:fill="auto"/>
            <w:vAlign w:val="center"/>
          </w:tcPr>
          <w:p w14:paraId="61176EB9">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szCs w:val="21"/>
                <w:lang w:val="en-US" w:eastAsia="zh-CN"/>
              </w:rPr>
              <w:t>50500</w:t>
            </w:r>
          </w:p>
        </w:tc>
        <w:tc>
          <w:tcPr>
            <w:tcW w:w="1335" w:type="dxa"/>
            <w:tcBorders>
              <w:tl2br w:val="nil"/>
              <w:tr2bl w:val="nil"/>
            </w:tcBorders>
            <w:shd w:val="clear" w:color="auto" w:fill="auto"/>
            <w:vAlign w:val="center"/>
          </w:tcPr>
          <w:p w14:paraId="28F15C0C">
            <w:pPr>
              <w:widowControl/>
              <w:jc w:val="center"/>
              <w:textAlignment w:val="center"/>
              <w:rPr>
                <w:rFonts w:hint="default" w:ascii="Times New Roman" w:hAnsi="Times New Roman" w:cs="Times New Roman"/>
                <w:color w:val="auto"/>
                <w:kern w:val="0"/>
                <w:szCs w:val="21"/>
                <w:lang w:bidi="ar"/>
              </w:rPr>
            </w:pPr>
            <w:r>
              <w:rPr>
                <w:rFonts w:hint="eastAsia" w:cs="Times New Roman"/>
                <w:color w:val="auto"/>
                <w:szCs w:val="21"/>
                <w:lang w:val="en-US" w:eastAsia="zh-CN"/>
              </w:rPr>
              <w:t>50500</w:t>
            </w:r>
          </w:p>
        </w:tc>
        <w:tc>
          <w:tcPr>
            <w:tcW w:w="1407" w:type="pct"/>
            <w:tcBorders>
              <w:tl2br w:val="nil"/>
              <w:tr2bl w:val="nil"/>
            </w:tcBorders>
            <w:shd w:val="clear" w:color="auto" w:fill="auto"/>
            <w:vAlign w:val="center"/>
          </w:tcPr>
          <w:p w14:paraId="22DACC3D">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c>
          <w:tcPr>
            <w:tcW w:w="581" w:type="pct"/>
            <w:tcBorders>
              <w:tl2br w:val="nil"/>
              <w:tr2bl w:val="nil"/>
            </w:tcBorders>
            <w:vAlign w:val="center"/>
          </w:tcPr>
          <w:p w14:paraId="1028B194">
            <w:pPr>
              <w:widowControl/>
              <w:jc w:val="center"/>
              <w:textAlignment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r>
    </w:tbl>
    <w:p w14:paraId="7B336547">
      <w:pPr>
        <w:spacing w:line="360" w:lineRule="auto"/>
        <w:ind w:firstLine="480" w:firstLineChars="200"/>
        <w:rPr>
          <w:color w:val="auto"/>
          <w:sz w:val="24"/>
          <w:szCs w:val="32"/>
        </w:rPr>
      </w:pPr>
    </w:p>
    <w:p w14:paraId="7B644954">
      <w:pPr>
        <w:spacing w:line="360" w:lineRule="auto"/>
        <w:ind w:firstLine="480" w:firstLineChars="200"/>
        <w:rPr>
          <w:color w:val="auto"/>
          <w:sz w:val="24"/>
          <w:szCs w:val="32"/>
        </w:rPr>
      </w:pPr>
      <w:r>
        <w:rPr>
          <w:color w:val="auto"/>
          <w:sz w:val="24"/>
          <w:szCs w:val="32"/>
        </w:rPr>
        <w:t>项目产品</w:t>
      </w:r>
      <w:r>
        <w:rPr>
          <w:rFonts w:hint="eastAsia"/>
          <w:color w:val="auto"/>
          <w:sz w:val="24"/>
          <w:szCs w:val="32"/>
          <w:lang w:val="en-US" w:eastAsia="zh-CN"/>
        </w:rPr>
        <w:t>质量规格</w:t>
      </w:r>
      <w:r>
        <w:rPr>
          <w:color w:val="auto"/>
          <w:sz w:val="24"/>
          <w:szCs w:val="32"/>
        </w:rPr>
        <w:t>如下：</w:t>
      </w:r>
    </w:p>
    <w:p w14:paraId="613DE316">
      <w:pPr>
        <w:spacing w:line="360" w:lineRule="auto"/>
        <w:jc w:val="center"/>
        <w:rPr>
          <w:b/>
          <w:bCs/>
          <w:color w:val="auto"/>
          <w:sz w:val="24"/>
          <w:szCs w:val="32"/>
        </w:rPr>
      </w:pPr>
      <w:r>
        <w:rPr>
          <w:b/>
          <w:bCs/>
          <w:color w:val="auto"/>
          <w:sz w:val="24"/>
          <w:szCs w:val="32"/>
        </w:rPr>
        <w:t>表</w:t>
      </w:r>
      <w:r>
        <w:rPr>
          <w:rFonts w:hint="eastAsia"/>
          <w:b/>
          <w:bCs/>
          <w:color w:val="auto"/>
          <w:sz w:val="24"/>
          <w:szCs w:val="32"/>
          <w:lang w:val="en-US" w:eastAsia="zh-CN"/>
        </w:rPr>
        <w:t>3-3</w:t>
      </w:r>
      <w:r>
        <w:rPr>
          <w:b/>
          <w:bCs/>
          <w:color w:val="auto"/>
          <w:sz w:val="24"/>
          <w:szCs w:val="32"/>
        </w:rPr>
        <w:t xml:space="preserve"> </w:t>
      </w:r>
      <w:r>
        <w:rPr>
          <w:rFonts w:hint="eastAsia"/>
          <w:b/>
          <w:bCs/>
          <w:color w:val="auto"/>
          <w:sz w:val="24"/>
          <w:szCs w:val="32"/>
          <w:lang w:val="en-US" w:eastAsia="zh-CN"/>
        </w:rPr>
        <w:t>项目</w:t>
      </w:r>
      <w:r>
        <w:rPr>
          <w:b/>
          <w:bCs/>
          <w:color w:val="auto"/>
          <w:sz w:val="24"/>
          <w:szCs w:val="32"/>
        </w:rPr>
        <w:t>产品质量</w:t>
      </w:r>
      <w:r>
        <w:rPr>
          <w:rFonts w:hint="eastAsia"/>
          <w:b/>
          <w:bCs/>
          <w:color w:val="auto"/>
          <w:sz w:val="24"/>
          <w:szCs w:val="32"/>
          <w:lang w:val="en-US" w:eastAsia="zh-CN"/>
        </w:rPr>
        <w:t>规格</w:t>
      </w:r>
      <w:r>
        <w:rPr>
          <w:b/>
          <w:bCs/>
          <w:color w:val="auto"/>
          <w:sz w:val="24"/>
          <w:szCs w:val="32"/>
        </w:rPr>
        <w:t>一览表</w:t>
      </w:r>
    </w:p>
    <w:tbl>
      <w:tblPr>
        <w:tblStyle w:val="31"/>
        <w:tblW w:w="4998"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70"/>
        <w:gridCol w:w="1797"/>
        <w:gridCol w:w="1596"/>
        <w:gridCol w:w="2054"/>
        <w:gridCol w:w="3741"/>
      </w:tblGrid>
      <w:tr w14:paraId="786F756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74" w:hRule="atLeast"/>
          <w:jc w:val="center"/>
        </w:trPr>
        <w:tc>
          <w:tcPr>
            <w:tcW w:w="387" w:type="pct"/>
            <w:tcBorders>
              <w:tl2br w:val="nil"/>
              <w:tr2bl w:val="nil"/>
            </w:tcBorders>
            <w:shd w:val="clear" w:color="auto" w:fill="auto"/>
            <w:noWrap w:val="0"/>
            <w:vAlign w:val="center"/>
          </w:tcPr>
          <w:p w14:paraId="6458F290">
            <w:pPr>
              <w:spacing w:before="31" w:beforeLines="10" w:line="264" w:lineRule="auto"/>
              <w:jc w:val="center"/>
              <w:rPr>
                <w:b/>
                <w:color w:val="auto"/>
              </w:rPr>
            </w:pPr>
            <w:r>
              <w:rPr>
                <w:rFonts w:hint="eastAsia"/>
                <w:b/>
                <w:color w:val="auto"/>
              </w:rPr>
              <w:t>序号</w:t>
            </w:r>
          </w:p>
        </w:tc>
        <w:tc>
          <w:tcPr>
            <w:tcW w:w="902" w:type="pct"/>
            <w:tcBorders>
              <w:tl2br w:val="nil"/>
              <w:tr2bl w:val="nil"/>
            </w:tcBorders>
            <w:shd w:val="clear" w:color="auto" w:fill="auto"/>
            <w:noWrap w:val="0"/>
            <w:vAlign w:val="center"/>
          </w:tcPr>
          <w:p w14:paraId="4476143C">
            <w:pPr>
              <w:spacing w:before="31" w:beforeLines="10" w:line="264" w:lineRule="auto"/>
              <w:jc w:val="center"/>
              <w:rPr>
                <w:b/>
                <w:color w:val="auto"/>
              </w:rPr>
            </w:pPr>
            <w:r>
              <w:rPr>
                <w:rFonts w:hint="eastAsia"/>
                <w:b/>
                <w:color w:val="auto"/>
              </w:rPr>
              <w:t>工程</w:t>
            </w:r>
            <w:r>
              <w:rPr>
                <w:b/>
                <w:color w:val="auto"/>
              </w:rPr>
              <w:t>名称</w:t>
            </w:r>
          </w:p>
        </w:tc>
        <w:tc>
          <w:tcPr>
            <w:tcW w:w="801" w:type="pct"/>
            <w:tcBorders>
              <w:tl2br w:val="nil"/>
              <w:tr2bl w:val="nil"/>
            </w:tcBorders>
            <w:shd w:val="clear" w:color="auto" w:fill="auto"/>
            <w:noWrap w:val="0"/>
            <w:vAlign w:val="center"/>
          </w:tcPr>
          <w:p w14:paraId="0CDAAEEA">
            <w:pPr>
              <w:spacing w:before="31" w:beforeLines="10" w:line="264" w:lineRule="auto"/>
              <w:jc w:val="center"/>
              <w:rPr>
                <w:b/>
                <w:color w:val="auto"/>
              </w:rPr>
            </w:pPr>
            <w:r>
              <w:rPr>
                <w:b/>
                <w:color w:val="auto"/>
              </w:rPr>
              <w:t>产品</w:t>
            </w:r>
            <w:r>
              <w:rPr>
                <w:rFonts w:hint="eastAsia"/>
                <w:b/>
                <w:color w:val="auto"/>
              </w:rPr>
              <w:t>标号</w:t>
            </w:r>
          </w:p>
        </w:tc>
        <w:tc>
          <w:tcPr>
            <w:tcW w:w="1031" w:type="pct"/>
            <w:tcBorders>
              <w:tl2br w:val="nil"/>
              <w:tr2bl w:val="nil"/>
            </w:tcBorders>
            <w:shd w:val="clear" w:color="auto" w:fill="auto"/>
            <w:noWrap w:val="0"/>
            <w:vAlign w:val="center"/>
          </w:tcPr>
          <w:p w14:paraId="2C77F734">
            <w:pPr>
              <w:spacing w:before="31" w:beforeLines="10" w:line="264" w:lineRule="auto"/>
              <w:jc w:val="center"/>
              <w:rPr>
                <w:b/>
                <w:color w:val="auto"/>
              </w:rPr>
            </w:pPr>
            <w:r>
              <w:rPr>
                <w:rFonts w:hint="eastAsia"/>
                <w:b/>
                <w:color w:val="auto"/>
              </w:rPr>
              <w:t>规格</w:t>
            </w:r>
          </w:p>
        </w:tc>
        <w:tc>
          <w:tcPr>
            <w:tcW w:w="1878" w:type="pct"/>
            <w:tcBorders>
              <w:tl2br w:val="nil"/>
              <w:tr2bl w:val="nil"/>
            </w:tcBorders>
            <w:shd w:val="clear" w:color="auto" w:fill="auto"/>
            <w:noWrap w:val="0"/>
            <w:vAlign w:val="center"/>
          </w:tcPr>
          <w:p w14:paraId="0931213A">
            <w:pPr>
              <w:spacing w:before="31" w:beforeLines="10" w:line="264" w:lineRule="auto"/>
              <w:jc w:val="center"/>
              <w:rPr>
                <w:b/>
                <w:color w:val="auto"/>
              </w:rPr>
            </w:pPr>
            <w:r>
              <w:rPr>
                <w:rFonts w:hint="eastAsia"/>
                <w:b/>
                <w:color w:val="auto"/>
              </w:rPr>
              <w:t>主要成分</w:t>
            </w:r>
          </w:p>
        </w:tc>
      </w:tr>
      <w:tr w14:paraId="13FB6B6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387" w:type="pct"/>
            <w:tcBorders>
              <w:tl2br w:val="nil"/>
              <w:tr2bl w:val="nil"/>
            </w:tcBorders>
            <w:shd w:val="clear" w:color="auto" w:fill="auto"/>
            <w:noWrap w:val="0"/>
            <w:vAlign w:val="center"/>
          </w:tcPr>
          <w:p w14:paraId="7DD86BA1">
            <w:pPr>
              <w:spacing w:before="31" w:beforeLines="10" w:line="264" w:lineRule="auto"/>
              <w:jc w:val="center"/>
              <w:rPr>
                <w:color w:val="auto"/>
              </w:rPr>
            </w:pPr>
            <w:r>
              <w:rPr>
                <w:rFonts w:hint="eastAsia"/>
                <w:color w:val="auto"/>
              </w:rPr>
              <w:t>1</w:t>
            </w:r>
          </w:p>
        </w:tc>
        <w:tc>
          <w:tcPr>
            <w:tcW w:w="902" w:type="pct"/>
            <w:tcBorders>
              <w:tl2br w:val="nil"/>
              <w:tr2bl w:val="nil"/>
            </w:tcBorders>
            <w:shd w:val="clear" w:color="auto" w:fill="auto"/>
            <w:noWrap w:val="0"/>
            <w:vAlign w:val="center"/>
          </w:tcPr>
          <w:p w14:paraId="77656BC1">
            <w:pPr>
              <w:spacing w:before="31" w:beforeLines="10" w:line="264" w:lineRule="auto"/>
              <w:jc w:val="center"/>
              <w:rPr>
                <w:color w:val="auto"/>
                <w:szCs w:val="21"/>
              </w:rPr>
            </w:pPr>
            <w:r>
              <w:rPr>
                <w:rFonts w:hint="eastAsia"/>
                <w:color w:val="auto"/>
                <w:szCs w:val="21"/>
              </w:rPr>
              <w:t>铝硅系铸造铝合金锭</w:t>
            </w:r>
          </w:p>
        </w:tc>
        <w:tc>
          <w:tcPr>
            <w:tcW w:w="801" w:type="pct"/>
            <w:tcBorders>
              <w:tl2br w:val="nil"/>
              <w:tr2bl w:val="nil"/>
            </w:tcBorders>
            <w:shd w:val="clear" w:color="auto" w:fill="auto"/>
            <w:noWrap w:val="0"/>
            <w:vAlign w:val="center"/>
          </w:tcPr>
          <w:p w14:paraId="7B21656D">
            <w:pPr>
              <w:spacing w:before="31" w:beforeLines="10" w:line="264" w:lineRule="auto"/>
              <w:jc w:val="center"/>
              <w:rPr>
                <w:color w:val="auto"/>
                <w:szCs w:val="21"/>
              </w:rPr>
            </w:pPr>
            <w:r>
              <w:rPr>
                <w:color w:val="auto"/>
                <w:spacing w:val="4"/>
                <w:szCs w:val="21"/>
              </w:rPr>
              <w:t>ADC12等</w:t>
            </w:r>
          </w:p>
        </w:tc>
        <w:tc>
          <w:tcPr>
            <w:tcW w:w="1031" w:type="pct"/>
            <w:tcBorders>
              <w:tl2br w:val="nil"/>
              <w:tr2bl w:val="nil"/>
            </w:tcBorders>
            <w:shd w:val="clear" w:color="auto" w:fill="auto"/>
            <w:noWrap w:val="0"/>
            <w:vAlign w:val="center"/>
          </w:tcPr>
          <w:p w14:paraId="386CF3CD">
            <w:pPr>
              <w:spacing w:before="31" w:beforeLines="10" w:line="264" w:lineRule="auto"/>
              <w:jc w:val="center"/>
              <w:rPr>
                <w:rFonts w:hint="eastAsia"/>
                <w:color w:val="auto"/>
                <w:szCs w:val="21"/>
              </w:rPr>
            </w:pPr>
            <w:r>
              <w:rPr>
                <w:rFonts w:hint="eastAsia"/>
                <w:color w:val="auto"/>
                <w:szCs w:val="21"/>
              </w:rPr>
              <w:t>长6900mm×宽</w:t>
            </w:r>
          </w:p>
          <w:p w14:paraId="22FA302E">
            <w:pPr>
              <w:spacing w:before="31" w:beforeLines="10" w:line="264" w:lineRule="auto"/>
              <w:jc w:val="center"/>
              <w:rPr>
                <w:color w:val="auto"/>
                <w:szCs w:val="21"/>
              </w:rPr>
            </w:pPr>
            <w:r>
              <w:rPr>
                <w:rFonts w:hint="eastAsia"/>
                <w:color w:val="auto"/>
                <w:szCs w:val="21"/>
              </w:rPr>
              <w:t>82 mm×高50 mm</w:t>
            </w:r>
          </w:p>
        </w:tc>
        <w:tc>
          <w:tcPr>
            <w:tcW w:w="1878" w:type="pct"/>
            <w:tcBorders>
              <w:tl2br w:val="nil"/>
              <w:tr2bl w:val="nil"/>
            </w:tcBorders>
            <w:shd w:val="clear" w:color="auto" w:fill="auto"/>
            <w:noWrap w:val="0"/>
            <w:vAlign w:val="center"/>
          </w:tcPr>
          <w:p w14:paraId="01A407BD">
            <w:pPr>
              <w:jc w:val="center"/>
              <w:rPr>
                <w:color w:val="auto"/>
                <w:szCs w:val="21"/>
              </w:rPr>
            </w:pPr>
            <w:r>
              <w:rPr>
                <w:rFonts w:hint="eastAsia"/>
                <w:color w:val="auto"/>
                <w:szCs w:val="21"/>
              </w:rPr>
              <w:t>含铝85.6%、含硅8～12%、Fe0.6～1.2%、Cu0.5～3%、Mn≤0.5%、Mg≤0.5%、Zn≤2.5%、Ni≤0.5%等</w:t>
            </w:r>
          </w:p>
        </w:tc>
      </w:tr>
    </w:tbl>
    <w:p w14:paraId="2CC7D67E">
      <w:pPr>
        <w:spacing w:line="360" w:lineRule="auto"/>
        <w:jc w:val="center"/>
        <w:rPr>
          <w:b/>
          <w:bCs/>
          <w:color w:val="auto"/>
          <w:sz w:val="24"/>
          <w:szCs w:val="32"/>
        </w:rPr>
      </w:pPr>
    </w:p>
    <w:p w14:paraId="58755CCC">
      <w:pPr>
        <w:spacing w:line="360" w:lineRule="auto"/>
        <w:outlineLvl w:val="2"/>
        <w:rPr>
          <w:b/>
          <w:bCs/>
          <w:color w:val="auto"/>
          <w:sz w:val="24"/>
          <w:szCs w:val="32"/>
        </w:rPr>
      </w:pPr>
      <w:r>
        <w:rPr>
          <w:b/>
          <w:bCs/>
          <w:color w:val="auto"/>
          <w:sz w:val="24"/>
          <w:szCs w:val="32"/>
        </w:rPr>
        <w:t>3.1.3 生产设备情况</w:t>
      </w:r>
    </w:p>
    <w:p w14:paraId="2975ECDB">
      <w:pPr>
        <w:spacing w:line="360" w:lineRule="auto"/>
        <w:ind w:firstLine="480" w:firstLineChars="200"/>
        <w:rPr>
          <w:rFonts w:hint="eastAsia"/>
          <w:color w:val="auto"/>
          <w:sz w:val="24"/>
          <w:szCs w:val="32"/>
          <w:lang w:val="en-US" w:eastAsia="zh-CN"/>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r>
        <w:rPr>
          <w:rFonts w:hint="eastAsia"/>
          <w:color w:val="auto"/>
          <w:sz w:val="24"/>
          <w:szCs w:val="32"/>
          <w:lang w:val="en-US" w:eastAsia="zh-CN"/>
        </w:rPr>
        <w:t>环评一期工程、验收及后评价阶段生产设备对比情况见下表：</w:t>
      </w:r>
    </w:p>
    <w:p w14:paraId="5CA1A1E2">
      <w:pPr>
        <w:spacing w:line="360" w:lineRule="auto"/>
        <w:jc w:val="center"/>
        <w:rPr>
          <w:rFonts w:hint="eastAsia" w:eastAsia="宋体"/>
          <w:b/>
          <w:bCs/>
          <w:color w:val="auto"/>
          <w:sz w:val="24"/>
          <w:szCs w:val="32"/>
          <w:lang w:eastAsia="zh-CN"/>
        </w:rPr>
      </w:pPr>
      <w:r>
        <w:rPr>
          <w:b/>
          <w:bCs/>
          <w:color w:val="auto"/>
          <w:sz w:val="24"/>
          <w:szCs w:val="32"/>
        </w:rPr>
        <w:t>表3-</w:t>
      </w:r>
      <w:r>
        <w:rPr>
          <w:rFonts w:hint="eastAsia"/>
          <w:b/>
          <w:bCs/>
          <w:color w:val="auto"/>
          <w:sz w:val="24"/>
          <w:szCs w:val="32"/>
          <w:lang w:val="en-US" w:eastAsia="zh-CN"/>
        </w:rPr>
        <w:t>4</w:t>
      </w:r>
      <w:r>
        <w:rPr>
          <w:b/>
          <w:bCs/>
          <w:color w:val="auto"/>
          <w:sz w:val="24"/>
          <w:szCs w:val="32"/>
        </w:rPr>
        <w:t xml:space="preserve"> </w:t>
      </w:r>
      <w:r>
        <w:rPr>
          <w:rFonts w:hint="eastAsia"/>
          <w:b/>
          <w:bCs/>
          <w:color w:val="auto"/>
          <w:sz w:val="24"/>
          <w:szCs w:val="32"/>
        </w:rPr>
        <w:t>环评</w:t>
      </w:r>
      <w:r>
        <w:rPr>
          <w:rFonts w:hint="eastAsia"/>
          <w:b/>
          <w:bCs/>
          <w:color w:val="auto"/>
          <w:sz w:val="24"/>
          <w:szCs w:val="32"/>
          <w:lang w:eastAsia="zh-CN"/>
        </w:rPr>
        <w:t>、</w:t>
      </w:r>
      <w:r>
        <w:rPr>
          <w:rFonts w:hint="eastAsia"/>
          <w:b/>
          <w:bCs/>
          <w:color w:val="auto"/>
          <w:sz w:val="24"/>
          <w:szCs w:val="32"/>
        </w:rPr>
        <w:t>验收</w:t>
      </w:r>
      <w:r>
        <w:rPr>
          <w:rFonts w:hint="eastAsia"/>
          <w:b/>
          <w:bCs/>
          <w:color w:val="auto"/>
          <w:sz w:val="24"/>
          <w:szCs w:val="32"/>
          <w:lang w:val="en-US" w:eastAsia="zh-CN"/>
        </w:rPr>
        <w:t>及</w:t>
      </w:r>
      <w:r>
        <w:rPr>
          <w:rFonts w:hint="eastAsia"/>
          <w:b/>
          <w:bCs/>
          <w:color w:val="auto"/>
          <w:sz w:val="24"/>
          <w:szCs w:val="32"/>
        </w:rPr>
        <w:t>后评价阶段</w:t>
      </w:r>
      <w:r>
        <w:rPr>
          <w:rFonts w:hint="eastAsia"/>
          <w:b/>
          <w:bCs/>
          <w:color w:val="auto"/>
          <w:sz w:val="24"/>
          <w:szCs w:val="32"/>
          <w:lang w:val="en-US" w:eastAsia="zh-CN"/>
        </w:rPr>
        <w:t>主要</w:t>
      </w:r>
      <w:r>
        <w:rPr>
          <w:rFonts w:hint="eastAsia"/>
          <w:b/>
          <w:bCs/>
          <w:color w:val="auto"/>
          <w:sz w:val="24"/>
          <w:szCs w:val="32"/>
        </w:rPr>
        <w:t>生产设备对比情况</w:t>
      </w:r>
      <w:r>
        <w:rPr>
          <w:rFonts w:hint="eastAsia"/>
          <w:b/>
          <w:bCs/>
          <w:color w:val="auto"/>
          <w:sz w:val="24"/>
          <w:szCs w:val="32"/>
          <w:lang w:val="en-US" w:eastAsia="zh-CN"/>
        </w:rPr>
        <w:t>一览表</w:t>
      </w:r>
    </w:p>
    <w:tbl>
      <w:tblPr>
        <w:tblStyle w:val="31"/>
        <w:tblW w:w="4999"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097"/>
        <w:gridCol w:w="1513"/>
        <w:gridCol w:w="1590"/>
        <w:gridCol w:w="1592"/>
        <w:gridCol w:w="1588"/>
        <w:gridCol w:w="1594"/>
        <w:gridCol w:w="1471"/>
        <w:gridCol w:w="1477"/>
        <w:gridCol w:w="2251"/>
      </w:tblGrid>
      <w:tr w14:paraId="17765A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87" w:type="pct"/>
            <w:vMerge w:val="restart"/>
            <w:tcBorders>
              <w:tl2br w:val="nil"/>
              <w:tr2bl w:val="nil"/>
            </w:tcBorders>
            <w:vAlign w:val="center"/>
          </w:tcPr>
          <w:p w14:paraId="49DD182C">
            <w:pPr>
              <w:widowControl/>
              <w:jc w:val="center"/>
              <w:textAlignment w:val="center"/>
              <w:rPr>
                <w:b/>
                <w:bCs/>
                <w:color w:val="auto"/>
                <w:szCs w:val="21"/>
              </w:rPr>
            </w:pPr>
            <w:r>
              <w:rPr>
                <w:b/>
                <w:bCs/>
                <w:color w:val="auto"/>
                <w:kern w:val="0"/>
                <w:szCs w:val="21"/>
                <w:lang w:bidi="ar"/>
              </w:rPr>
              <w:t>序号</w:t>
            </w:r>
          </w:p>
        </w:tc>
        <w:tc>
          <w:tcPr>
            <w:tcW w:w="533" w:type="pct"/>
            <w:vMerge w:val="restart"/>
            <w:tcBorders>
              <w:tl2br w:val="nil"/>
              <w:tr2bl w:val="nil"/>
            </w:tcBorders>
            <w:vAlign w:val="center"/>
          </w:tcPr>
          <w:p w14:paraId="7C71266A">
            <w:pPr>
              <w:widowControl/>
              <w:jc w:val="center"/>
              <w:textAlignment w:val="center"/>
              <w:rPr>
                <w:b/>
                <w:bCs/>
                <w:color w:val="auto"/>
                <w:szCs w:val="21"/>
              </w:rPr>
            </w:pPr>
            <w:r>
              <w:rPr>
                <w:b/>
                <w:bCs/>
                <w:color w:val="auto"/>
                <w:kern w:val="0"/>
                <w:szCs w:val="21"/>
                <w:lang w:bidi="ar"/>
              </w:rPr>
              <w:t>设备名称</w:t>
            </w:r>
          </w:p>
        </w:tc>
        <w:tc>
          <w:tcPr>
            <w:tcW w:w="1122" w:type="pct"/>
            <w:gridSpan w:val="2"/>
            <w:tcBorders>
              <w:tl2br w:val="nil"/>
              <w:tr2bl w:val="nil"/>
            </w:tcBorders>
            <w:vAlign w:val="center"/>
          </w:tcPr>
          <w:p w14:paraId="744B43A9">
            <w:pPr>
              <w:widowControl/>
              <w:jc w:val="center"/>
              <w:textAlignment w:val="center"/>
              <w:rPr>
                <w:rFonts w:hint="eastAsia" w:eastAsia="宋体"/>
                <w:b/>
                <w:bCs/>
                <w:color w:val="auto"/>
                <w:szCs w:val="21"/>
                <w:lang w:val="en-US" w:eastAsia="zh-CN"/>
              </w:rPr>
            </w:pPr>
            <w:r>
              <w:rPr>
                <w:b/>
                <w:bCs/>
                <w:color w:val="auto"/>
                <w:kern w:val="0"/>
                <w:szCs w:val="21"/>
                <w:lang w:bidi="ar"/>
              </w:rPr>
              <w:t>环评</w:t>
            </w:r>
            <w:r>
              <w:rPr>
                <w:rFonts w:hint="eastAsia"/>
                <w:b/>
                <w:bCs/>
                <w:color w:val="auto"/>
                <w:kern w:val="0"/>
                <w:szCs w:val="21"/>
                <w:lang w:val="en-US" w:eastAsia="zh-CN" w:bidi="ar"/>
              </w:rPr>
              <w:t>阶段</w:t>
            </w:r>
          </w:p>
        </w:tc>
        <w:tc>
          <w:tcPr>
            <w:tcW w:w="1122" w:type="pct"/>
            <w:gridSpan w:val="2"/>
            <w:tcBorders>
              <w:tl2br w:val="nil"/>
              <w:tr2bl w:val="nil"/>
            </w:tcBorders>
            <w:vAlign w:val="center"/>
          </w:tcPr>
          <w:p w14:paraId="1F54611E">
            <w:pPr>
              <w:widowControl/>
              <w:jc w:val="center"/>
              <w:textAlignment w:val="center"/>
              <w:rPr>
                <w:b/>
                <w:bCs/>
                <w:color w:val="auto"/>
                <w:kern w:val="0"/>
                <w:szCs w:val="21"/>
                <w:lang w:bidi="ar"/>
              </w:rPr>
            </w:pPr>
            <w:r>
              <w:rPr>
                <w:rFonts w:hint="eastAsia"/>
                <w:b/>
                <w:bCs/>
                <w:color w:val="auto"/>
                <w:kern w:val="0"/>
                <w:szCs w:val="21"/>
                <w:lang w:val="en-US" w:eastAsia="zh-CN" w:bidi="ar"/>
              </w:rPr>
              <w:t>验收阶段</w:t>
            </w:r>
          </w:p>
        </w:tc>
        <w:tc>
          <w:tcPr>
            <w:tcW w:w="1040" w:type="pct"/>
            <w:gridSpan w:val="2"/>
            <w:tcBorders>
              <w:tl2br w:val="nil"/>
              <w:tr2bl w:val="nil"/>
            </w:tcBorders>
            <w:vAlign w:val="center"/>
          </w:tcPr>
          <w:p w14:paraId="12BC8641">
            <w:pPr>
              <w:widowControl/>
              <w:jc w:val="center"/>
              <w:textAlignment w:val="center"/>
              <w:rPr>
                <w:rFonts w:hint="default" w:eastAsia="宋体"/>
                <w:b/>
                <w:bCs/>
                <w:color w:val="auto"/>
                <w:szCs w:val="21"/>
                <w:lang w:val="en-US" w:eastAsia="zh-CN"/>
              </w:rPr>
            </w:pPr>
            <w:r>
              <w:rPr>
                <w:rFonts w:hint="eastAsia"/>
                <w:b/>
                <w:bCs/>
                <w:color w:val="auto"/>
                <w:szCs w:val="21"/>
                <w:lang w:val="en-US" w:eastAsia="zh-CN"/>
              </w:rPr>
              <w:t>后评价阶段</w:t>
            </w:r>
          </w:p>
        </w:tc>
        <w:tc>
          <w:tcPr>
            <w:tcW w:w="794" w:type="pct"/>
            <w:vMerge w:val="restart"/>
            <w:tcBorders>
              <w:tl2br w:val="nil"/>
              <w:tr2bl w:val="nil"/>
            </w:tcBorders>
            <w:noWrap/>
            <w:vAlign w:val="center"/>
          </w:tcPr>
          <w:p w14:paraId="6EEB34FB">
            <w:pPr>
              <w:widowControl/>
              <w:jc w:val="center"/>
              <w:textAlignment w:val="bottom"/>
              <w:rPr>
                <w:rFonts w:hint="default" w:eastAsia="宋体"/>
                <w:b/>
                <w:bCs/>
                <w:color w:val="auto"/>
                <w:kern w:val="0"/>
                <w:szCs w:val="21"/>
                <w:lang w:val="en-US" w:eastAsia="zh-CN" w:bidi="ar"/>
              </w:rPr>
            </w:pPr>
            <w:r>
              <w:rPr>
                <w:rFonts w:hint="eastAsia"/>
                <w:b/>
                <w:bCs/>
                <w:color w:val="auto"/>
                <w:kern w:val="0"/>
                <w:szCs w:val="21"/>
                <w:lang w:val="en-US" w:eastAsia="zh-CN" w:bidi="ar"/>
              </w:rPr>
              <w:t>备注</w:t>
            </w:r>
          </w:p>
        </w:tc>
      </w:tr>
      <w:tr w14:paraId="449ED1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87" w:type="pct"/>
            <w:vMerge w:val="continue"/>
            <w:tcBorders>
              <w:tl2br w:val="nil"/>
              <w:tr2bl w:val="nil"/>
            </w:tcBorders>
            <w:vAlign w:val="center"/>
          </w:tcPr>
          <w:p w14:paraId="736F3F95">
            <w:pPr>
              <w:widowControl/>
              <w:jc w:val="center"/>
              <w:rPr>
                <w:b/>
                <w:bCs/>
                <w:color w:val="auto"/>
                <w:szCs w:val="21"/>
              </w:rPr>
            </w:pPr>
          </w:p>
        </w:tc>
        <w:tc>
          <w:tcPr>
            <w:tcW w:w="533" w:type="pct"/>
            <w:vMerge w:val="continue"/>
            <w:tcBorders>
              <w:tl2br w:val="nil"/>
              <w:tr2bl w:val="nil"/>
            </w:tcBorders>
            <w:vAlign w:val="center"/>
          </w:tcPr>
          <w:p w14:paraId="6883D4C9">
            <w:pPr>
              <w:widowControl/>
              <w:jc w:val="center"/>
              <w:rPr>
                <w:b/>
                <w:bCs/>
                <w:color w:val="auto"/>
                <w:szCs w:val="21"/>
              </w:rPr>
            </w:pPr>
          </w:p>
        </w:tc>
        <w:tc>
          <w:tcPr>
            <w:tcW w:w="560" w:type="pct"/>
            <w:tcBorders>
              <w:tl2br w:val="nil"/>
              <w:tr2bl w:val="nil"/>
            </w:tcBorders>
            <w:vAlign w:val="center"/>
          </w:tcPr>
          <w:p w14:paraId="619725D9">
            <w:pPr>
              <w:widowControl/>
              <w:jc w:val="center"/>
              <w:textAlignment w:val="center"/>
              <w:rPr>
                <w:b/>
                <w:bCs/>
                <w:color w:val="auto"/>
                <w:szCs w:val="21"/>
              </w:rPr>
            </w:pPr>
            <w:r>
              <w:rPr>
                <w:b/>
                <w:bCs/>
                <w:color w:val="auto"/>
                <w:kern w:val="0"/>
                <w:szCs w:val="21"/>
                <w:lang w:bidi="ar"/>
              </w:rPr>
              <w:t>规格型号</w:t>
            </w:r>
          </w:p>
        </w:tc>
        <w:tc>
          <w:tcPr>
            <w:tcW w:w="561" w:type="pct"/>
            <w:tcBorders>
              <w:tl2br w:val="nil"/>
              <w:tr2bl w:val="nil"/>
            </w:tcBorders>
            <w:vAlign w:val="center"/>
          </w:tcPr>
          <w:p w14:paraId="37C4C8FB">
            <w:pPr>
              <w:widowControl/>
              <w:jc w:val="center"/>
              <w:textAlignment w:val="center"/>
              <w:rPr>
                <w:b/>
                <w:bCs/>
                <w:color w:val="auto"/>
                <w:szCs w:val="21"/>
              </w:rPr>
            </w:pPr>
            <w:r>
              <w:rPr>
                <w:b/>
                <w:bCs/>
                <w:color w:val="auto"/>
                <w:kern w:val="0"/>
                <w:szCs w:val="21"/>
                <w:lang w:bidi="ar"/>
              </w:rPr>
              <w:t>数量(台</w:t>
            </w:r>
            <w:r>
              <w:rPr>
                <w:rFonts w:hint="eastAsia"/>
                <w:b/>
                <w:bCs/>
                <w:color w:val="auto"/>
                <w:kern w:val="0"/>
                <w:szCs w:val="21"/>
                <w:lang w:val="en-US" w:eastAsia="zh-CN" w:bidi="ar"/>
              </w:rPr>
              <w:t>/条</w:t>
            </w:r>
            <w:r>
              <w:rPr>
                <w:b/>
                <w:bCs/>
                <w:color w:val="auto"/>
                <w:kern w:val="0"/>
                <w:szCs w:val="21"/>
                <w:lang w:bidi="ar"/>
              </w:rPr>
              <w:t>)</w:t>
            </w:r>
          </w:p>
        </w:tc>
        <w:tc>
          <w:tcPr>
            <w:tcW w:w="560" w:type="pct"/>
            <w:tcBorders>
              <w:tl2br w:val="nil"/>
              <w:tr2bl w:val="nil"/>
            </w:tcBorders>
            <w:shd w:val="clear" w:color="auto" w:fill="auto"/>
            <w:vAlign w:val="center"/>
          </w:tcPr>
          <w:p w14:paraId="7A76A7F2">
            <w:pPr>
              <w:widowControl/>
              <w:jc w:val="center"/>
              <w:textAlignment w:val="center"/>
              <w:rPr>
                <w:rFonts w:ascii="Times New Roman" w:hAnsi="Times New Roman" w:eastAsia="宋体" w:cs="Times New Roman"/>
                <w:b/>
                <w:bCs/>
                <w:color w:val="auto"/>
                <w:kern w:val="2"/>
                <w:sz w:val="21"/>
                <w:szCs w:val="21"/>
                <w:lang w:val="en-US" w:eastAsia="zh-CN" w:bidi="ar-SA"/>
              </w:rPr>
            </w:pPr>
            <w:r>
              <w:rPr>
                <w:b/>
                <w:bCs/>
                <w:color w:val="auto"/>
                <w:kern w:val="0"/>
                <w:szCs w:val="21"/>
                <w:lang w:bidi="ar"/>
              </w:rPr>
              <w:t>规格型号</w:t>
            </w:r>
          </w:p>
        </w:tc>
        <w:tc>
          <w:tcPr>
            <w:tcW w:w="562" w:type="pct"/>
            <w:tcBorders>
              <w:tl2br w:val="nil"/>
              <w:tr2bl w:val="nil"/>
            </w:tcBorders>
            <w:shd w:val="clear" w:color="auto" w:fill="auto"/>
            <w:vAlign w:val="center"/>
          </w:tcPr>
          <w:p w14:paraId="76779A32">
            <w:pPr>
              <w:widowControl/>
              <w:jc w:val="center"/>
              <w:textAlignment w:val="center"/>
              <w:rPr>
                <w:rFonts w:ascii="Times New Roman" w:hAnsi="Times New Roman" w:eastAsia="宋体" w:cs="Times New Roman"/>
                <w:b/>
                <w:bCs/>
                <w:color w:val="auto"/>
                <w:kern w:val="2"/>
                <w:sz w:val="21"/>
                <w:szCs w:val="21"/>
                <w:lang w:val="en-US" w:eastAsia="zh-CN" w:bidi="ar-SA"/>
              </w:rPr>
            </w:pPr>
            <w:r>
              <w:rPr>
                <w:b/>
                <w:bCs/>
                <w:color w:val="auto"/>
                <w:kern w:val="0"/>
                <w:szCs w:val="21"/>
                <w:lang w:bidi="ar"/>
              </w:rPr>
              <w:t>数量(台</w:t>
            </w:r>
            <w:r>
              <w:rPr>
                <w:rFonts w:hint="eastAsia"/>
                <w:b/>
                <w:bCs/>
                <w:color w:val="auto"/>
                <w:kern w:val="0"/>
                <w:szCs w:val="21"/>
                <w:lang w:val="en-US" w:eastAsia="zh-CN" w:bidi="ar"/>
              </w:rPr>
              <w:t>/条</w:t>
            </w:r>
            <w:r>
              <w:rPr>
                <w:b/>
                <w:bCs/>
                <w:color w:val="auto"/>
                <w:kern w:val="0"/>
                <w:szCs w:val="21"/>
                <w:lang w:bidi="ar"/>
              </w:rPr>
              <w:t>)</w:t>
            </w:r>
          </w:p>
        </w:tc>
        <w:tc>
          <w:tcPr>
            <w:tcW w:w="518" w:type="pct"/>
            <w:tcBorders>
              <w:tl2br w:val="nil"/>
              <w:tr2bl w:val="nil"/>
            </w:tcBorders>
            <w:vAlign w:val="center"/>
          </w:tcPr>
          <w:p w14:paraId="1FB601BD">
            <w:pPr>
              <w:widowControl/>
              <w:jc w:val="center"/>
              <w:textAlignment w:val="center"/>
              <w:rPr>
                <w:b/>
                <w:bCs/>
                <w:color w:val="auto"/>
                <w:szCs w:val="21"/>
              </w:rPr>
            </w:pPr>
            <w:r>
              <w:rPr>
                <w:b/>
                <w:bCs/>
                <w:color w:val="auto"/>
                <w:kern w:val="0"/>
                <w:szCs w:val="21"/>
                <w:lang w:bidi="ar"/>
              </w:rPr>
              <w:t>规格型号</w:t>
            </w:r>
          </w:p>
        </w:tc>
        <w:tc>
          <w:tcPr>
            <w:tcW w:w="521" w:type="pct"/>
            <w:tcBorders>
              <w:tl2br w:val="nil"/>
              <w:tr2bl w:val="nil"/>
            </w:tcBorders>
            <w:vAlign w:val="center"/>
          </w:tcPr>
          <w:p w14:paraId="6E58DFD5">
            <w:pPr>
              <w:widowControl/>
              <w:jc w:val="center"/>
              <w:textAlignment w:val="center"/>
              <w:rPr>
                <w:b/>
                <w:bCs/>
                <w:color w:val="auto"/>
                <w:szCs w:val="21"/>
              </w:rPr>
            </w:pPr>
            <w:r>
              <w:rPr>
                <w:b/>
                <w:bCs/>
                <w:color w:val="auto"/>
                <w:kern w:val="0"/>
                <w:szCs w:val="21"/>
                <w:lang w:bidi="ar"/>
              </w:rPr>
              <w:t>数量(台</w:t>
            </w:r>
            <w:r>
              <w:rPr>
                <w:rFonts w:hint="eastAsia"/>
                <w:b/>
                <w:bCs/>
                <w:color w:val="auto"/>
                <w:kern w:val="0"/>
                <w:szCs w:val="21"/>
                <w:lang w:val="en-US" w:eastAsia="zh-CN" w:bidi="ar"/>
              </w:rPr>
              <w:t>/条</w:t>
            </w:r>
            <w:r>
              <w:rPr>
                <w:b/>
                <w:bCs/>
                <w:color w:val="auto"/>
                <w:kern w:val="0"/>
                <w:szCs w:val="21"/>
                <w:lang w:bidi="ar"/>
              </w:rPr>
              <w:t>)</w:t>
            </w:r>
          </w:p>
        </w:tc>
        <w:tc>
          <w:tcPr>
            <w:tcW w:w="794" w:type="pct"/>
            <w:vMerge w:val="continue"/>
            <w:tcBorders>
              <w:tl2br w:val="nil"/>
              <w:tr2bl w:val="nil"/>
            </w:tcBorders>
            <w:noWrap/>
            <w:vAlign w:val="center"/>
          </w:tcPr>
          <w:p w14:paraId="424FB400">
            <w:pPr>
              <w:widowControl/>
              <w:jc w:val="center"/>
              <w:rPr>
                <w:b/>
                <w:bCs/>
                <w:color w:val="auto"/>
                <w:szCs w:val="21"/>
              </w:rPr>
            </w:pPr>
          </w:p>
        </w:tc>
      </w:tr>
      <w:tr w14:paraId="633092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000" w:type="pct"/>
            <w:gridSpan w:val="9"/>
            <w:tcBorders>
              <w:tl2br w:val="nil"/>
              <w:tr2bl w:val="nil"/>
            </w:tcBorders>
            <w:vAlign w:val="center"/>
          </w:tcPr>
          <w:p w14:paraId="160E1828">
            <w:pPr>
              <w:widowControl/>
              <w:jc w:val="center"/>
              <w:rPr>
                <w:rFonts w:hint="default" w:eastAsia="宋体"/>
                <w:b/>
                <w:bCs/>
                <w:color w:val="auto"/>
                <w:kern w:val="0"/>
                <w:szCs w:val="21"/>
                <w:lang w:val="en-US" w:eastAsia="zh-CN" w:bidi="ar"/>
              </w:rPr>
            </w:pPr>
            <w:r>
              <w:rPr>
                <w:rFonts w:hint="eastAsia"/>
                <w:b/>
                <w:bCs/>
                <w:color w:val="auto"/>
                <w:kern w:val="0"/>
                <w:szCs w:val="21"/>
                <w:lang w:val="en-US" w:eastAsia="zh-CN" w:bidi="ar"/>
              </w:rPr>
              <w:t>预处理工序设备</w:t>
            </w:r>
          </w:p>
        </w:tc>
      </w:tr>
      <w:tr w14:paraId="20819E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87" w:type="pct"/>
            <w:tcBorders>
              <w:tl2br w:val="nil"/>
              <w:tr2bl w:val="nil"/>
            </w:tcBorders>
            <w:vAlign w:val="center"/>
          </w:tcPr>
          <w:p w14:paraId="4945759D">
            <w:pPr>
              <w:widowControl/>
              <w:jc w:val="center"/>
              <w:textAlignment w:val="center"/>
              <w:rPr>
                <w:color w:val="auto"/>
                <w:szCs w:val="21"/>
              </w:rPr>
            </w:pPr>
            <w:r>
              <w:rPr>
                <w:color w:val="auto"/>
                <w:kern w:val="0"/>
                <w:szCs w:val="21"/>
                <w:lang w:bidi="ar"/>
              </w:rPr>
              <w:t>1</w:t>
            </w:r>
          </w:p>
        </w:tc>
        <w:tc>
          <w:tcPr>
            <w:tcW w:w="533" w:type="pct"/>
            <w:tcBorders>
              <w:tl2br w:val="nil"/>
              <w:tr2bl w:val="nil"/>
            </w:tcBorders>
            <w:vAlign w:val="center"/>
          </w:tcPr>
          <w:p w14:paraId="34E4FD30">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干式磁选机</w:t>
            </w:r>
          </w:p>
        </w:tc>
        <w:tc>
          <w:tcPr>
            <w:tcW w:w="560" w:type="pct"/>
            <w:tcBorders>
              <w:tl2br w:val="nil"/>
              <w:tr2bl w:val="nil"/>
            </w:tcBorders>
            <w:shd w:val="clear" w:color="auto" w:fill="auto"/>
            <w:vAlign w:val="center"/>
          </w:tcPr>
          <w:p w14:paraId="0840A2BA">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CXY-W-621-I</w:t>
            </w:r>
          </w:p>
        </w:tc>
        <w:tc>
          <w:tcPr>
            <w:tcW w:w="561" w:type="pct"/>
            <w:tcBorders>
              <w:tl2br w:val="nil"/>
              <w:tr2bl w:val="nil"/>
            </w:tcBorders>
            <w:shd w:val="clear" w:color="auto" w:fill="auto"/>
            <w:vAlign w:val="center"/>
          </w:tcPr>
          <w:p w14:paraId="2DA7F52A">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34FF92FB">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CXY-W-621-I</w:t>
            </w:r>
          </w:p>
        </w:tc>
        <w:tc>
          <w:tcPr>
            <w:tcW w:w="562" w:type="pct"/>
            <w:tcBorders>
              <w:tl2br w:val="nil"/>
              <w:tr2bl w:val="nil"/>
            </w:tcBorders>
            <w:shd w:val="clear" w:color="auto" w:fill="auto"/>
            <w:vAlign w:val="center"/>
          </w:tcPr>
          <w:p w14:paraId="2560D86C">
            <w:pPr>
              <w:widowControl/>
              <w:jc w:val="center"/>
              <w:textAlignment w:val="center"/>
              <w:rPr>
                <w:rFonts w:ascii="Times New Roman" w:hAnsi="Times New Roman" w:eastAsia="宋体" w:cs="Times New Roman"/>
                <w:color w:val="auto"/>
                <w:kern w:val="2"/>
                <w:sz w:val="21"/>
                <w:szCs w:val="21"/>
                <w:lang w:val="en-US" w:eastAsia="zh-CN" w:bidi="ar-SA"/>
              </w:rPr>
            </w:pPr>
            <w:r>
              <w:rPr>
                <w:color w:val="auto"/>
                <w:kern w:val="0"/>
                <w:szCs w:val="21"/>
                <w:lang w:bidi="ar"/>
              </w:rPr>
              <w:t>1</w:t>
            </w:r>
          </w:p>
        </w:tc>
        <w:tc>
          <w:tcPr>
            <w:tcW w:w="518" w:type="pct"/>
            <w:tcBorders>
              <w:tl2br w:val="nil"/>
              <w:tr2bl w:val="nil"/>
            </w:tcBorders>
            <w:vAlign w:val="center"/>
          </w:tcPr>
          <w:p w14:paraId="2B97897F">
            <w:pPr>
              <w:widowControl/>
              <w:jc w:val="center"/>
              <w:textAlignment w:val="center"/>
              <w:rPr>
                <w:rFonts w:hint="eastAsia" w:eastAsia="宋体"/>
                <w:color w:val="auto"/>
                <w:szCs w:val="21"/>
                <w:lang w:eastAsia="zh-CN"/>
              </w:rPr>
            </w:pPr>
            <w:r>
              <w:rPr>
                <w:rFonts w:hint="eastAsia"/>
                <w:color w:val="auto"/>
                <w:szCs w:val="21"/>
                <w:lang w:val="en-US" w:eastAsia="zh-CN"/>
              </w:rPr>
              <w:t>/</w:t>
            </w:r>
          </w:p>
        </w:tc>
        <w:tc>
          <w:tcPr>
            <w:tcW w:w="521" w:type="pct"/>
            <w:tcBorders>
              <w:tl2br w:val="nil"/>
              <w:tr2bl w:val="nil"/>
            </w:tcBorders>
            <w:vAlign w:val="center"/>
          </w:tcPr>
          <w:p w14:paraId="08C26FA1">
            <w:pPr>
              <w:widowControl/>
              <w:jc w:val="center"/>
              <w:textAlignment w:val="center"/>
              <w:rPr>
                <w:color w:val="auto"/>
                <w:szCs w:val="21"/>
              </w:rPr>
            </w:pPr>
            <w:r>
              <w:rPr>
                <w:color w:val="auto"/>
                <w:kern w:val="0"/>
                <w:szCs w:val="21"/>
                <w:lang w:bidi="ar"/>
              </w:rPr>
              <w:t>1</w:t>
            </w:r>
          </w:p>
        </w:tc>
        <w:tc>
          <w:tcPr>
            <w:tcW w:w="794" w:type="pct"/>
            <w:tcBorders>
              <w:tl2br w:val="nil"/>
              <w:tr2bl w:val="nil"/>
            </w:tcBorders>
            <w:noWrap/>
            <w:vAlign w:val="center"/>
          </w:tcPr>
          <w:p w14:paraId="0E277E21">
            <w:pPr>
              <w:widowControl/>
              <w:jc w:val="center"/>
              <w:textAlignment w:val="bottom"/>
              <w:rPr>
                <w:rFonts w:hint="default"/>
                <w:color w:val="auto"/>
                <w:szCs w:val="21"/>
                <w:lang w:val="en-US" w:eastAsia="zh-CN"/>
              </w:rPr>
            </w:pPr>
            <w:r>
              <w:rPr>
                <w:rFonts w:hint="eastAsia"/>
                <w:color w:val="auto"/>
                <w:szCs w:val="21"/>
                <w:lang w:val="en-US" w:eastAsia="zh-CN"/>
              </w:rPr>
              <w:t>/</w:t>
            </w:r>
          </w:p>
        </w:tc>
      </w:tr>
      <w:tr w14:paraId="314E0A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000" w:type="pct"/>
            <w:gridSpan w:val="9"/>
            <w:tcBorders>
              <w:tl2br w:val="nil"/>
              <w:tr2bl w:val="nil"/>
            </w:tcBorders>
            <w:vAlign w:val="center"/>
          </w:tcPr>
          <w:p w14:paraId="33E82952">
            <w:pPr>
              <w:widowControl/>
              <w:jc w:val="center"/>
              <w:textAlignment w:val="bottom"/>
              <w:rPr>
                <w:rFonts w:hint="default"/>
                <w:color w:val="auto"/>
                <w:szCs w:val="21"/>
                <w:lang w:val="en-US" w:eastAsia="zh-CN"/>
              </w:rPr>
            </w:pPr>
            <w:r>
              <w:rPr>
                <w:rFonts w:hint="eastAsia"/>
                <w:b/>
                <w:bCs/>
                <w:color w:val="auto"/>
                <w:szCs w:val="21"/>
                <w:lang w:val="en-US" w:eastAsia="zh-CN"/>
              </w:rPr>
              <w:t>熔炼设备</w:t>
            </w:r>
          </w:p>
        </w:tc>
      </w:tr>
      <w:tr w14:paraId="6B386C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004" w:hRule="atLeast"/>
        </w:trPr>
        <w:tc>
          <w:tcPr>
            <w:tcW w:w="387" w:type="pct"/>
            <w:tcBorders>
              <w:tl2br w:val="nil"/>
              <w:tr2bl w:val="nil"/>
            </w:tcBorders>
            <w:vAlign w:val="center"/>
          </w:tcPr>
          <w:p w14:paraId="678E7747">
            <w:pPr>
              <w:widowControl/>
              <w:jc w:val="center"/>
              <w:textAlignment w:val="center"/>
              <w:rPr>
                <w:color w:val="auto"/>
                <w:szCs w:val="21"/>
              </w:rPr>
            </w:pPr>
            <w:r>
              <w:rPr>
                <w:color w:val="auto"/>
                <w:kern w:val="0"/>
                <w:szCs w:val="21"/>
                <w:lang w:bidi="ar"/>
              </w:rPr>
              <w:t>2</w:t>
            </w:r>
          </w:p>
        </w:tc>
        <w:tc>
          <w:tcPr>
            <w:tcW w:w="533" w:type="pct"/>
            <w:tcBorders>
              <w:tl2br w:val="nil"/>
              <w:tr2bl w:val="nil"/>
            </w:tcBorders>
            <w:vAlign w:val="center"/>
          </w:tcPr>
          <w:p w14:paraId="1498B8C8">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40t熔炼炉</w:t>
            </w:r>
          </w:p>
        </w:tc>
        <w:tc>
          <w:tcPr>
            <w:tcW w:w="560" w:type="pct"/>
            <w:tcBorders>
              <w:tl2br w:val="nil"/>
              <w:tr2bl w:val="nil"/>
            </w:tcBorders>
            <w:shd w:val="clear" w:color="auto" w:fill="auto"/>
            <w:vAlign w:val="center"/>
          </w:tcPr>
          <w:p w14:paraId="33FF1A4A">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YG-RL-Q/Y40</w:t>
            </w:r>
          </w:p>
        </w:tc>
        <w:tc>
          <w:tcPr>
            <w:tcW w:w="561" w:type="pct"/>
            <w:tcBorders>
              <w:tl2br w:val="nil"/>
              <w:tr2bl w:val="nil"/>
            </w:tcBorders>
            <w:shd w:val="clear" w:color="auto" w:fill="auto"/>
            <w:vAlign w:val="center"/>
          </w:tcPr>
          <w:p w14:paraId="393BFACF">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0D8DADF5">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YG-RL-Q/Y40</w:t>
            </w:r>
          </w:p>
        </w:tc>
        <w:tc>
          <w:tcPr>
            <w:tcW w:w="562" w:type="pct"/>
            <w:tcBorders>
              <w:tl2br w:val="nil"/>
              <w:tr2bl w:val="nil"/>
            </w:tcBorders>
            <w:shd w:val="clear" w:color="auto" w:fill="auto"/>
            <w:vAlign w:val="center"/>
          </w:tcPr>
          <w:p w14:paraId="108B7E87">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18" w:type="pct"/>
            <w:tcBorders>
              <w:tl2br w:val="nil"/>
              <w:tr2bl w:val="nil"/>
            </w:tcBorders>
            <w:vAlign w:val="center"/>
          </w:tcPr>
          <w:p w14:paraId="20C7BE84">
            <w:pPr>
              <w:widowControl/>
              <w:jc w:val="center"/>
              <w:textAlignment w:val="center"/>
              <w:rPr>
                <w:rFonts w:hint="eastAsia" w:eastAsia="宋体"/>
                <w:color w:val="auto"/>
                <w:szCs w:val="21"/>
                <w:lang w:eastAsia="zh-CN"/>
              </w:rPr>
            </w:pPr>
            <w:r>
              <w:rPr>
                <w:rFonts w:hint="eastAsia"/>
                <w:color w:val="auto"/>
                <w:kern w:val="0"/>
                <w:szCs w:val="21"/>
                <w:lang w:val="en-US" w:eastAsia="zh-CN" w:bidi="ar"/>
              </w:rPr>
              <w:t>40t</w:t>
            </w:r>
          </w:p>
        </w:tc>
        <w:tc>
          <w:tcPr>
            <w:tcW w:w="521" w:type="pct"/>
            <w:tcBorders>
              <w:tl2br w:val="nil"/>
              <w:tr2bl w:val="nil"/>
            </w:tcBorders>
            <w:vAlign w:val="center"/>
          </w:tcPr>
          <w:p w14:paraId="5303FC51">
            <w:pPr>
              <w:widowControl/>
              <w:jc w:val="center"/>
              <w:textAlignment w:val="center"/>
              <w:rPr>
                <w:color w:val="auto"/>
                <w:szCs w:val="21"/>
              </w:rPr>
            </w:pPr>
            <w:r>
              <w:rPr>
                <w:color w:val="auto"/>
                <w:kern w:val="0"/>
                <w:szCs w:val="21"/>
                <w:lang w:bidi="ar"/>
              </w:rPr>
              <w:t>1</w:t>
            </w:r>
          </w:p>
        </w:tc>
        <w:tc>
          <w:tcPr>
            <w:tcW w:w="794" w:type="pct"/>
            <w:vMerge w:val="restart"/>
            <w:tcBorders>
              <w:tl2br w:val="nil"/>
              <w:tr2bl w:val="nil"/>
            </w:tcBorders>
            <w:shd w:val="clear" w:color="auto" w:fill="auto"/>
            <w:noWrap/>
            <w:vAlign w:val="center"/>
          </w:tcPr>
          <w:p w14:paraId="3ED2CBF2">
            <w:pPr>
              <w:widowControl/>
              <w:jc w:val="center"/>
              <w:textAlignment w:val="bottom"/>
              <w:rPr>
                <w:rFonts w:hint="default"/>
                <w:color w:val="auto"/>
                <w:szCs w:val="21"/>
                <w:lang w:val="en-US" w:eastAsia="zh-CN"/>
              </w:rPr>
            </w:pPr>
            <w:r>
              <w:rPr>
                <w:rFonts w:hint="eastAsia" w:eastAsia="宋体"/>
                <w:color w:val="auto"/>
                <w:kern w:val="0"/>
                <w:szCs w:val="21"/>
                <w:lang w:val="en-US" w:eastAsia="zh-CN" w:bidi="ar"/>
              </w:rPr>
              <w:t>根据《产业结构调整指导目录（2024年本）》“第三类淘汰类”中“一、落后生产工艺装备”（六）有色金属第18条“15吨以下再生铝用熔炼炉”的规定，同时企业为优化生产布局、提升装备水平、降低能耗与污染物排放，将淘汰并拆除现有1台10吨再生铝用熔炼精炼两用炉、1台20吨</w:t>
            </w:r>
            <w:r>
              <w:rPr>
                <w:rFonts w:hint="eastAsia"/>
                <w:color w:val="auto"/>
                <w:kern w:val="0"/>
                <w:szCs w:val="21"/>
                <w:lang w:val="en-US" w:eastAsia="zh-CN" w:bidi="ar"/>
              </w:rPr>
              <w:t>精炼</w:t>
            </w:r>
            <w:r>
              <w:rPr>
                <w:rFonts w:hint="eastAsia" w:eastAsia="宋体"/>
                <w:color w:val="auto"/>
                <w:kern w:val="0"/>
                <w:szCs w:val="21"/>
                <w:lang w:val="en-US" w:eastAsia="zh-CN" w:bidi="ar"/>
              </w:rPr>
              <w:t>炉</w:t>
            </w:r>
            <w:r>
              <w:rPr>
                <w:rFonts w:hint="eastAsia"/>
                <w:color w:val="auto"/>
                <w:kern w:val="0"/>
                <w:szCs w:val="21"/>
                <w:lang w:val="en-US" w:eastAsia="zh-CN" w:bidi="ar"/>
              </w:rPr>
              <w:t>。对现有1台40吨熔炼炉、1台30吨熔炼炉和1台30t精炼炉实施设备更新与升级</w:t>
            </w:r>
          </w:p>
        </w:tc>
      </w:tr>
      <w:tr w14:paraId="42D5A0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44" w:hRule="atLeast"/>
        </w:trPr>
        <w:tc>
          <w:tcPr>
            <w:tcW w:w="387" w:type="pct"/>
            <w:tcBorders>
              <w:tl2br w:val="nil"/>
              <w:tr2bl w:val="nil"/>
            </w:tcBorders>
            <w:vAlign w:val="center"/>
          </w:tcPr>
          <w:p w14:paraId="15AA0AD3">
            <w:pPr>
              <w:widowControl/>
              <w:jc w:val="center"/>
              <w:textAlignment w:val="center"/>
              <w:rPr>
                <w:color w:val="auto"/>
                <w:szCs w:val="21"/>
              </w:rPr>
            </w:pPr>
            <w:r>
              <w:rPr>
                <w:color w:val="auto"/>
                <w:kern w:val="0"/>
                <w:szCs w:val="21"/>
                <w:lang w:bidi="ar"/>
              </w:rPr>
              <w:t>3</w:t>
            </w:r>
          </w:p>
        </w:tc>
        <w:tc>
          <w:tcPr>
            <w:tcW w:w="533" w:type="pct"/>
            <w:tcBorders>
              <w:tl2br w:val="nil"/>
              <w:tr2bl w:val="nil"/>
            </w:tcBorders>
            <w:vAlign w:val="center"/>
          </w:tcPr>
          <w:p w14:paraId="7632A4AB">
            <w:pPr>
              <w:widowControl/>
              <w:jc w:val="center"/>
              <w:textAlignment w:val="center"/>
              <w:rPr>
                <w:color w:val="auto"/>
                <w:szCs w:val="21"/>
              </w:rPr>
            </w:pPr>
            <w:r>
              <w:rPr>
                <w:rFonts w:hint="eastAsia"/>
                <w:color w:val="auto"/>
                <w:kern w:val="0"/>
                <w:szCs w:val="21"/>
                <w:lang w:val="en-US" w:eastAsia="zh-CN" w:bidi="ar"/>
              </w:rPr>
              <w:t>30t熔炼炉</w:t>
            </w:r>
          </w:p>
        </w:tc>
        <w:tc>
          <w:tcPr>
            <w:tcW w:w="560" w:type="pct"/>
            <w:tcBorders>
              <w:tl2br w:val="nil"/>
              <w:tr2bl w:val="nil"/>
            </w:tcBorders>
            <w:shd w:val="clear" w:color="auto" w:fill="auto"/>
            <w:vAlign w:val="center"/>
          </w:tcPr>
          <w:p w14:paraId="4DF020F1">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w:t>
            </w:r>
            <w:r>
              <w:rPr>
                <w:rFonts w:hint="eastAsia" w:cs="Times New Roman"/>
                <w:color w:val="auto"/>
                <w:kern w:val="2"/>
                <w:sz w:val="21"/>
                <w:szCs w:val="21"/>
                <w:lang w:val="en-US" w:eastAsia="zh-CN" w:bidi="ar-SA"/>
              </w:rPr>
              <w:t>3</w:t>
            </w:r>
            <w:r>
              <w:rPr>
                <w:rFonts w:hint="eastAsia" w:ascii="Times New Roman" w:hAnsi="Times New Roman" w:eastAsia="宋体" w:cs="Times New Roman"/>
                <w:color w:val="auto"/>
                <w:kern w:val="2"/>
                <w:sz w:val="21"/>
                <w:szCs w:val="21"/>
                <w:lang w:val="en-US" w:eastAsia="zh-CN" w:bidi="ar-SA"/>
              </w:rPr>
              <w:t>0</w:t>
            </w:r>
          </w:p>
        </w:tc>
        <w:tc>
          <w:tcPr>
            <w:tcW w:w="561" w:type="pct"/>
            <w:tcBorders>
              <w:tl2br w:val="nil"/>
              <w:tr2bl w:val="nil"/>
            </w:tcBorders>
            <w:shd w:val="clear" w:color="auto" w:fill="auto"/>
            <w:vAlign w:val="center"/>
          </w:tcPr>
          <w:p w14:paraId="2E26085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6D12828D">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w:t>
            </w:r>
            <w:r>
              <w:rPr>
                <w:rFonts w:hint="eastAsia" w:cs="Times New Roman"/>
                <w:color w:val="auto"/>
                <w:kern w:val="2"/>
                <w:sz w:val="21"/>
                <w:szCs w:val="21"/>
                <w:lang w:val="en-US" w:eastAsia="zh-CN" w:bidi="ar-SA"/>
              </w:rPr>
              <w:t>3</w:t>
            </w:r>
            <w:r>
              <w:rPr>
                <w:rFonts w:hint="eastAsia" w:ascii="Times New Roman" w:hAnsi="Times New Roman" w:eastAsia="宋体" w:cs="Times New Roman"/>
                <w:color w:val="auto"/>
                <w:kern w:val="2"/>
                <w:sz w:val="21"/>
                <w:szCs w:val="21"/>
                <w:lang w:val="en-US" w:eastAsia="zh-CN" w:bidi="ar-SA"/>
              </w:rPr>
              <w:t>0</w:t>
            </w:r>
          </w:p>
        </w:tc>
        <w:tc>
          <w:tcPr>
            <w:tcW w:w="562" w:type="pct"/>
            <w:tcBorders>
              <w:tl2br w:val="nil"/>
              <w:tr2bl w:val="nil"/>
            </w:tcBorders>
            <w:shd w:val="clear" w:color="auto" w:fill="auto"/>
            <w:vAlign w:val="center"/>
          </w:tcPr>
          <w:p w14:paraId="2CE31409">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18" w:type="pct"/>
            <w:tcBorders>
              <w:tl2br w:val="nil"/>
              <w:tr2bl w:val="nil"/>
            </w:tcBorders>
            <w:vAlign w:val="center"/>
          </w:tcPr>
          <w:p w14:paraId="2DC37E23">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30t</w:t>
            </w:r>
          </w:p>
        </w:tc>
        <w:tc>
          <w:tcPr>
            <w:tcW w:w="521" w:type="pct"/>
            <w:tcBorders>
              <w:tl2br w:val="nil"/>
              <w:tr2bl w:val="nil"/>
            </w:tcBorders>
            <w:vAlign w:val="center"/>
          </w:tcPr>
          <w:p w14:paraId="77E5DE6D">
            <w:pPr>
              <w:widowControl/>
              <w:jc w:val="center"/>
              <w:textAlignment w:val="center"/>
              <w:rPr>
                <w:color w:val="auto"/>
                <w:szCs w:val="21"/>
              </w:rPr>
            </w:pPr>
            <w:r>
              <w:rPr>
                <w:color w:val="auto"/>
                <w:kern w:val="0"/>
                <w:szCs w:val="21"/>
                <w:lang w:bidi="ar"/>
              </w:rPr>
              <w:t>1</w:t>
            </w:r>
          </w:p>
        </w:tc>
        <w:tc>
          <w:tcPr>
            <w:tcW w:w="794" w:type="pct"/>
            <w:vMerge w:val="continue"/>
            <w:tcBorders>
              <w:tl2br w:val="nil"/>
              <w:tr2bl w:val="nil"/>
            </w:tcBorders>
            <w:noWrap/>
            <w:vAlign w:val="center"/>
          </w:tcPr>
          <w:p w14:paraId="1DF49DE3">
            <w:pPr>
              <w:widowControl/>
              <w:jc w:val="center"/>
              <w:textAlignment w:val="bottom"/>
              <w:rPr>
                <w:rFonts w:hint="eastAsia"/>
                <w:color w:val="auto"/>
                <w:szCs w:val="21"/>
                <w:lang w:val="en-US" w:eastAsia="zh-CN"/>
              </w:rPr>
            </w:pPr>
          </w:p>
        </w:tc>
      </w:tr>
      <w:tr w14:paraId="0152F3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84" w:hRule="atLeast"/>
        </w:trPr>
        <w:tc>
          <w:tcPr>
            <w:tcW w:w="387" w:type="pct"/>
            <w:tcBorders>
              <w:tl2br w:val="nil"/>
              <w:tr2bl w:val="nil"/>
            </w:tcBorders>
            <w:vAlign w:val="center"/>
          </w:tcPr>
          <w:p w14:paraId="19D9A1DD">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4</w:t>
            </w:r>
          </w:p>
        </w:tc>
        <w:tc>
          <w:tcPr>
            <w:tcW w:w="533" w:type="pct"/>
            <w:tcBorders>
              <w:tl2br w:val="nil"/>
              <w:tr2bl w:val="nil"/>
            </w:tcBorders>
            <w:vAlign w:val="center"/>
          </w:tcPr>
          <w:p w14:paraId="64B34927">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30t精炼炉</w:t>
            </w:r>
          </w:p>
        </w:tc>
        <w:tc>
          <w:tcPr>
            <w:tcW w:w="560" w:type="pct"/>
            <w:tcBorders>
              <w:tl2br w:val="nil"/>
              <w:tr2bl w:val="nil"/>
            </w:tcBorders>
            <w:shd w:val="clear" w:color="auto" w:fill="auto"/>
            <w:vAlign w:val="center"/>
          </w:tcPr>
          <w:p w14:paraId="5028E532">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30</w:t>
            </w:r>
          </w:p>
        </w:tc>
        <w:tc>
          <w:tcPr>
            <w:tcW w:w="561" w:type="pct"/>
            <w:tcBorders>
              <w:tl2br w:val="nil"/>
              <w:tr2bl w:val="nil"/>
            </w:tcBorders>
            <w:shd w:val="clear" w:color="auto" w:fill="auto"/>
            <w:vAlign w:val="center"/>
          </w:tcPr>
          <w:p w14:paraId="6E497543">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43971341">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30</w:t>
            </w:r>
          </w:p>
        </w:tc>
        <w:tc>
          <w:tcPr>
            <w:tcW w:w="562" w:type="pct"/>
            <w:tcBorders>
              <w:tl2br w:val="nil"/>
              <w:tr2bl w:val="nil"/>
            </w:tcBorders>
            <w:shd w:val="clear" w:color="auto" w:fill="auto"/>
            <w:vAlign w:val="center"/>
          </w:tcPr>
          <w:p w14:paraId="737EB7F6">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w:t>
            </w:r>
          </w:p>
        </w:tc>
        <w:tc>
          <w:tcPr>
            <w:tcW w:w="518" w:type="pct"/>
            <w:tcBorders>
              <w:tl2br w:val="nil"/>
              <w:tr2bl w:val="nil"/>
            </w:tcBorders>
            <w:vAlign w:val="center"/>
          </w:tcPr>
          <w:p w14:paraId="35316E4E">
            <w:pPr>
              <w:widowControl/>
              <w:jc w:val="center"/>
              <w:textAlignment w:val="center"/>
              <w:rPr>
                <w:rFonts w:hint="default"/>
                <w:color w:val="auto"/>
                <w:kern w:val="0"/>
                <w:szCs w:val="21"/>
                <w:lang w:val="en-US" w:eastAsia="zh-CN" w:bidi="ar"/>
              </w:rPr>
            </w:pPr>
            <w:r>
              <w:rPr>
                <w:rFonts w:hint="eastAsia" w:cs="Times New Roman"/>
                <w:color w:val="auto"/>
                <w:kern w:val="2"/>
                <w:sz w:val="21"/>
                <w:szCs w:val="21"/>
                <w:lang w:val="en-US" w:eastAsia="zh-CN" w:bidi="ar-SA"/>
              </w:rPr>
              <w:t>30t</w:t>
            </w:r>
          </w:p>
        </w:tc>
        <w:tc>
          <w:tcPr>
            <w:tcW w:w="521" w:type="pct"/>
            <w:tcBorders>
              <w:tl2br w:val="nil"/>
              <w:tr2bl w:val="nil"/>
            </w:tcBorders>
            <w:vAlign w:val="center"/>
          </w:tcPr>
          <w:p w14:paraId="7381CF46">
            <w:pPr>
              <w:widowControl/>
              <w:jc w:val="center"/>
              <w:textAlignment w:val="center"/>
              <w:rPr>
                <w:color w:val="auto"/>
                <w:kern w:val="0"/>
                <w:szCs w:val="21"/>
                <w:lang w:bidi="ar"/>
              </w:rPr>
            </w:pPr>
            <w:r>
              <w:rPr>
                <w:rFonts w:hint="eastAsia"/>
                <w:color w:val="auto"/>
                <w:kern w:val="0"/>
                <w:szCs w:val="21"/>
                <w:lang w:val="en-US" w:eastAsia="zh-CN" w:bidi="ar"/>
              </w:rPr>
              <w:t>1</w:t>
            </w:r>
          </w:p>
        </w:tc>
        <w:tc>
          <w:tcPr>
            <w:tcW w:w="794" w:type="pct"/>
            <w:vMerge w:val="continue"/>
            <w:tcBorders>
              <w:tl2br w:val="nil"/>
              <w:tr2bl w:val="nil"/>
            </w:tcBorders>
            <w:noWrap/>
            <w:vAlign w:val="center"/>
          </w:tcPr>
          <w:p w14:paraId="7E46A006">
            <w:pPr>
              <w:widowControl/>
              <w:jc w:val="center"/>
              <w:textAlignment w:val="bottom"/>
              <w:rPr>
                <w:rFonts w:hint="default"/>
                <w:color w:val="auto"/>
                <w:szCs w:val="21"/>
                <w:lang w:val="en-US" w:eastAsia="zh-CN"/>
              </w:rPr>
            </w:pPr>
          </w:p>
        </w:tc>
      </w:tr>
      <w:tr w14:paraId="6495DE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134" w:hRule="atLeast"/>
        </w:trPr>
        <w:tc>
          <w:tcPr>
            <w:tcW w:w="387" w:type="pct"/>
            <w:tcBorders>
              <w:tl2br w:val="nil"/>
              <w:tr2bl w:val="nil"/>
            </w:tcBorders>
            <w:vAlign w:val="center"/>
          </w:tcPr>
          <w:p w14:paraId="64A73266">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5</w:t>
            </w:r>
          </w:p>
        </w:tc>
        <w:tc>
          <w:tcPr>
            <w:tcW w:w="533" w:type="pct"/>
            <w:tcBorders>
              <w:tl2br w:val="nil"/>
              <w:tr2bl w:val="nil"/>
            </w:tcBorders>
            <w:vAlign w:val="center"/>
          </w:tcPr>
          <w:p w14:paraId="33E3BA55">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20t精炼炉</w:t>
            </w:r>
          </w:p>
        </w:tc>
        <w:tc>
          <w:tcPr>
            <w:tcW w:w="560" w:type="pct"/>
            <w:tcBorders>
              <w:tl2br w:val="nil"/>
              <w:tr2bl w:val="nil"/>
            </w:tcBorders>
            <w:shd w:val="clear" w:color="auto" w:fill="auto"/>
            <w:vAlign w:val="center"/>
          </w:tcPr>
          <w:p w14:paraId="08D0EE4F">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20</w:t>
            </w:r>
          </w:p>
        </w:tc>
        <w:tc>
          <w:tcPr>
            <w:tcW w:w="561" w:type="pct"/>
            <w:tcBorders>
              <w:tl2br w:val="nil"/>
              <w:tr2bl w:val="nil"/>
            </w:tcBorders>
            <w:shd w:val="clear" w:color="auto" w:fill="auto"/>
            <w:vAlign w:val="center"/>
          </w:tcPr>
          <w:p w14:paraId="6D27D16A">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7D16567A">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20</w:t>
            </w:r>
          </w:p>
        </w:tc>
        <w:tc>
          <w:tcPr>
            <w:tcW w:w="562" w:type="pct"/>
            <w:tcBorders>
              <w:tl2br w:val="nil"/>
              <w:tr2bl w:val="nil"/>
            </w:tcBorders>
            <w:shd w:val="clear" w:color="auto" w:fill="auto"/>
            <w:vAlign w:val="center"/>
          </w:tcPr>
          <w:p w14:paraId="260191D8">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w:t>
            </w:r>
          </w:p>
        </w:tc>
        <w:tc>
          <w:tcPr>
            <w:tcW w:w="518" w:type="pct"/>
            <w:tcBorders>
              <w:tl2br w:val="nil"/>
              <w:tr2bl w:val="nil"/>
            </w:tcBorders>
            <w:vAlign w:val="center"/>
          </w:tcPr>
          <w:p w14:paraId="68AC3B76">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w:t>
            </w:r>
          </w:p>
        </w:tc>
        <w:tc>
          <w:tcPr>
            <w:tcW w:w="521" w:type="pct"/>
            <w:tcBorders>
              <w:tl2br w:val="nil"/>
              <w:tr2bl w:val="nil"/>
            </w:tcBorders>
            <w:vAlign w:val="center"/>
          </w:tcPr>
          <w:p w14:paraId="0300A0F5">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w:t>
            </w:r>
          </w:p>
        </w:tc>
        <w:tc>
          <w:tcPr>
            <w:tcW w:w="794" w:type="pct"/>
            <w:vMerge w:val="continue"/>
            <w:tcBorders>
              <w:tl2br w:val="nil"/>
              <w:tr2bl w:val="nil"/>
            </w:tcBorders>
            <w:noWrap/>
            <w:vAlign w:val="center"/>
          </w:tcPr>
          <w:p w14:paraId="07CCB70A">
            <w:pPr>
              <w:widowControl/>
              <w:jc w:val="center"/>
              <w:textAlignment w:val="bottom"/>
              <w:rPr>
                <w:rFonts w:hint="eastAsia"/>
                <w:color w:val="auto"/>
                <w:szCs w:val="21"/>
                <w:lang w:val="en-US" w:eastAsia="zh-CN"/>
              </w:rPr>
            </w:pPr>
          </w:p>
        </w:tc>
      </w:tr>
      <w:tr w14:paraId="162909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79" w:hRule="atLeast"/>
        </w:trPr>
        <w:tc>
          <w:tcPr>
            <w:tcW w:w="387" w:type="pct"/>
            <w:tcBorders>
              <w:tl2br w:val="nil"/>
              <w:tr2bl w:val="nil"/>
            </w:tcBorders>
            <w:vAlign w:val="center"/>
          </w:tcPr>
          <w:p w14:paraId="2AC94506">
            <w:pPr>
              <w:widowControl/>
              <w:jc w:val="center"/>
              <w:textAlignment w:val="center"/>
              <w:rPr>
                <w:rFonts w:hint="default" w:eastAsia="宋体"/>
                <w:color w:val="auto"/>
                <w:szCs w:val="21"/>
                <w:lang w:val="en-US" w:eastAsia="zh-CN"/>
              </w:rPr>
            </w:pPr>
            <w:r>
              <w:rPr>
                <w:rFonts w:hint="eastAsia"/>
                <w:color w:val="auto"/>
                <w:szCs w:val="21"/>
                <w:lang w:val="en-US" w:eastAsia="zh-CN"/>
              </w:rPr>
              <w:t>6</w:t>
            </w:r>
          </w:p>
        </w:tc>
        <w:tc>
          <w:tcPr>
            <w:tcW w:w="533" w:type="pct"/>
            <w:tcBorders>
              <w:tl2br w:val="nil"/>
              <w:tr2bl w:val="nil"/>
            </w:tcBorders>
            <w:vAlign w:val="center"/>
          </w:tcPr>
          <w:p w14:paraId="4C201246">
            <w:pPr>
              <w:widowControl/>
              <w:jc w:val="center"/>
              <w:textAlignment w:val="center"/>
              <w:rPr>
                <w:color w:val="auto"/>
                <w:szCs w:val="21"/>
              </w:rPr>
            </w:pPr>
            <w:r>
              <w:rPr>
                <w:rFonts w:hint="eastAsia"/>
                <w:color w:val="auto"/>
                <w:szCs w:val="21"/>
              </w:rPr>
              <w:t>10t熔炼、精炼两用炉</w:t>
            </w:r>
          </w:p>
        </w:tc>
        <w:tc>
          <w:tcPr>
            <w:tcW w:w="560" w:type="pct"/>
            <w:tcBorders>
              <w:tl2br w:val="nil"/>
              <w:tr2bl w:val="nil"/>
            </w:tcBorders>
            <w:shd w:val="clear" w:color="auto" w:fill="auto"/>
            <w:vAlign w:val="center"/>
          </w:tcPr>
          <w:p w14:paraId="2D016CA0">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YG-L-Q/Y10</w:t>
            </w:r>
          </w:p>
        </w:tc>
        <w:tc>
          <w:tcPr>
            <w:tcW w:w="561" w:type="pct"/>
            <w:tcBorders>
              <w:tl2br w:val="nil"/>
              <w:tr2bl w:val="nil"/>
            </w:tcBorders>
            <w:shd w:val="clear" w:color="auto" w:fill="auto"/>
            <w:vAlign w:val="center"/>
          </w:tcPr>
          <w:p w14:paraId="2E1BCB92">
            <w:pPr>
              <w:widowControl/>
              <w:jc w:val="center"/>
              <w:textAlignment w:val="center"/>
              <w:rPr>
                <w:rFonts w:ascii="Times New Roman" w:hAnsi="Times New Roman" w:eastAsia="宋体" w:cs="Times New Roman"/>
                <w:color w:val="auto"/>
                <w:kern w:val="2"/>
                <w:sz w:val="21"/>
                <w:szCs w:val="21"/>
                <w:lang w:val="en-US" w:eastAsia="zh-CN" w:bidi="ar-SA"/>
              </w:rPr>
            </w:pPr>
            <w:r>
              <w:rPr>
                <w:color w:val="auto"/>
                <w:kern w:val="0"/>
                <w:szCs w:val="21"/>
                <w:lang w:bidi="ar"/>
              </w:rPr>
              <w:t>1</w:t>
            </w:r>
          </w:p>
        </w:tc>
        <w:tc>
          <w:tcPr>
            <w:tcW w:w="560" w:type="pct"/>
            <w:tcBorders>
              <w:tl2br w:val="nil"/>
              <w:tr2bl w:val="nil"/>
            </w:tcBorders>
            <w:shd w:val="clear" w:color="auto" w:fill="auto"/>
            <w:vAlign w:val="center"/>
          </w:tcPr>
          <w:p w14:paraId="5E5CB7D7">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YG-L-Q/Y10</w:t>
            </w:r>
          </w:p>
        </w:tc>
        <w:tc>
          <w:tcPr>
            <w:tcW w:w="562" w:type="pct"/>
            <w:tcBorders>
              <w:tl2br w:val="nil"/>
              <w:tr2bl w:val="nil"/>
            </w:tcBorders>
            <w:shd w:val="clear" w:color="auto" w:fill="auto"/>
            <w:vAlign w:val="center"/>
          </w:tcPr>
          <w:p w14:paraId="77A9A11B">
            <w:pPr>
              <w:widowControl/>
              <w:jc w:val="center"/>
              <w:textAlignment w:val="center"/>
              <w:rPr>
                <w:rFonts w:ascii="Times New Roman" w:hAnsi="Times New Roman" w:eastAsia="宋体" w:cs="Times New Roman"/>
                <w:color w:val="auto"/>
                <w:kern w:val="2"/>
                <w:sz w:val="21"/>
                <w:szCs w:val="21"/>
                <w:lang w:val="en-US" w:eastAsia="zh-CN" w:bidi="ar-SA"/>
              </w:rPr>
            </w:pPr>
            <w:r>
              <w:rPr>
                <w:color w:val="auto"/>
                <w:kern w:val="0"/>
                <w:szCs w:val="21"/>
                <w:lang w:bidi="ar"/>
              </w:rPr>
              <w:t>1</w:t>
            </w:r>
          </w:p>
        </w:tc>
        <w:tc>
          <w:tcPr>
            <w:tcW w:w="518" w:type="pct"/>
            <w:tcBorders>
              <w:tl2br w:val="nil"/>
              <w:tr2bl w:val="nil"/>
            </w:tcBorders>
            <w:vAlign w:val="center"/>
          </w:tcPr>
          <w:p w14:paraId="34CE5684">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w:t>
            </w:r>
          </w:p>
        </w:tc>
        <w:tc>
          <w:tcPr>
            <w:tcW w:w="521" w:type="pct"/>
            <w:tcBorders>
              <w:tl2br w:val="nil"/>
              <w:tr2bl w:val="nil"/>
            </w:tcBorders>
            <w:vAlign w:val="center"/>
          </w:tcPr>
          <w:p w14:paraId="215A8050">
            <w:pPr>
              <w:widowControl/>
              <w:jc w:val="center"/>
              <w:textAlignment w:val="center"/>
              <w:rPr>
                <w:rFonts w:hint="eastAsia" w:eastAsia="宋体"/>
                <w:color w:val="auto"/>
                <w:szCs w:val="21"/>
                <w:lang w:eastAsia="zh-CN"/>
              </w:rPr>
            </w:pPr>
            <w:r>
              <w:rPr>
                <w:rFonts w:hint="eastAsia"/>
                <w:color w:val="auto"/>
                <w:kern w:val="0"/>
                <w:szCs w:val="21"/>
                <w:lang w:val="en-US" w:eastAsia="zh-CN" w:bidi="ar"/>
              </w:rPr>
              <w:t>0</w:t>
            </w:r>
          </w:p>
        </w:tc>
        <w:tc>
          <w:tcPr>
            <w:tcW w:w="794" w:type="pct"/>
            <w:vMerge w:val="continue"/>
            <w:tcBorders>
              <w:tl2br w:val="nil"/>
              <w:tr2bl w:val="nil"/>
            </w:tcBorders>
            <w:noWrap/>
            <w:vAlign w:val="center"/>
          </w:tcPr>
          <w:p w14:paraId="7666109C">
            <w:pPr>
              <w:widowControl/>
              <w:jc w:val="center"/>
              <w:textAlignment w:val="bottom"/>
              <w:rPr>
                <w:rFonts w:hint="eastAsia"/>
                <w:color w:val="auto"/>
                <w:szCs w:val="21"/>
                <w:lang w:val="en-US" w:eastAsia="zh-CN"/>
              </w:rPr>
            </w:pPr>
          </w:p>
        </w:tc>
      </w:tr>
      <w:tr w14:paraId="5F1157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79" w:hRule="atLeast"/>
        </w:trPr>
        <w:tc>
          <w:tcPr>
            <w:tcW w:w="387" w:type="pct"/>
            <w:tcBorders>
              <w:tl2br w:val="nil"/>
              <w:tr2bl w:val="nil"/>
            </w:tcBorders>
            <w:vAlign w:val="center"/>
          </w:tcPr>
          <w:p w14:paraId="3690AD5C">
            <w:pPr>
              <w:widowControl/>
              <w:jc w:val="center"/>
              <w:textAlignment w:val="center"/>
              <w:rPr>
                <w:rFonts w:hint="default"/>
                <w:color w:val="auto"/>
                <w:szCs w:val="21"/>
                <w:lang w:val="en-US" w:eastAsia="zh-CN"/>
              </w:rPr>
            </w:pPr>
            <w:r>
              <w:rPr>
                <w:rFonts w:hint="eastAsia"/>
                <w:color w:val="auto"/>
                <w:szCs w:val="21"/>
                <w:lang w:val="en-US" w:eastAsia="zh-CN"/>
              </w:rPr>
              <w:t>7</w:t>
            </w:r>
          </w:p>
        </w:tc>
        <w:tc>
          <w:tcPr>
            <w:tcW w:w="533" w:type="pct"/>
            <w:tcBorders>
              <w:tl2br w:val="nil"/>
              <w:tr2bl w:val="nil"/>
            </w:tcBorders>
            <w:vAlign w:val="center"/>
          </w:tcPr>
          <w:p w14:paraId="414FE0A1">
            <w:pPr>
              <w:widowControl/>
              <w:jc w:val="center"/>
              <w:textAlignment w:val="center"/>
              <w:rPr>
                <w:rFonts w:hint="default"/>
                <w:color w:val="auto"/>
                <w:szCs w:val="21"/>
                <w:lang w:val="en-US"/>
              </w:rPr>
            </w:pPr>
            <w:r>
              <w:rPr>
                <w:rFonts w:hint="eastAsia"/>
                <w:color w:val="auto"/>
                <w:szCs w:val="21"/>
                <w:lang w:val="en-US" w:eastAsia="zh-CN"/>
              </w:rPr>
              <w:t>铸锭叠锭生产线</w:t>
            </w:r>
          </w:p>
        </w:tc>
        <w:tc>
          <w:tcPr>
            <w:tcW w:w="560" w:type="pct"/>
            <w:tcBorders>
              <w:tl2br w:val="nil"/>
              <w:tr2bl w:val="nil"/>
            </w:tcBorders>
            <w:shd w:val="clear" w:color="auto" w:fill="auto"/>
            <w:vAlign w:val="center"/>
          </w:tcPr>
          <w:p w14:paraId="0E80C63B">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260模</w:t>
            </w:r>
          </w:p>
        </w:tc>
        <w:tc>
          <w:tcPr>
            <w:tcW w:w="561" w:type="pct"/>
            <w:tcBorders>
              <w:tl2br w:val="nil"/>
              <w:tr2bl w:val="nil"/>
            </w:tcBorders>
            <w:shd w:val="clear" w:color="auto" w:fill="auto"/>
            <w:vAlign w:val="center"/>
          </w:tcPr>
          <w:p w14:paraId="1940D98A">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2</w:t>
            </w:r>
          </w:p>
        </w:tc>
        <w:tc>
          <w:tcPr>
            <w:tcW w:w="560" w:type="pct"/>
            <w:tcBorders>
              <w:tl2br w:val="nil"/>
              <w:tr2bl w:val="nil"/>
            </w:tcBorders>
            <w:shd w:val="clear" w:color="auto" w:fill="auto"/>
            <w:vAlign w:val="center"/>
          </w:tcPr>
          <w:p w14:paraId="21EF18BC">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260模</w:t>
            </w:r>
          </w:p>
        </w:tc>
        <w:tc>
          <w:tcPr>
            <w:tcW w:w="562" w:type="pct"/>
            <w:tcBorders>
              <w:tl2br w:val="nil"/>
              <w:tr2bl w:val="nil"/>
            </w:tcBorders>
            <w:shd w:val="clear" w:color="auto" w:fill="auto"/>
            <w:vAlign w:val="center"/>
          </w:tcPr>
          <w:p w14:paraId="5C065639">
            <w:pPr>
              <w:widowControl/>
              <w:jc w:val="center"/>
              <w:textAlignment w:val="center"/>
              <w:rPr>
                <w:color w:val="auto"/>
                <w:kern w:val="0"/>
                <w:szCs w:val="21"/>
                <w:lang w:bidi="ar"/>
              </w:rPr>
            </w:pPr>
            <w:r>
              <w:rPr>
                <w:rFonts w:hint="eastAsia"/>
                <w:color w:val="auto"/>
                <w:kern w:val="0"/>
                <w:szCs w:val="21"/>
                <w:lang w:val="en-US" w:eastAsia="zh-CN" w:bidi="ar"/>
              </w:rPr>
              <w:t>2</w:t>
            </w:r>
          </w:p>
        </w:tc>
        <w:tc>
          <w:tcPr>
            <w:tcW w:w="518" w:type="pct"/>
            <w:tcBorders>
              <w:tl2br w:val="nil"/>
              <w:tr2bl w:val="nil"/>
            </w:tcBorders>
            <w:vAlign w:val="center"/>
          </w:tcPr>
          <w:p w14:paraId="0E4493E1">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500模</w:t>
            </w:r>
          </w:p>
        </w:tc>
        <w:tc>
          <w:tcPr>
            <w:tcW w:w="521" w:type="pct"/>
            <w:tcBorders>
              <w:tl2br w:val="nil"/>
              <w:tr2bl w:val="nil"/>
            </w:tcBorders>
            <w:vAlign w:val="center"/>
          </w:tcPr>
          <w:p w14:paraId="4DD3E50B">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2</w:t>
            </w:r>
          </w:p>
        </w:tc>
        <w:tc>
          <w:tcPr>
            <w:tcW w:w="794" w:type="pct"/>
            <w:tcBorders>
              <w:tl2br w:val="nil"/>
              <w:tr2bl w:val="nil"/>
            </w:tcBorders>
            <w:noWrap/>
            <w:vAlign w:val="center"/>
          </w:tcPr>
          <w:p w14:paraId="02A26C4A">
            <w:pPr>
              <w:widowControl/>
              <w:jc w:val="center"/>
              <w:textAlignment w:val="bottom"/>
              <w:rPr>
                <w:rFonts w:hint="eastAsia"/>
                <w:color w:val="auto"/>
                <w:szCs w:val="21"/>
                <w:lang w:val="en-US" w:eastAsia="zh-CN"/>
              </w:rPr>
            </w:pPr>
            <w:r>
              <w:rPr>
                <w:rFonts w:hint="eastAsia"/>
                <w:color w:val="auto"/>
                <w:szCs w:val="21"/>
                <w:lang w:val="en-US" w:eastAsia="zh-CN"/>
              </w:rPr>
              <w:t>为适应产品结构升级，满足高端化、高效铸锭的生产需求，将2条260模铸锭叠锭线更新为2条500模铸锭叠锭线</w:t>
            </w:r>
          </w:p>
        </w:tc>
      </w:tr>
    </w:tbl>
    <w:p w14:paraId="26213F6F">
      <w:pPr>
        <w:spacing w:line="360" w:lineRule="auto"/>
        <w:ind w:firstLine="480" w:firstLineChars="200"/>
        <w:rPr>
          <w:rFonts w:hint="eastAsia"/>
          <w:color w:val="auto"/>
          <w:sz w:val="24"/>
          <w:szCs w:val="32"/>
          <w:lang w:val="en-US" w:eastAsia="zh-CN"/>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2A60A919">
      <w:pPr>
        <w:spacing w:line="360" w:lineRule="auto"/>
        <w:outlineLvl w:val="2"/>
        <w:rPr>
          <w:rFonts w:hint="eastAsia"/>
          <w:b/>
          <w:bCs/>
          <w:color w:val="auto"/>
          <w:sz w:val="24"/>
          <w:lang w:val="en-US" w:eastAsia="zh-CN"/>
        </w:rPr>
      </w:pPr>
      <w:r>
        <w:rPr>
          <w:rFonts w:hint="eastAsia"/>
          <w:b/>
          <w:bCs/>
          <w:color w:val="auto"/>
          <w:sz w:val="24"/>
          <w:lang w:val="en-US" w:eastAsia="zh-CN"/>
        </w:rPr>
        <w:t>3.1.3.1 更新后的30T及40T蓄热式熔铝炉先进性分析</w:t>
      </w:r>
    </w:p>
    <w:p w14:paraId="3F7BF276">
      <w:pPr>
        <w:spacing w:line="360" w:lineRule="auto"/>
        <w:ind w:firstLine="480" w:firstLineChars="200"/>
        <w:outlineLvl w:val="2"/>
        <w:rPr>
          <w:rFonts w:hint="default"/>
          <w:b w:val="0"/>
          <w:bCs w:val="0"/>
          <w:color w:val="auto"/>
          <w:sz w:val="24"/>
          <w:lang w:val="en-US" w:eastAsia="zh-CN"/>
        </w:rPr>
      </w:pPr>
      <w:r>
        <w:rPr>
          <w:rFonts w:hint="eastAsia"/>
          <w:b w:val="0"/>
          <w:bCs w:val="0"/>
          <w:color w:val="auto"/>
          <w:sz w:val="24"/>
          <w:lang w:val="en-US" w:eastAsia="zh-CN"/>
        </w:rPr>
        <w:t>（1）核心技术与系统设计</w:t>
      </w:r>
    </w:p>
    <w:p w14:paraId="2BC05450">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①</w:t>
      </w:r>
      <w:r>
        <w:rPr>
          <w:rFonts w:hint="eastAsia"/>
          <w:b w:val="0"/>
          <w:bCs w:val="0"/>
          <w:color w:val="auto"/>
          <w:sz w:val="24"/>
          <w:lang w:val="en-US" w:eastAsia="zh-CN"/>
        </w:rPr>
        <w:t>蓄热式燃烧技术：采用双烧嘴平行布置，搭配周期性换向燃烧机制（每30~60秒自动换向），火焰与炉料逆向流动，热交换效率＞90%；通过高温烟气预热助燃空气，常温空气可被加热至仅比炉内烟气温度低150°C，大幅提升燃烧强度与热量利用率。</w:t>
      </w:r>
    </w:p>
    <w:p w14:paraId="0BC05291">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②</w:t>
      </w:r>
      <w:r>
        <w:rPr>
          <w:rFonts w:hint="eastAsia"/>
          <w:b w:val="0"/>
          <w:bCs w:val="0"/>
          <w:color w:val="auto"/>
          <w:sz w:val="24"/>
          <w:lang w:val="en-US" w:eastAsia="zh-CN"/>
        </w:rPr>
        <w:t>智能控制系统：搭载PLC全自动控制系统，集成触摸屏操作、测温热电偶、烟气温度传感器，形成闭环控制；实时监测炉膛温度（精度±20℃）、排烟温度，自动调节空燃比至1.0~1.1，避免燃气浪费或不完全燃烧；具备远程故障诊断功能，预留未来工厂数字化信息系统接口，支持后续数字化升级。</w:t>
      </w:r>
    </w:p>
    <w:p w14:paraId="59FC40B7">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③</w:t>
      </w:r>
      <w:r>
        <w:rPr>
          <w:rFonts w:hint="eastAsia"/>
          <w:b w:val="0"/>
          <w:bCs w:val="0"/>
          <w:color w:val="auto"/>
          <w:sz w:val="24"/>
          <w:lang w:val="en-US" w:eastAsia="zh-CN"/>
        </w:rPr>
        <w:t>结构优化设计：炉体为方形快速节能结构，炉壳采用Q235A钢板+10#钢加固，关键部位用100x50矩形钢管、20#槽钢强化，全焊接工艺确保气密性与刚性，热负荷下无变形；炉门为电动升降式，搭配斜拉自重压紧+双轨道密封，无扒渣精炼死角，适配叉车加料与扒渣作业，操作便捷高效。</w:t>
      </w:r>
    </w:p>
    <w:p w14:paraId="43E7AAF4">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④</w:t>
      </w:r>
      <w:r>
        <w:rPr>
          <w:rFonts w:hint="eastAsia"/>
          <w:b w:val="0"/>
          <w:bCs w:val="0"/>
          <w:color w:val="auto"/>
          <w:sz w:val="24"/>
          <w:lang w:val="en-US" w:eastAsia="zh-CN"/>
        </w:rPr>
        <w:t>原料与生产适配性：兼容废旧铝制品（易拉罐、门窗型材）、铝板边角料等不规则原料，无需预处理，原料利用率≥98%；支持50%铝锭+50%板废料的混合投料模式，两台熔炼炉（30T及40T蓄热式熔铝炉）用于熔化，一台30T炉精炼炉协同运行，满足年产能5.05万吨再生铝合金锭项目的生产需求。</w:t>
      </w:r>
    </w:p>
    <w:p w14:paraId="3F044A4C">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（2）能耗指标优化</w:t>
      </w:r>
    </w:p>
    <w:p w14:paraId="07904302">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①</w:t>
      </w:r>
      <w:r>
        <w:rPr>
          <w:rFonts w:hint="eastAsia"/>
          <w:b w:val="0"/>
          <w:bCs w:val="0"/>
          <w:color w:val="auto"/>
          <w:sz w:val="24"/>
          <w:lang w:val="en-US" w:eastAsia="zh-CN"/>
        </w:rPr>
        <w:t>综合能耗领先：双炉型综合单吨天然气能耗≤65Nm³/[T.AL]（50%铝锭+50%板废料，原材料出成率≥80%），大规模生产中能源节约效果显著。</w:t>
      </w:r>
    </w:p>
    <w:p w14:paraId="36E5E8A4">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②</w:t>
      </w:r>
      <w:r>
        <w:rPr>
          <w:rFonts w:hint="eastAsia"/>
          <w:b w:val="0"/>
          <w:bCs w:val="0"/>
          <w:color w:val="auto"/>
          <w:sz w:val="24"/>
          <w:lang w:val="en-US" w:eastAsia="zh-CN"/>
        </w:rPr>
        <w:t>余热回收高效：配备蓄热式余热回收系统，通过氧化铝小球蓄热体（蓄热能力≥1000kJ/kg）吸收高温烟气（800~1000℃）热量，预热助燃空气至250~300°C，使天然气消耗降低25%~30%。</w:t>
      </w:r>
    </w:p>
    <w:p w14:paraId="61A2BE89">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③</w:t>
      </w:r>
      <w:r>
        <w:rPr>
          <w:rFonts w:hint="eastAsia"/>
          <w:b w:val="0"/>
          <w:bCs w:val="0"/>
          <w:color w:val="auto"/>
          <w:sz w:val="24"/>
          <w:lang w:val="en-US" w:eastAsia="zh-CN"/>
        </w:rPr>
        <w:t>低散热设计：炉体外壁正常工作温度＜65°C，低于传统熔铝炉（通常≥80°C）；炉体多层复合耐火保温结构（硅酸铝保温棉≥60mm+保温砖230mm+浇注料≥80mm+一级高铝砖230mm）形成梯度隔热，有效阻隔热量外泄，减少持续加热的能源补充需求。</w:t>
      </w:r>
    </w:p>
    <w:p w14:paraId="03A6720A">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（3）环保配套与结构设计</w:t>
      </w:r>
    </w:p>
    <w:p w14:paraId="4F0987EA">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①</w:t>
      </w:r>
      <w:r>
        <w:rPr>
          <w:rFonts w:hint="eastAsia"/>
          <w:b w:val="0"/>
          <w:bCs w:val="0"/>
          <w:color w:val="auto"/>
          <w:sz w:val="24"/>
          <w:lang w:val="en-US" w:eastAsia="zh-CN"/>
        </w:rPr>
        <w:t>烟气处理系统：炉体配备炉门口集烟罩+高温烟阀+换热器+耐高温铸件排烟管，烟气经余热回收降温至≤150℃后，接入后端除尘器（除尘效率≥99%），确保烟尘超低排放；排烟管道采用耐腐材质，避免冷凝水与硫化物腐蚀，延长使用寿命。</w:t>
      </w:r>
    </w:p>
    <w:p w14:paraId="6163AE86">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②</w:t>
      </w:r>
      <w:r>
        <w:rPr>
          <w:rFonts w:hint="eastAsia"/>
          <w:b w:val="0"/>
          <w:bCs w:val="0"/>
          <w:color w:val="auto"/>
          <w:sz w:val="24"/>
          <w:lang w:val="en-US" w:eastAsia="zh-CN"/>
        </w:rPr>
        <w:t>密封与无组织排放控制：炉体全焊接结构+炉门多重密封设计，减少烟气外泄；换向阀、燃气管道法兰等关键接口采用密封强化设计，防止燃气泄漏与无组织排放；炉体钢结构及管道采用Q235材质，无有害涂层脱落风险。</w:t>
      </w:r>
    </w:p>
    <w:p w14:paraId="1A50B043">
      <w:pPr>
        <w:numPr>
          <w:ilvl w:val="0"/>
          <w:numId w:val="0"/>
        </w:numPr>
        <w:spacing w:line="360" w:lineRule="auto"/>
        <w:ind w:left="0" w:leftChars="0" w:firstLine="480" w:firstLineChars="200"/>
        <w:outlineLvl w:val="2"/>
        <w:rPr>
          <w:rFonts w:hint="default"/>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③</w:t>
      </w:r>
      <w:r>
        <w:rPr>
          <w:rFonts w:hint="eastAsia"/>
          <w:b w:val="0"/>
          <w:bCs w:val="0"/>
          <w:color w:val="auto"/>
          <w:sz w:val="24"/>
          <w:lang w:val="en-US" w:eastAsia="zh-CN"/>
        </w:rPr>
        <w:t>污染物减量设计：火焰远离炉料设计（沿炉底向上穿透），铝液氧化烧损率≤1.0%（行业平均1.5%~3%），减少铝渣产生量；配套的脉冲布袋除尘器可高效处理烟尘，避免粉尘污染，且除尘器本体及集烟罩质保5年，运行稳定性强。</w:t>
      </w:r>
    </w:p>
    <w:p w14:paraId="318393FC">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采用先进30t、40t蓄热式熔铝炉，能耗更低、熔化能力更强、铝液质量更稳定，污染物排放更少，设备运行更安全可靠，可更好配合铸锭的高效生产。</w:t>
      </w:r>
    </w:p>
    <w:p w14:paraId="7CADDD31">
      <w:pPr>
        <w:spacing w:line="360" w:lineRule="auto"/>
        <w:outlineLvl w:val="2"/>
        <w:rPr>
          <w:rFonts w:hint="default"/>
          <w:b w:val="0"/>
          <w:bCs w:val="0"/>
          <w:color w:val="auto"/>
          <w:sz w:val="24"/>
          <w:lang w:val="en-US" w:eastAsia="zh-CN"/>
        </w:rPr>
      </w:pPr>
      <w:r>
        <w:rPr>
          <w:rFonts w:hint="eastAsia"/>
          <w:b/>
          <w:bCs/>
          <w:color w:val="auto"/>
          <w:sz w:val="24"/>
          <w:lang w:val="en-US" w:eastAsia="zh-CN"/>
        </w:rPr>
        <w:t>3.1.3.2 500模铸锭叠锭生产线先进性分析</w:t>
      </w:r>
    </w:p>
    <w:p w14:paraId="7085CABF">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（1）装备大型化、规模化水平提升</w:t>
      </w:r>
    </w:p>
    <w:p w14:paraId="75A3D14D">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500模铸锭截面尺寸更大，可减少铸锭次数、转运频次及设备启停损耗，生产线整体产能配置更合理，生产组织更连续稳定，符合铝加工行业装备大型化、规模化的发展趋势。</w:t>
      </w:r>
    </w:p>
    <w:p w14:paraId="69AA011D">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（2）生产效率与</w:t>
      </w:r>
      <w:r>
        <w:rPr>
          <w:rFonts w:ascii="宋体" w:hAnsi="宋体" w:eastAsia="宋体" w:cs="宋体"/>
          <w:sz w:val="24"/>
          <w:szCs w:val="24"/>
        </w:rPr>
        <w:t>自动化</w:t>
      </w:r>
      <w:r>
        <w:rPr>
          <w:rFonts w:hint="eastAsia" w:ascii="宋体" w:hAnsi="宋体" w:eastAsia="宋体" w:cs="宋体"/>
          <w:sz w:val="24"/>
          <w:szCs w:val="24"/>
          <w:lang w:val="en-US" w:eastAsia="zh-CN"/>
        </w:rPr>
        <w:t>水平</w:t>
      </w:r>
      <w:r>
        <w:rPr>
          <w:rFonts w:hint="eastAsia"/>
          <w:b w:val="0"/>
          <w:bCs w:val="0"/>
          <w:color w:val="auto"/>
          <w:sz w:val="24"/>
          <w:lang w:val="en-US" w:eastAsia="zh-CN"/>
        </w:rPr>
        <w:t>提高</w:t>
      </w:r>
    </w:p>
    <w:p w14:paraId="405590A4">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500模铸锭生产线配套自动脱模、自动清理、自动叠锭、自动码垛等自动化装置，减少人工操作环节，降低人为因素对生产稳定性的影响。控制系统采用集中PLC控制，实现工艺参数精准调控与运行状态在线监测，运行可靠性与智能化管理水平显著提高。</w:t>
      </w:r>
    </w:p>
    <w:p w14:paraId="64B87394">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大截面铸锭可减少浇铸、脱模、铣面、叠锭、码垛等工序的循环次数，降低人工干预强度。叠锭工序配套相应自动定位、自动夹紧、自动转运装置，工序衔接更顺畅，单位时间有效产出更高，人工劳动强度下降，劳动生产率明显提升。</w:t>
      </w:r>
    </w:p>
    <w:p w14:paraId="093AC8D5">
      <w:pPr>
        <w:spacing w:line="360" w:lineRule="auto"/>
        <w:jc w:val="center"/>
        <w:outlineLvl w:val="2"/>
        <w:rPr>
          <w:rFonts w:hint="eastAsia"/>
          <w:b w:val="0"/>
          <w:bCs w:val="0"/>
          <w:color w:val="auto"/>
          <w:sz w:val="24"/>
          <w:lang w:val="en-US" w:eastAsia="zh-CN"/>
        </w:rPr>
      </w:pPr>
      <w:r>
        <w:rPr>
          <w:rFonts w:hint="eastAsia"/>
          <w:b w:val="0"/>
          <w:bCs w:val="0"/>
          <w:color w:val="auto"/>
          <w:sz w:val="24"/>
          <w:lang w:val="en-US" w:eastAsia="zh-CN"/>
        </w:rPr>
        <w:drawing>
          <wp:inline distT="0" distB="0" distL="114300" distR="114300">
            <wp:extent cx="4135120" cy="2280920"/>
            <wp:effectExtent l="0" t="0" r="17780" b="5080"/>
            <wp:docPr id="32" name="图片 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
                    <pic:cNvPicPr>
                      <a:picLocks noChangeAspect="1"/>
                    </pic:cNvPicPr>
                  </pic:nvPicPr>
                  <pic:blipFill>
                    <a:blip r:embed="rId21"/>
                    <a:stretch>
                      <a:fillRect/>
                    </a:stretch>
                  </pic:blipFill>
                  <pic:spPr>
                    <a:xfrm>
                      <a:off x="0" y="0"/>
                      <a:ext cx="4135120" cy="2280920"/>
                    </a:xfrm>
                    <a:prstGeom prst="rect">
                      <a:avLst/>
                    </a:prstGeom>
                  </pic:spPr>
                </pic:pic>
              </a:graphicData>
            </a:graphic>
          </wp:inline>
        </w:drawing>
      </w:r>
    </w:p>
    <w:p w14:paraId="25F9D2F3">
      <w:pPr>
        <w:spacing w:line="360" w:lineRule="auto"/>
        <w:jc w:val="center"/>
        <w:outlineLvl w:val="2"/>
        <w:rPr>
          <w:rFonts w:hint="default"/>
          <w:b w:val="0"/>
          <w:bCs w:val="0"/>
          <w:color w:val="auto"/>
          <w:sz w:val="24"/>
          <w:lang w:val="en-US" w:eastAsia="zh-CN"/>
        </w:rPr>
      </w:pPr>
      <w:r>
        <w:rPr>
          <w:rFonts w:hint="eastAsia"/>
          <w:b/>
          <w:bCs/>
          <w:color w:val="auto"/>
          <w:sz w:val="24"/>
          <w:lang w:val="en-US" w:eastAsia="zh-CN"/>
        </w:rPr>
        <w:t>图 3-1 机械臂叠锭示意图</w:t>
      </w:r>
    </w:p>
    <w:p w14:paraId="295A8E38">
      <w:pPr>
        <w:spacing w:line="360" w:lineRule="auto"/>
        <w:ind w:firstLine="480" w:firstLineChars="200"/>
        <w:outlineLvl w:val="2"/>
        <w:rPr>
          <w:rFonts w:hint="default"/>
          <w:b w:val="0"/>
          <w:bCs w:val="0"/>
          <w:color w:val="auto"/>
          <w:sz w:val="24"/>
          <w:lang w:val="en-US" w:eastAsia="zh-CN"/>
        </w:rPr>
      </w:pPr>
      <w:r>
        <w:rPr>
          <w:rFonts w:hint="eastAsia"/>
          <w:b w:val="0"/>
          <w:bCs w:val="0"/>
          <w:color w:val="auto"/>
          <w:sz w:val="24"/>
          <w:lang w:val="en-US" w:eastAsia="zh-CN"/>
        </w:rPr>
        <w:t>（3）产品质量提升</w:t>
      </w:r>
    </w:p>
    <w:p w14:paraId="68FD7B2C">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500模高效铸锭在凝固过程中冷却更均匀，补缩条件改善，可有效减轻中心疏松、偏析、缩孔等铸造缺陷，铸锭内部致密度更高。同时大锭型更利于后续均匀铣面加工，表面质量与成材率提升，产品一致性与稳定性优于小规格铸锭，更能满足下游加工对铸锭内部质量的要求。</w:t>
      </w:r>
    </w:p>
    <w:p w14:paraId="6CAD9C37">
      <w:pPr>
        <w:spacing w:line="360" w:lineRule="auto"/>
        <w:outlineLvl w:val="2"/>
        <w:rPr>
          <w:rFonts w:hint="eastAsia" w:eastAsia="宋体"/>
          <w:b/>
          <w:bCs/>
          <w:color w:val="auto"/>
          <w:sz w:val="24"/>
          <w:lang w:val="en-US" w:eastAsia="zh-CN"/>
        </w:rPr>
      </w:pPr>
      <w:r>
        <w:rPr>
          <w:b/>
          <w:bCs/>
          <w:color w:val="auto"/>
          <w:sz w:val="24"/>
        </w:rPr>
        <w:t>3.1.4 原辅材料使用情况</w:t>
      </w:r>
      <w:r>
        <w:rPr>
          <w:rFonts w:hint="eastAsia"/>
          <w:b/>
          <w:bCs/>
          <w:color w:val="auto"/>
          <w:sz w:val="24"/>
          <w:lang w:val="en-US" w:eastAsia="zh-CN"/>
        </w:rPr>
        <w:t>和</w:t>
      </w:r>
      <w:r>
        <w:rPr>
          <w:rFonts w:hint="eastAsia" w:ascii="Times New Roman" w:hAnsi="Times New Roman" w:eastAsia="宋体" w:cs="Times New Roman"/>
          <w:b/>
          <w:bCs/>
          <w:color w:val="auto"/>
          <w:sz w:val="24"/>
          <w:lang w:val="en-US" w:eastAsia="zh-CN"/>
        </w:rPr>
        <w:t>原料废铝来源及控制要求</w:t>
      </w:r>
    </w:p>
    <w:p w14:paraId="667B0D52">
      <w:pPr>
        <w:spacing w:line="360" w:lineRule="auto"/>
        <w:rPr>
          <w:rFonts w:hint="default"/>
          <w:color w:val="auto"/>
          <w:sz w:val="24"/>
          <w:lang w:val="en-US" w:eastAsia="zh-CN"/>
        </w:rPr>
      </w:pPr>
      <w:bookmarkStart w:id="282" w:name="_Toc6051"/>
      <w:r>
        <w:rPr>
          <w:rFonts w:hint="eastAsia"/>
          <w:b/>
          <w:bCs/>
          <w:color w:val="auto"/>
          <w:sz w:val="24"/>
          <w:lang w:val="en-US" w:eastAsia="zh-CN"/>
        </w:rPr>
        <w:t xml:space="preserve">3.1.4.1 </w:t>
      </w:r>
      <w:r>
        <w:rPr>
          <w:b/>
          <w:bCs/>
          <w:color w:val="auto"/>
          <w:sz w:val="24"/>
        </w:rPr>
        <w:t>原辅材料使用情况</w:t>
      </w:r>
    </w:p>
    <w:p w14:paraId="5B4EE04A">
      <w:pPr>
        <w:spacing w:line="360" w:lineRule="auto"/>
        <w:ind w:firstLine="480" w:firstLineChars="200"/>
        <w:rPr>
          <w:color w:val="auto"/>
          <w:sz w:val="24"/>
        </w:rPr>
      </w:pPr>
      <w:r>
        <w:rPr>
          <w:rFonts w:hint="eastAsia"/>
          <w:color w:val="auto"/>
          <w:sz w:val="24"/>
          <w:lang w:val="en-US" w:eastAsia="zh-CN"/>
        </w:rPr>
        <w:t>环评</w:t>
      </w:r>
      <w:r>
        <w:rPr>
          <w:color w:val="auto"/>
          <w:sz w:val="24"/>
        </w:rPr>
        <w:t>一期</w:t>
      </w:r>
      <w:r>
        <w:rPr>
          <w:rFonts w:hint="eastAsia"/>
          <w:color w:val="auto"/>
          <w:sz w:val="24"/>
          <w:lang w:val="en-US" w:eastAsia="zh-CN"/>
        </w:rPr>
        <w:t>工程及验收阶段与后评价阶段</w:t>
      </w:r>
      <w:r>
        <w:rPr>
          <w:color w:val="auto"/>
          <w:sz w:val="24"/>
        </w:rPr>
        <w:t>原辅材料使用情况</w:t>
      </w:r>
      <w:r>
        <w:rPr>
          <w:rFonts w:hint="eastAsia"/>
          <w:color w:val="auto"/>
          <w:sz w:val="24"/>
          <w:lang w:val="en-US" w:eastAsia="zh-CN"/>
        </w:rPr>
        <w:t>对比</w:t>
      </w:r>
      <w:r>
        <w:rPr>
          <w:color w:val="auto"/>
          <w:sz w:val="24"/>
        </w:rPr>
        <w:t>见下表：</w:t>
      </w:r>
      <w:bookmarkEnd w:id="282"/>
    </w:p>
    <w:p w14:paraId="7BFF6FE3">
      <w:pPr>
        <w:spacing w:line="360" w:lineRule="auto"/>
        <w:jc w:val="center"/>
        <w:rPr>
          <w:b/>
          <w:bCs/>
          <w:color w:val="auto"/>
          <w:sz w:val="24"/>
        </w:rPr>
      </w:pPr>
      <w:bookmarkStart w:id="283" w:name="_Toc30660"/>
      <w:r>
        <w:rPr>
          <w:b/>
          <w:bCs/>
          <w:color w:val="auto"/>
          <w:sz w:val="24"/>
        </w:rPr>
        <w:t>表3-</w:t>
      </w:r>
      <w:r>
        <w:rPr>
          <w:rFonts w:hint="eastAsia"/>
          <w:b/>
          <w:bCs/>
          <w:color w:val="auto"/>
          <w:sz w:val="24"/>
          <w:lang w:val="en-US" w:eastAsia="zh-CN"/>
        </w:rPr>
        <w:t>5</w:t>
      </w:r>
      <w:r>
        <w:rPr>
          <w:b/>
          <w:bCs/>
          <w:color w:val="auto"/>
          <w:sz w:val="24"/>
        </w:rPr>
        <w:t xml:space="preserve"> </w:t>
      </w:r>
      <w:r>
        <w:rPr>
          <w:rFonts w:hint="eastAsia"/>
          <w:b/>
          <w:bCs/>
          <w:color w:val="auto"/>
          <w:sz w:val="24"/>
          <w:lang w:val="en-US" w:eastAsia="zh-CN"/>
        </w:rPr>
        <w:t>环评</w:t>
      </w:r>
      <w:r>
        <w:rPr>
          <w:b/>
          <w:bCs/>
          <w:color w:val="auto"/>
          <w:sz w:val="24"/>
        </w:rPr>
        <w:t>一期</w:t>
      </w:r>
      <w:r>
        <w:rPr>
          <w:rFonts w:hint="eastAsia"/>
          <w:b/>
          <w:bCs/>
          <w:color w:val="auto"/>
          <w:sz w:val="24"/>
          <w:lang w:val="en-US" w:eastAsia="zh-CN"/>
        </w:rPr>
        <w:t>工程及验收阶段与后评价阶段</w:t>
      </w:r>
      <w:r>
        <w:rPr>
          <w:b/>
          <w:bCs/>
          <w:color w:val="auto"/>
          <w:sz w:val="24"/>
        </w:rPr>
        <w:t>原辅材料使用情况</w:t>
      </w:r>
      <w:r>
        <w:rPr>
          <w:rFonts w:hint="eastAsia"/>
          <w:b/>
          <w:bCs/>
          <w:color w:val="auto"/>
          <w:sz w:val="24"/>
          <w:lang w:val="en-US" w:eastAsia="zh-CN"/>
        </w:rPr>
        <w:t>对比</w:t>
      </w:r>
      <w:r>
        <w:rPr>
          <w:b/>
          <w:bCs/>
          <w:color w:val="auto"/>
          <w:sz w:val="24"/>
        </w:rPr>
        <w:t>一览表</w:t>
      </w:r>
      <w:bookmarkEnd w:id="283"/>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15" w:type="dxa"/>
          <w:left w:w="15" w:type="dxa"/>
          <w:bottom w:w="15" w:type="dxa"/>
          <w:right w:w="15" w:type="dxa"/>
        </w:tblCellMar>
      </w:tblPr>
      <w:tblGrid>
        <w:gridCol w:w="538"/>
        <w:gridCol w:w="1030"/>
        <w:gridCol w:w="978"/>
        <w:gridCol w:w="1001"/>
        <w:gridCol w:w="961"/>
        <w:gridCol w:w="950"/>
        <w:gridCol w:w="1508"/>
        <w:gridCol w:w="778"/>
        <w:gridCol w:w="1022"/>
        <w:gridCol w:w="1010"/>
      </w:tblGrid>
      <w:tr w14:paraId="7D973C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4783DF96">
            <w:pPr>
              <w:widowControl/>
              <w:jc w:val="center"/>
              <w:textAlignment w:val="center"/>
              <w:rPr>
                <w:b/>
                <w:bCs/>
                <w:color w:val="auto"/>
                <w:sz w:val="21"/>
                <w:szCs w:val="21"/>
              </w:rPr>
            </w:pPr>
            <w:r>
              <w:rPr>
                <w:b/>
                <w:bCs/>
                <w:color w:val="auto"/>
                <w:kern w:val="0"/>
                <w:sz w:val="21"/>
                <w:szCs w:val="21"/>
                <w:lang w:bidi="ar"/>
              </w:rPr>
              <w:t>序号</w:t>
            </w:r>
          </w:p>
        </w:tc>
        <w:tc>
          <w:tcPr>
            <w:tcW w:w="526" w:type="pct"/>
            <w:tcBorders>
              <w:tl2br w:val="nil"/>
              <w:tr2bl w:val="nil"/>
            </w:tcBorders>
            <w:noWrap/>
            <w:vAlign w:val="center"/>
          </w:tcPr>
          <w:p w14:paraId="6A95FB21">
            <w:pPr>
              <w:widowControl/>
              <w:jc w:val="center"/>
              <w:textAlignment w:val="center"/>
              <w:rPr>
                <w:b/>
                <w:bCs/>
                <w:color w:val="auto"/>
                <w:sz w:val="21"/>
                <w:szCs w:val="21"/>
              </w:rPr>
            </w:pPr>
            <w:r>
              <w:rPr>
                <w:b/>
                <w:bCs/>
                <w:color w:val="auto"/>
                <w:kern w:val="0"/>
                <w:sz w:val="21"/>
                <w:szCs w:val="21"/>
                <w:lang w:bidi="ar"/>
              </w:rPr>
              <w:t>名称</w:t>
            </w:r>
          </w:p>
        </w:tc>
        <w:tc>
          <w:tcPr>
            <w:tcW w:w="500" w:type="pct"/>
            <w:tcBorders>
              <w:tl2br w:val="nil"/>
              <w:tr2bl w:val="nil"/>
            </w:tcBorders>
            <w:noWrap/>
            <w:vAlign w:val="center"/>
          </w:tcPr>
          <w:p w14:paraId="4F510B98">
            <w:pPr>
              <w:widowControl/>
              <w:jc w:val="center"/>
              <w:textAlignment w:val="center"/>
              <w:rPr>
                <w:rFonts w:hint="eastAsia" w:eastAsia="宋体"/>
                <w:b/>
                <w:bCs/>
                <w:color w:val="auto"/>
                <w:sz w:val="21"/>
                <w:szCs w:val="21"/>
                <w:lang w:val="en-US" w:eastAsia="zh-CN"/>
              </w:rPr>
            </w:pPr>
            <w:r>
              <w:rPr>
                <w:rFonts w:hint="eastAsia"/>
                <w:b/>
                <w:bCs/>
                <w:color w:val="auto"/>
                <w:sz w:val="21"/>
                <w:szCs w:val="21"/>
                <w:lang w:val="en-US" w:eastAsia="zh-CN"/>
              </w:rPr>
              <w:t>主要成分</w:t>
            </w:r>
          </w:p>
        </w:tc>
        <w:tc>
          <w:tcPr>
            <w:tcW w:w="511" w:type="pct"/>
            <w:tcBorders>
              <w:tl2br w:val="nil"/>
              <w:tr2bl w:val="nil"/>
            </w:tcBorders>
            <w:noWrap/>
            <w:vAlign w:val="center"/>
          </w:tcPr>
          <w:p w14:paraId="539A34E2">
            <w:pPr>
              <w:widowControl/>
              <w:jc w:val="center"/>
              <w:textAlignment w:val="center"/>
              <w:rPr>
                <w:b/>
                <w:bCs/>
                <w:color w:val="auto"/>
                <w:sz w:val="21"/>
                <w:szCs w:val="21"/>
              </w:rPr>
            </w:pPr>
            <w:r>
              <w:rPr>
                <w:rFonts w:hint="eastAsia"/>
                <w:b/>
                <w:bCs/>
                <w:color w:val="auto"/>
                <w:kern w:val="0"/>
                <w:sz w:val="21"/>
                <w:szCs w:val="21"/>
                <w:lang w:val="en-US" w:eastAsia="zh-CN" w:bidi="ar"/>
              </w:rPr>
              <w:t>环评阶段</w:t>
            </w:r>
            <w:r>
              <w:rPr>
                <w:b/>
                <w:bCs/>
                <w:color w:val="auto"/>
                <w:kern w:val="0"/>
                <w:sz w:val="21"/>
                <w:szCs w:val="21"/>
                <w:lang w:bidi="ar"/>
              </w:rPr>
              <w:t>年耗(t/a)</w:t>
            </w:r>
          </w:p>
        </w:tc>
        <w:tc>
          <w:tcPr>
            <w:tcW w:w="491" w:type="pct"/>
            <w:tcBorders>
              <w:tl2br w:val="nil"/>
              <w:tr2bl w:val="nil"/>
            </w:tcBorders>
            <w:noWrap/>
            <w:vAlign w:val="center"/>
          </w:tcPr>
          <w:p w14:paraId="2C8CF968">
            <w:pPr>
              <w:widowControl/>
              <w:jc w:val="center"/>
              <w:textAlignment w:val="center"/>
              <w:rPr>
                <w:rFonts w:hint="eastAsia"/>
                <w:b/>
                <w:bCs/>
                <w:color w:val="auto"/>
                <w:kern w:val="0"/>
                <w:sz w:val="21"/>
                <w:szCs w:val="21"/>
                <w:lang w:val="en-US" w:eastAsia="zh-CN" w:bidi="ar"/>
              </w:rPr>
            </w:pPr>
            <w:r>
              <w:rPr>
                <w:rFonts w:hint="eastAsia"/>
                <w:b/>
                <w:bCs/>
                <w:color w:val="auto"/>
                <w:kern w:val="0"/>
                <w:sz w:val="21"/>
                <w:szCs w:val="21"/>
                <w:lang w:val="en-US" w:eastAsia="zh-CN" w:bidi="ar"/>
              </w:rPr>
              <w:t>验收阶段年耗量</w:t>
            </w:r>
            <w:r>
              <w:rPr>
                <w:b/>
                <w:bCs/>
                <w:color w:val="auto"/>
                <w:kern w:val="0"/>
                <w:sz w:val="21"/>
                <w:szCs w:val="21"/>
                <w:lang w:bidi="ar"/>
              </w:rPr>
              <w:t>(t/a)</w:t>
            </w:r>
          </w:p>
        </w:tc>
        <w:tc>
          <w:tcPr>
            <w:tcW w:w="485" w:type="pct"/>
            <w:tcBorders>
              <w:tl2br w:val="nil"/>
              <w:tr2bl w:val="nil"/>
            </w:tcBorders>
            <w:noWrap/>
            <w:vAlign w:val="center"/>
          </w:tcPr>
          <w:p w14:paraId="2EC19E7C">
            <w:pPr>
              <w:widowControl/>
              <w:jc w:val="center"/>
              <w:textAlignment w:val="center"/>
              <w:rPr>
                <w:rFonts w:hint="default" w:eastAsia="宋体"/>
                <w:b/>
                <w:bCs/>
                <w:color w:val="auto"/>
                <w:kern w:val="0"/>
                <w:sz w:val="21"/>
                <w:szCs w:val="21"/>
                <w:lang w:val="en-US" w:eastAsia="zh-CN" w:bidi="ar"/>
              </w:rPr>
            </w:pPr>
            <w:r>
              <w:rPr>
                <w:rFonts w:hint="eastAsia"/>
                <w:b/>
                <w:bCs/>
                <w:color w:val="auto"/>
                <w:kern w:val="0"/>
                <w:sz w:val="21"/>
                <w:szCs w:val="21"/>
                <w:lang w:val="en-US" w:eastAsia="zh-CN" w:bidi="ar"/>
              </w:rPr>
              <w:t>后评价阶段年耗量</w:t>
            </w:r>
            <w:r>
              <w:rPr>
                <w:b/>
                <w:bCs/>
                <w:color w:val="auto"/>
                <w:kern w:val="0"/>
                <w:sz w:val="21"/>
                <w:szCs w:val="21"/>
                <w:lang w:bidi="ar"/>
              </w:rPr>
              <w:t>(t/a)</w:t>
            </w:r>
          </w:p>
        </w:tc>
        <w:tc>
          <w:tcPr>
            <w:tcW w:w="771" w:type="pct"/>
            <w:tcBorders>
              <w:tl2br w:val="nil"/>
              <w:tr2bl w:val="nil"/>
            </w:tcBorders>
            <w:noWrap/>
            <w:vAlign w:val="center"/>
          </w:tcPr>
          <w:p w14:paraId="504A6B03">
            <w:pPr>
              <w:widowControl/>
              <w:jc w:val="center"/>
              <w:textAlignment w:val="center"/>
              <w:rPr>
                <w:rFonts w:hint="default" w:eastAsia="宋体"/>
                <w:b/>
                <w:bCs/>
                <w:color w:val="auto"/>
                <w:sz w:val="21"/>
                <w:szCs w:val="21"/>
                <w:lang w:val="en-US" w:eastAsia="zh-CN"/>
              </w:rPr>
            </w:pPr>
            <w:r>
              <w:rPr>
                <w:rFonts w:hint="eastAsia"/>
                <w:b/>
                <w:bCs/>
                <w:color w:val="auto"/>
                <w:kern w:val="0"/>
                <w:sz w:val="21"/>
                <w:szCs w:val="21"/>
                <w:lang w:val="en-US" w:eastAsia="zh-CN" w:bidi="ar"/>
              </w:rPr>
              <w:t>变化情况</w:t>
            </w:r>
          </w:p>
        </w:tc>
        <w:tc>
          <w:tcPr>
            <w:tcW w:w="397" w:type="pct"/>
            <w:tcBorders>
              <w:tl2br w:val="nil"/>
              <w:tr2bl w:val="nil"/>
            </w:tcBorders>
            <w:noWrap/>
            <w:vAlign w:val="center"/>
          </w:tcPr>
          <w:p w14:paraId="1233FC08">
            <w:pPr>
              <w:widowControl/>
              <w:jc w:val="center"/>
              <w:textAlignment w:val="center"/>
              <w:rPr>
                <w:b/>
                <w:bCs/>
                <w:color w:val="auto"/>
                <w:sz w:val="21"/>
                <w:szCs w:val="21"/>
              </w:rPr>
            </w:pPr>
            <w:r>
              <w:rPr>
                <w:b/>
                <w:bCs/>
                <w:color w:val="auto"/>
                <w:kern w:val="0"/>
                <w:sz w:val="21"/>
                <w:szCs w:val="21"/>
                <w:lang w:bidi="ar"/>
              </w:rPr>
              <w:t>形态</w:t>
            </w:r>
          </w:p>
        </w:tc>
        <w:tc>
          <w:tcPr>
            <w:tcW w:w="522" w:type="pct"/>
            <w:tcBorders>
              <w:tl2br w:val="nil"/>
              <w:tr2bl w:val="nil"/>
            </w:tcBorders>
            <w:noWrap/>
            <w:vAlign w:val="center"/>
          </w:tcPr>
          <w:p w14:paraId="3F81AF84">
            <w:pPr>
              <w:widowControl/>
              <w:jc w:val="center"/>
              <w:textAlignment w:val="center"/>
              <w:rPr>
                <w:b/>
                <w:bCs/>
                <w:color w:val="auto"/>
                <w:sz w:val="21"/>
                <w:szCs w:val="21"/>
              </w:rPr>
            </w:pPr>
            <w:r>
              <w:rPr>
                <w:b/>
                <w:bCs/>
                <w:color w:val="auto"/>
                <w:kern w:val="0"/>
                <w:sz w:val="21"/>
                <w:szCs w:val="21"/>
                <w:lang w:bidi="ar"/>
              </w:rPr>
              <w:t>包装方式</w:t>
            </w:r>
          </w:p>
        </w:tc>
        <w:tc>
          <w:tcPr>
            <w:tcW w:w="516" w:type="pct"/>
            <w:tcBorders>
              <w:tl2br w:val="nil"/>
              <w:tr2bl w:val="nil"/>
            </w:tcBorders>
            <w:noWrap/>
            <w:vAlign w:val="center"/>
          </w:tcPr>
          <w:p w14:paraId="59C4DA82">
            <w:pPr>
              <w:widowControl/>
              <w:jc w:val="center"/>
              <w:textAlignment w:val="center"/>
              <w:rPr>
                <w:b/>
                <w:bCs/>
                <w:color w:val="auto"/>
                <w:sz w:val="21"/>
                <w:szCs w:val="21"/>
              </w:rPr>
            </w:pPr>
            <w:r>
              <w:rPr>
                <w:b/>
                <w:bCs/>
                <w:color w:val="auto"/>
                <w:kern w:val="0"/>
                <w:sz w:val="21"/>
                <w:szCs w:val="21"/>
                <w:lang w:bidi="ar"/>
              </w:rPr>
              <w:t>贮存位置</w:t>
            </w:r>
          </w:p>
        </w:tc>
      </w:tr>
      <w:tr w14:paraId="5E5C28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62A80649">
            <w:pPr>
              <w:widowControl/>
              <w:jc w:val="center"/>
              <w:textAlignment w:val="center"/>
              <w:rPr>
                <w:color w:val="auto"/>
                <w:sz w:val="21"/>
                <w:szCs w:val="21"/>
              </w:rPr>
            </w:pPr>
            <w:r>
              <w:rPr>
                <w:color w:val="auto"/>
                <w:kern w:val="0"/>
                <w:sz w:val="21"/>
                <w:szCs w:val="21"/>
                <w:lang w:bidi="ar"/>
              </w:rPr>
              <w:t>1</w:t>
            </w:r>
          </w:p>
        </w:tc>
        <w:tc>
          <w:tcPr>
            <w:tcW w:w="526" w:type="pct"/>
            <w:tcBorders>
              <w:tl2br w:val="nil"/>
              <w:tr2bl w:val="nil"/>
            </w:tcBorders>
            <w:noWrap/>
            <w:vAlign w:val="center"/>
          </w:tcPr>
          <w:p w14:paraId="23632D97">
            <w:pPr>
              <w:widowControl/>
              <w:jc w:val="center"/>
              <w:textAlignment w:val="center"/>
              <w:rPr>
                <w:color w:val="auto"/>
                <w:sz w:val="21"/>
                <w:szCs w:val="21"/>
              </w:rPr>
            </w:pPr>
            <w:r>
              <w:rPr>
                <w:color w:val="auto"/>
              </w:rPr>
              <w:t>废铝</w:t>
            </w:r>
          </w:p>
        </w:tc>
        <w:tc>
          <w:tcPr>
            <w:tcW w:w="500" w:type="pct"/>
            <w:tcBorders>
              <w:tl2br w:val="nil"/>
              <w:tr2bl w:val="nil"/>
            </w:tcBorders>
            <w:noWrap/>
            <w:vAlign w:val="center"/>
          </w:tcPr>
          <w:p w14:paraId="14D5AA6E">
            <w:pPr>
              <w:widowControl/>
              <w:jc w:val="center"/>
              <w:textAlignment w:val="center"/>
              <w:rPr>
                <w:color w:val="auto"/>
                <w:sz w:val="21"/>
                <w:szCs w:val="21"/>
              </w:rPr>
            </w:pPr>
            <w:r>
              <w:rPr>
                <w:color w:val="auto"/>
                <w:sz w:val="21"/>
                <w:szCs w:val="21"/>
              </w:rPr>
              <w:t>铝、硅、铜、镁等金属元素</w:t>
            </w:r>
            <w:r>
              <w:rPr>
                <w:rFonts w:hint="eastAsia"/>
                <w:color w:val="auto"/>
                <w:sz w:val="21"/>
                <w:szCs w:val="21"/>
              </w:rPr>
              <w:t>，不含铬、镉、铅、砷等重金属物质</w:t>
            </w:r>
          </w:p>
        </w:tc>
        <w:tc>
          <w:tcPr>
            <w:tcW w:w="511" w:type="pct"/>
            <w:tcBorders>
              <w:tl2br w:val="nil"/>
              <w:tr2bl w:val="nil"/>
            </w:tcBorders>
            <w:noWrap/>
            <w:vAlign w:val="center"/>
          </w:tcPr>
          <w:p w14:paraId="4728F8F3">
            <w:pPr>
              <w:widowControl/>
              <w:jc w:val="center"/>
              <w:textAlignment w:val="center"/>
              <w:rPr>
                <w:rFonts w:hint="default" w:eastAsia="宋体"/>
                <w:color w:val="auto"/>
                <w:sz w:val="21"/>
                <w:szCs w:val="21"/>
                <w:lang w:val="en-US" w:eastAsia="zh-CN"/>
              </w:rPr>
            </w:pPr>
            <w:r>
              <w:rPr>
                <w:rFonts w:hint="eastAsia"/>
                <w:color w:val="auto"/>
                <w:kern w:val="0"/>
                <w:sz w:val="21"/>
                <w:szCs w:val="21"/>
                <w:lang w:val="en-US" w:eastAsia="zh-CN" w:bidi="ar"/>
              </w:rPr>
              <w:t>46643.36</w:t>
            </w:r>
          </w:p>
        </w:tc>
        <w:tc>
          <w:tcPr>
            <w:tcW w:w="491" w:type="pct"/>
            <w:tcBorders>
              <w:tl2br w:val="nil"/>
              <w:tr2bl w:val="nil"/>
            </w:tcBorders>
            <w:shd w:val="clear" w:color="auto" w:fill="auto"/>
            <w:noWrap/>
            <w:vAlign w:val="center"/>
          </w:tcPr>
          <w:p w14:paraId="67D33D1B">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46643.36</w:t>
            </w:r>
          </w:p>
        </w:tc>
        <w:tc>
          <w:tcPr>
            <w:tcW w:w="485" w:type="pct"/>
            <w:tcBorders>
              <w:tl2br w:val="nil"/>
              <w:tr2bl w:val="nil"/>
            </w:tcBorders>
            <w:shd w:val="clear" w:color="auto" w:fill="auto"/>
            <w:noWrap/>
            <w:vAlign w:val="center"/>
          </w:tcPr>
          <w:p w14:paraId="7309EE6E">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46643.36</w:t>
            </w:r>
          </w:p>
        </w:tc>
        <w:tc>
          <w:tcPr>
            <w:tcW w:w="771" w:type="pct"/>
            <w:tcBorders>
              <w:tl2br w:val="nil"/>
              <w:tr2bl w:val="nil"/>
            </w:tcBorders>
            <w:noWrap/>
            <w:vAlign w:val="center"/>
          </w:tcPr>
          <w:p w14:paraId="77636AF3">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noWrap/>
            <w:vAlign w:val="center"/>
          </w:tcPr>
          <w:p w14:paraId="30A28573">
            <w:pPr>
              <w:widowControl/>
              <w:jc w:val="center"/>
              <w:textAlignment w:val="center"/>
              <w:rPr>
                <w:color w:val="auto"/>
                <w:sz w:val="21"/>
                <w:szCs w:val="21"/>
              </w:rPr>
            </w:pPr>
            <w:r>
              <w:rPr>
                <w:color w:val="auto"/>
                <w:kern w:val="0"/>
                <w:sz w:val="21"/>
                <w:szCs w:val="21"/>
                <w:lang w:bidi="ar"/>
              </w:rPr>
              <w:t>固体</w:t>
            </w:r>
          </w:p>
        </w:tc>
        <w:tc>
          <w:tcPr>
            <w:tcW w:w="522" w:type="pct"/>
            <w:tcBorders>
              <w:tl2br w:val="nil"/>
              <w:tr2bl w:val="nil"/>
            </w:tcBorders>
            <w:noWrap/>
            <w:vAlign w:val="center"/>
          </w:tcPr>
          <w:p w14:paraId="3D48AE15">
            <w:pPr>
              <w:widowControl/>
              <w:jc w:val="center"/>
              <w:textAlignment w:val="center"/>
              <w:rPr>
                <w:rFonts w:hint="eastAsia" w:eastAsia="宋体"/>
                <w:color w:val="auto"/>
                <w:sz w:val="21"/>
                <w:szCs w:val="21"/>
                <w:lang w:eastAsia="zh-CN"/>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11335FD0">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22B6BE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04F1227B">
            <w:pPr>
              <w:widowControl/>
              <w:jc w:val="center"/>
              <w:textAlignment w:val="center"/>
              <w:rPr>
                <w:color w:val="auto"/>
                <w:sz w:val="21"/>
                <w:szCs w:val="21"/>
              </w:rPr>
            </w:pPr>
            <w:r>
              <w:rPr>
                <w:color w:val="auto"/>
                <w:kern w:val="0"/>
                <w:sz w:val="21"/>
                <w:szCs w:val="21"/>
                <w:lang w:bidi="ar"/>
              </w:rPr>
              <w:t>2</w:t>
            </w:r>
          </w:p>
        </w:tc>
        <w:tc>
          <w:tcPr>
            <w:tcW w:w="526" w:type="pct"/>
            <w:tcBorders>
              <w:tl2br w:val="nil"/>
              <w:tr2bl w:val="nil"/>
            </w:tcBorders>
            <w:noWrap/>
            <w:vAlign w:val="center"/>
          </w:tcPr>
          <w:p w14:paraId="11036D7E">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电解铝锭</w:t>
            </w:r>
          </w:p>
        </w:tc>
        <w:tc>
          <w:tcPr>
            <w:tcW w:w="500" w:type="pct"/>
            <w:tcBorders>
              <w:tl2br w:val="nil"/>
              <w:tr2bl w:val="nil"/>
            </w:tcBorders>
            <w:noWrap/>
            <w:vAlign w:val="center"/>
          </w:tcPr>
          <w:p w14:paraId="5A302454">
            <w:pPr>
              <w:widowControl/>
              <w:jc w:val="center"/>
              <w:textAlignment w:val="center"/>
              <w:rPr>
                <w:color w:val="auto"/>
                <w:sz w:val="21"/>
                <w:szCs w:val="21"/>
              </w:rPr>
            </w:pPr>
            <w:r>
              <w:rPr>
                <w:color w:val="auto"/>
                <w:sz w:val="21"/>
                <w:szCs w:val="21"/>
              </w:rPr>
              <w:t>铝：99.5%</w:t>
            </w:r>
          </w:p>
        </w:tc>
        <w:tc>
          <w:tcPr>
            <w:tcW w:w="511" w:type="pct"/>
            <w:tcBorders>
              <w:tl2br w:val="nil"/>
              <w:tr2bl w:val="nil"/>
            </w:tcBorders>
            <w:noWrap/>
            <w:vAlign w:val="center"/>
          </w:tcPr>
          <w:p w14:paraId="1295F4F0">
            <w:pPr>
              <w:widowControl/>
              <w:jc w:val="center"/>
              <w:textAlignment w:val="center"/>
              <w:rPr>
                <w:rFonts w:hint="default" w:eastAsia="宋体"/>
                <w:color w:val="auto"/>
                <w:sz w:val="21"/>
                <w:szCs w:val="21"/>
                <w:lang w:val="en-US" w:eastAsia="zh-CN"/>
              </w:rPr>
            </w:pPr>
            <w:r>
              <w:rPr>
                <w:rFonts w:hint="eastAsia"/>
                <w:color w:val="auto"/>
                <w:kern w:val="0"/>
                <w:sz w:val="21"/>
                <w:szCs w:val="21"/>
                <w:lang w:val="en-US" w:eastAsia="zh-CN" w:bidi="ar"/>
              </w:rPr>
              <w:t>1748.2</w:t>
            </w:r>
          </w:p>
        </w:tc>
        <w:tc>
          <w:tcPr>
            <w:tcW w:w="491" w:type="pct"/>
            <w:tcBorders>
              <w:tl2br w:val="nil"/>
              <w:tr2bl w:val="nil"/>
            </w:tcBorders>
            <w:shd w:val="clear" w:color="auto" w:fill="auto"/>
            <w:noWrap/>
            <w:vAlign w:val="center"/>
          </w:tcPr>
          <w:p w14:paraId="233C4048">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1748.2</w:t>
            </w:r>
          </w:p>
        </w:tc>
        <w:tc>
          <w:tcPr>
            <w:tcW w:w="485" w:type="pct"/>
            <w:tcBorders>
              <w:tl2br w:val="nil"/>
              <w:tr2bl w:val="nil"/>
            </w:tcBorders>
            <w:shd w:val="clear" w:color="auto" w:fill="auto"/>
            <w:noWrap/>
            <w:vAlign w:val="center"/>
          </w:tcPr>
          <w:p w14:paraId="725B1B83">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1748.2</w:t>
            </w:r>
          </w:p>
        </w:tc>
        <w:tc>
          <w:tcPr>
            <w:tcW w:w="771" w:type="pct"/>
            <w:tcBorders>
              <w:tl2br w:val="nil"/>
              <w:tr2bl w:val="nil"/>
            </w:tcBorders>
            <w:noWrap/>
            <w:vAlign w:val="center"/>
          </w:tcPr>
          <w:p w14:paraId="637D7E46">
            <w:pPr>
              <w:widowControl/>
              <w:jc w:val="center"/>
              <w:textAlignment w:val="center"/>
              <w:rPr>
                <w:rFonts w:hint="default"/>
                <w:color w:val="auto"/>
                <w:sz w:val="21"/>
                <w:szCs w:val="21"/>
                <w:lang w:val="en-US"/>
              </w:rPr>
            </w:pPr>
            <w:r>
              <w:rPr>
                <w:rFonts w:hint="eastAsia"/>
                <w:color w:val="auto"/>
                <w:sz w:val="21"/>
                <w:szCs w:val="21"/>
                <w:lang w:val="en-US" w:eastAsia="zh-CN"/>
              </w:rPr>
              <w:t>不变</w:t>
            </w:r>
          </w:p>
        </w:tc>
        <w:tc>
          <w:tcPr>
            <w:tcW w:w="397" w:type="pct"/>
            <w:tcBorders>
              <w:tl2br w:val="nil"/>
              <w:tr2bl w:val="nil"/>
            </w:tcBorders>
            <w:noWrap/>
            <w:vAlign w:val="center"/>
          </w:tcPr>
          <w:p w14:paraId="74700AC8">
            <w:pPr>
              <w:widowControl/>
              <w:jc w:val="center"/>
              <w:textAlignment w:val="center"/>
              <w:rPr>
                <w:color w:val="auto"/>
                <w:sz w:val="21"/>
                <w:szCs w:val="21"/>
              </w:rPr>
            </w:pPr>
            <w:r>
              <w:rPr>
                <w:color w:val="auto"/>
                <w:kern w:val="0"/>
                <w:sz w:val="21"/>
                <w:szCs w:val="21"/>
                <w:lang w:bidi="ar"/>
              </w:rPr>
              <w:t>固体</w:t>
            </w:r>
          </w:p>
        </w:tc>
        <w:tc>
          <w:tcPr>
            <w:tcW w:w="522" w:type="pct"/>
            <w:tcBorders>
              <w:tl2br w:val="nil"/>
              <w:tr2bl w:val="nil"/>
            </w:tcBorders>
            <w:noWrap/>
            <w:vAlign w:val="center"/>
          </w:tcPr>
          <w:p w14:paraId="33BF4129">
            <w:pPr>
              <w:widowControl/>
              <w:jc w:val="center"/>
              <w:textAlignment w:val="center"/>
              <w:rPr>
                <w:color w:val="auto"/>
                <w:sz w:val="21"/>
                <w:szCs w:val="21"/>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6C38CD02">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65A618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109" w:hRule="atLeast"/>
        </w:trPr>
        <w:tc>
          <w:tcPr>
            <w:tcW w:w="275" w:type="pct"/>
            <w:tcBorders>
              <w:tl2br w:val="nil"/>
              <w:tr2bl w:val="nil"/>
            </w:tcBorders>
            <w:noWrap/>
            <w:vAlign w:val="center"/>
          </w:tcPr>
          <w:p w14:paraId="741950F1">
            <w:pPr>
              <w:widowControl/>
              <w:jc w:val="center"/>
              <w:textAlignment w:val="center"/>
              <w:rPr>
                <w:color w:val="auto"/>
                <w:sz w:val="21"/>
                <w:szCs w:val="21"/>
              </w:rPr>
            </w:pPr>
            <w:r>
              <w:rPr>
                <w:color w:val="auto"/>
                <w:kern w:val="0"/>
                <w:sz w:val="21"/>
                <w:szCs w:val="21"/>
                <w:lang w:bidi="ar"/>
              </w:rPr>
              <w:t>3</w:t>
            </w:r>
          </w:p>
        </w:tc>
        <w:tc>
          <w:tcPr>
            <w:tcW w:w="526" w:type="pct"/>
            <w:tcBorders>
              <w:tl2br w:val="nil"/>
              <w:tr2bl w:val="nil"/>
            </w:tcBorders>
            <w:noWrap/>
            <w:vAlign w:val="center"/>
          </w:tcPr>
          <w:p w14:paraId="28F01B7A">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金属硅</w:t>
            </w:r>
          </w:p>
        </w:tc>
        <w:tc>
          <w:tcPr>
            <w:tcW w:w="978" w:type="dxa"/>
            <w:tcBorders>
              <w:tl2br w:val="nil"/>
              <w:tr2bl w:val="nil"/>
            </w:tcBorders>
            <w:noWrap/>
            <w:vAlign w:val="center"/>
          </w:tcPr>
          <w:p w14:paraId="42845C80">
            <w:pPr>
              <w:spacing w:before="31" w:beforeLines="10" w:line="264" w:lineRule="auto"/>
              <w:jc w:val="center"/>
              <w:rPr>
                <w:color w:val="auto"/>
                <w:sz w:val="21"/>
                <w:szCs w:val="21"/>
              </w:rPr>
            </w:pPr>
            <w:r>
              <w:rPr>
                <w:color w:val="auto"/>
              </w:rPr>
              <w:t>纯度为99.5%</w:t>
            </w:r>
          </w:p>
        </w:tc>
        <w:tc>
          <w:tcPr>
            <w:tcW w:w="1001" w:type="dxa"/>
            <w:tcBorders>
              <w:tl2br w:val="nil"/>
              <w:tr2bl w:val="nil"/>
            </w:tcBorders>
            <w:noWrap/>
            <w:vAlign w:val="center"/>
          </w:tcPr>
          <w:p w14:paraId="78A8F4D2">
            <w:pPr>
              <w:spacing w:before="31" w:beforeLines="10" w:line="264" w:lineRule="auto"/>
              <w:jc w:val="center"/>
              <w:rPr>
                <w:color w:val="auto"/>
                <w:sz w:val="21"/>
                <w:szCs w:val="21"/>
              </w:rPr>
            </w:pPr>
            <w:r>
              <w:rPr>
                <w:rFonts w:hint="eastAsia"/>
                <w:color w:val="auto"/>
              </w:rPr>
              <w:t>2858.3</w:t>
            </w:r>
          </w:p>
        </w:tc>
        <w:tc>
          <w:tcPr>
            <w:tcW w:w="961" w:type="dxa"/>
            <w:tcBorders>
              <w:tl2br w:val="nil"/>
              <w:tr2bl w:val="nil"/>
            </w:tcBorders>
            <w:shd w:val="clear" w:color="auto" w:fill="auto"/>
            <w:noWrap/>
            <w:vAlign w:val="center"/>
          </w:tcPr>
          <w:p w14:paraId="5C818665">
            <w:pPr>
              <w:spacing w:before="31" w:beforeLines="10" w:line="264" w:lineRule="auto"/>
              <w:jc w:val="center"/>
              <w:rPr>
                <w:rFonts w:hint="eastAsia" w:ascii="Times New Roman" w:hAnsi="Times New Roman" w:eastAsia="宋体" w:cs="Times New Roman"/>
                <w:color w:val="auto"/>
                <w:kern w:val="0"/>
                <w:sz w:val="21"/>
                <w:szCs w:val="21"/>
                <w:lang w:val="en-US" w:eastAsia="zh-CN" w:bidi="ar"/>
              </w:rPr>
            </w:pPr>
            <w:r>
              <w:rPr>
                <w:rFonts w:hint="eastAsia"/>
                <w:color w:val="auto"/>
              </w:rPr>
              <w:t>2858.3</w:t>
            </w:r>
          </w:p>
        </w:tc>
        <w:tc>
          <w:tcPr>
            <w:tcW w:w="950" w:type="dxa"/>
            <w:tcBorders>
              <w:tl2br w:val="nil"/>
              <w:tr2bl w:val="nil"/>
            </w:tcBorders>
            <w:noWrap/>
            <w:vAlign w:val="center"/>
          </w:tcPr>
          <w:p w14:paraId="68617AB0">
            <w:pPr>
              <w:spacing w:before="31" w:beforeLines="10" w:line="264" w:lineRule="auto"/>
              <w:jc w:val="center"/>
              <w:rPr>
                <w:rFonts w:hint="default" w:eastAsia="宋体"/>
                <w:color w:val="auto"/>
                <w:kern w:val="0"/>
                <w:sz w:val="21"/>
                <w:szCs w:val="21"/>
                <w:lang w:val="en-US" w:eastAsia="zh-CN" w:bidi="ar"/>
              </w:rPr>
            </w:pPr>
            <w:r>
              <w:rPr>
                <w:rFonts w:hint="eastAsia"/>
                <w:color w:val="auto"/>
              </w:rPr>
              <w:t>2858.3</w:t>
            </w:r>
          </w:p>
        </w:tc>
        <w:tc>
          <w:tcPr>
            <w:tcW w:w="771" w:type="pct"/>
            <w:tcBorders>
              <w:bottom w:val="single" w:color="auto" w:sz="4" w:space="0"/>
              <w:tl2br w:val="nil"/>
              <w:tr2bl w:val="nil"/>
            </w:tcBorders>
            <w:noWrap/>
            <w:vAlign w:val="center"/>
          </w:tcPr>
          <w:p w14:paraId="03A73EF9">
            <w:pPr>
              <w:widowControl/>
              <w:jc w:val="center"/>
              <w:textAlignment w:val="center"/>
              <w:rPr>
                <w:rFonts w:hint="eastAsia" w:eastAsia="宋体"/>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noWrap/>
            <w:vAlign w:val="center"/>
          </w:tcPr>
          <w:p w14:paraId="3A7C2E2C">
            <w:pPr>
              <w:widowControl/>
              <w:jc w:val="center"/>
              <w:textAlignment w:val="center"/>
              <w:rPr>
                <w:color w:val="auto"/>
                <w:sz w:val="21"/>
                <w:szCs w:val="21"/>
              </w:rPr>
            </w:pPr>
            <w:r>
              <w:rPr>
                <w:color w:val="auto"/>
                <w:kern w:val="0"/>
                <w:sz w:val="21"/>
                <w:szCs w:val="21"/>
                <w:lang w:bidi="ar"/>
              </w:rPr>
              <w:t>固体</w:t>
            </w:r>
          </w:p>
        </w:tc>
        <w:tc>
          <w:tcPr>
            <w:tcW w:w="522" w:type="pct"/>
            <w:tcBorders>
              <w:tl2br w:val="nil"/>
              <w:tr2bl w:val="nil"/>
            </w:tcBorders>
            <w:noWrap/>
            <w:vAlign w:val="center"/>
          </w:tcPr>
          <w:p w14:paraId="392CE384">
            <w:pPr>
              <w:widowControl/>
              <w:jc w:val="center"/>
              <w:textAlignment w:val="center"/>
              <w:rPr>
                <w:color w:val="auto"/>
                <w:sz w:val="21"/>
                <w:szCs w:val="21"/>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43EC73A5">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647B3C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52EA80DB">
            <w:pPr>
              <w:widowControl/>
              <w:jc w:val="center"/>
              <w:textAlignment w:val="center"/>
              <w:rPr>
                <w:rFonts w:hint="eastAsia" w:eastAsia="宋体"/>
                <w:color w:val="auto"/>
                <w:kern w:val="0"/>
                <w:sz w:val="21"/>
                <w:szCs w:val="21"/>
                <w:lang w:val="en-US" w:eastAsia="zh-CN" w:bidi="ar"/>
              </w:rPr>
            </w:pPr>
            <w:r>
              <w:rPr>
                <w:rFonts w:hint="eastAsia"/>
                <w:color w:val="auto"/>
                <w:kern w:val="0"/>
                <w:sz w:val="21"/>
                <w:szCs w:val="21"/>
                <w:lang w:val="en-US" w:eastAsia="zh-CN" w:bidi="ar"/>
              </w:rPr>
              <w:t>4</w:t>
            </w:r>
          </w:p>
        </w:tc>
        <w:tc>
          <w:tcPr>
            <w:tcW w:w="526" w:type="pct"/>
            <w:tcBorders>
              <w:tl2br w:val="nil"/>
              <w:tr2bl w:val="nil"/>
            </w:tcBorders>
            <w:noWrap/>
            <w:vAlign w:val="center"/>
          </w:tcPr>
          <w:p w14:paraId="2923AEEB">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金属铜</w:t>
            </w:r>
          </w:p>
        </w:tc>
        <w:tc>
          <w:tcPr>
            <w:tcW w:w="978" w:type="dxa"/>
            <w:tcBorders>
              <w:tl2br w:val="nil"/>
              <w:tr2bl w:val="nil"/>
            </w:tcBorders>
            <w:noWrap/>
            <w:vAlign w:val="center"/>
          </w:tcPr>
          <w:p w14:paraId="0EE7D161">
            <w:pPr>
              <w:spacing w:before="31" w:beforeLines="10" w:line="264" w:lineRule="auto"/>
              <w:jc w:val="center"/>
              <w:rPr>
                <w:rFonts w:hint="eastAsia" w:eastAsia="宋体"/>
                <w:color w:val="auto"/>
                <w:kern w:val="0"/>
                <w:sz w:val="21"/>
                <w:szCs w:val="21"/>
                <w:lang w:val="en-US" w:eastAsia="zh-CN" w:bidi="ar"/>
              </w:rPr>
            </w:pPr>
            <w:r>
              <w:rPr>
                <w:color w:val="auto"/>
              </w:rPr>
              <w:t>纯度为99.5%</w:t>
            </w:r>
          </w:p>
        </w:tc>
        <w:tc>
          <w:tcPr>
            <w:tcW w:w="1001" w:type="dxa"/>
            <w:tcBorders>
              <w:tl2br w:val="nil"/>
              <w:tr2bl w:val="nil"/>
            </w:tcBorders>
            <w:noWrap/>
            <w:vAlign w:val="center"/>
          </w:tcPr>
          <w:p w14:paraId="08D2EEA5">
            <w:pPr>
              <w:spacing w:before="31" w:beforeLines="10" w:line="264" w:lineRule="auto"/>
              <w:jc w:val="center"/>
              <w:rPr>
                <w:rFonts w:hint="eastAsia" w:eastAsia="宋体"/>
                <w:color w:val="auto"/>
                <w:kern w:val="0"/>
                <w:sz w:val="21"/>
                <w:szCs w:val="21"/>
                <w:lang w:val="en-US" w:eastAsia="zh-CN" w:bidi="ar"/>
              </w:rPr>
            </w:pPr>
            <w:r>
              <w:rPr>
                <w:rFonts w:hint="eastAsia"/>
                <w:color w:val="auto"/>
              </w:rPr>
              <w:t>2843.2</w:t>
            </w:r>
          </w:p>
        </w:tc>
        <w:tc>
          <w:tcPr>
            <w:tcW w:w="961" w:type="dxa"/>
            <w:tcBorders>
              <w:tl2br w:val="nil"/>
              <w:tr2bl w:val="nil"/>
            </w:tcBorders>
            <w:shd w:val="clear" w:color="auto" w:fill="auto"/>
            <w:noWrap/>
            <w:vAlign w:val="center"/>
          </w:tcPr>
          <w:p w14:paraId="2B120B65">
            <w:pPr>
              <w:spacing w:before="31" w:beforeLines="10" w:line="264" w:lineRule="auto"/>
              <w:jc w:val="center"/>
              <w:rPr>
                <w:rFonts w:hint="eastAsia" w:ascii="Times New Roman" w:hAnsi="Times New Roman" w:eastAsia="宋体" w:cs="Times New Roman"/>
                <w:color w:val="auto"/>
                <w:kern w:val="0"/>
                <w:sz w:val="21"/>
                <w:szCs w:val="21"/>
                <w:lang w:val="en-US" w:eastAsia="zh-CN" w:bidi="ar"/>
              </w:rPr>
            </w:pPr>
            <w:r>
              <w:rPr>
                <w:rFonts w:hint="eastAsia"/>
                <w:color w:val="auto"/>
              </w:rPr>
              <w:t>2843.2</w:t>
            </w:r>
          </w:p>
        </w:tc>
        <w:tc>
          <w:tcPr>
            <w:tcW w:w="950" w:type="dxa"/>
            <w:tcBorders>
              <w:tl2br w:val="nil"/>
              <w:tr2bl w:val="nil"/>
            </w:tcBorders>
            <w:noWrap/>
            <w:vAlign w:val="center"/>
          </w:tcPr>
          <w:p w14:paraId="145EA64D">
            <w:pPr>
              <w:spacing w:before="31" w:beforeLines="10" w:line="264" w:lineRule="auto"/>
              <w:jc w:val="center"/>
              <w:rPr>
                <w:rFonts w:hint="default"/>
                <w:color w:val="auto"/>
                <w:kern w:val="0"/>
                <w:sz w:val="21"/>
                <w:szCs w:val="21"/>
                <w:lang w:val="en-US" w:eastAsia="zh-CN" w:bidi="ar"/>
              </w:rPr>
            </w:pPr>
            <w:r>
              <w:rPr>
                <w:rFonts w:hint="eastAsia"/>
                <w:color w:val="auto"/>
              </w:rPr>
              <w:t>2843.2</w:t>
            </w:r>
          </w:p>
        </w:tc>
        <w:tc>
          <w:tcPr>
            <w:tcW w:w="771" w:type="pct"/>
            <w:tcBorders>
              <w:top w:val="single" w:color="auto" w:sz="4" w:space="0"/>
              <w:bottom w:val="single" w:color="auto" w:sz="4" w:space="0"/>
              <w:tl2br w:val="nil"/>
              <w:tr2bl w:val="nil"/>
            </w:tcBorders>
            <w:noWrap/>
            <w:vAlign w:val="center"/>
          </w:tcPr>
          <w:p w14:paraId="37E7BA4C">
            <w:pPr>
              <w:widowControl/>
              <w:jc w:val="center"/>
              <w:textAlignment w:val="center"/>
              <w:rPr>
                <w:rFonts w:hint="eastAsia"/>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noWrap/>
            <w:vAlign w:val="center"/>
          </w:tcPr>
          <w:p w14:paraId="3E7689D6">
            <w:pPr>
              <w:widowControl/>
              <w:jc w:val="center"/>
              <w:textAlignment w:val="center"/>
              <w:rPr>
                <w:color w:val="auto"/>
                <w:kern w:val="0"/>
                <w:sz w:val="21"/>
                <w:szCs w:val="21"/>
                <w:lang w:bidi="ar"/>
              </w:rPr>
            </w:pPr>
            <w:r>
              <w:rPr>
                <w:color w:val="auto"/>
                <w:kern w:val="0"/>
                <w:sz w:val="21"/>
                <w:szCs w:val="21"/>
                <w:lang w:bidi="ar"/>
              </w:rPr>
              <w:t>固体</w:t>
            </w:r>
          </w:p>
        </w:tc>
        <w:tc>
          <w:tcPr>
            <w:tcW w:w="522" w:type="pct"/>
            <w:tcBorders>
              <w:tl2br w:val="nil"/>
              <w:tr2bl w:val="nil"/>
            </w:tcBorders>
            <w:noWrap/>
            <w:vAlign w:val="center"/>
          </w:tcPr>
          <w:p w14:paraId="7FEF5BA7">
            <w:pPr>
              <w:widowControl/>
              <w:jc w:val="center"/>
              <w:textAlignment w:val="center"/>
              <w:rPr>
                <w:color w:val="auto"/>
                <w:kern w:val="0"/>
                <w:sz w:val="21"/>
                <w:szCs w:val="21"/>
                <w:lang w:bidi="ar"/>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4864F0DC">
            <w:pPr>
              <w:widowControl/>
              <w:jc w:val="center"/>
              <w:textAlignment w:val="center"/>
              <w:rPr>
                <w:color w:val="auto"/>
                <w:kern w:val="0"/>
                <w:sz w:val="21"/>
                <w:szCs w:val="21"/>
                <w:lang w:bidi="ar"/>
              </w:rPr>
            </w:pPr>
            <w:r>
              <w:rPr>
                <w:rFonts w:hint="eastAsia"/>
                <w:color w:val="auto"/>
                <w:kern w:val="0"/>
                <w:sz w:val="21"/>
                <w:szCs w:val="21"/>
                <w:lang w:val="en-US" w:eastAsia="zh-CN" w:bidi="ar"/>
              </w:rPr>
              <w:t>原料</w:t>
            </w:r>
            <w:r>
              <w:rPr>
                <w:color w:val="auto"/>
                <w:kern w:val="0"/>
                <w:sz w:val="21"/>
                <w:szCs w:val="21"/>
                <w:lang w:bidi="ar"/>
              </w:rPr>
              <w:t>库</w:t>
            </w:r>
          </w:p>
        </w:tc>
      </w:tr>
      <w:tr w14:paraId="0960F0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229B3513">
            <w:pPr>
              <w:widowControl/>
              <w:jc w:val="center"/>
              <w:textAlignment w:val="center"/>
              <w:rPr>
                <w:rFonts w:hint="eastAsia" w:eastAsia="宋体"/>
                <w:color w:val="auto"/>
                <w:sz w:val="21"/>
                <w:szCs w:val="21"/>
                <w:lang w:eastAsia="zh-CN"/>
              </w:rPr>
            </w:pPr>
            <w:r>
              <w:rPr>
                <w:rFonts w:hint="eastAsia"/>
                <w:color w:val="auto"/>
                <w:kern w:val="0"/>
                <w:sz w:val="21"/>
                <w:szCs w:val="21"/>
                <w:lang w:val="en-US" w:eastAsia="zh-CN" w:bidi="ar"/>
              </w:rPr>
              <w:t>5</w:t>
            </w:r>
          </w:p>
        </w:tc>
        <w:tc>
          <w:tcPr>
            <w:tcW w:w="526" w:type="pct"/>
            <w:tcBorders>
              <w:tl2br w:val="nil"/>
              <w:tr2bl w:val="nil"/>
            </w:tcBorders>
            <w:noWrap/>
            <w:vAlign w:val="center"/>
          </w:tcPr>
          <w:p w14:paraId="5FDBE013">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粉状精炼剂</w:t>
            </w:r>
          </w:p>
        </w:tc>
        <w:tc>
          <w:tcPr>
            <w:tcW w:w="500" w:type="pct"/>
            <w:tcBorders>
              <w:tl2br w:val="nil"/>
              <w:tr2bl w:val="nil"/>
            </w:tcBorders>
            <w:noWrap/>
            <w:vAlign w:val="center"/>
          </w:tcPr>
          <w:p w14:paraId="1C68BED7">
            <w:pPr>
              <w:jc w:val="center"/>
              <w:rPr>
                <w:rFonts w:hint="eastAsia"/>
                <w:color w:val="auto"/>
                <w:sz w:val="21"/>
                <w:szCs w:val="21"/>
              </w:rPr>
            </w:pPr>
            <w:r>
              <w:rPr>
                <w:rFonts w:hint="eastAsia"/>
                <w:color w:val="auto"/>
                <w:sz w:val="21"/>
                <w:szCs w:val="21"/>
              </w:rPr>
              <w:t>NaCl（纯度99%）45%</w:t>
            </w:r>
          </w:p>
          <w:p w14:paraId="0E9E427A">
            <w:pPr>
              <w:jc w:val="center"/>
              <w:rPr>
                <w:rFonts w:hint="eastAsia"/>
                <w:color w:val="auto"/>
                <w:sz w:val="21"/>
                <w:szCs w:val="21"/>
              </w:rPr>
            </w:pPr>
            <w:r>
              <w:rPr>
                <w:rFonts w:hint="eastAsia"/>
                <w:color w:val="auto"/>
                <w:sz w:val="21"/>
                <w:szCs w:val="21"/>
              </w:rPr>
              <w:t>KCl（纯度99%）40%</w:t>
            </w:r>
          </w:p>
          <w:p w14:paraId="35BBAC38">
            <w:pPr>
              <w:jc w:val="center"/>
              <w:rPr>
                <w:color w:val="auto"/>
                <w:sz w:val="21"/>
                <w:szCs w:val="21"/>
              </w:rPr>
            </w:pPr>
            <w:r>
              <w:rPr>
                <w:rFonts w:hint="eastAsia"/>
                <w:color w:val="auto"/>
                <w:sz w:val="21"/>
                <w:szCs w:val="21"/>
              </w:rPr>
              <w:t>MgCl2（纯度99%）15%</w:t>
            </w:r>
          </w:p>
        </w:tc>
        <w:tc>
          <w:tcPr>
            <w:tcW w:w="511" w:type="pct"/>
            <w:tcBorders>
              <w:tl2br w:val="nil"/>
              <w:tr2bl w:val="nil"/>
            </w:tcBorders>
            <w:noWrap/>
            <w:vAlign w:val="center"/>
          </w:tcPr>
          <w:p w14:paraId="1266C472">
            <w:pPr>
              <w:widowControl/>
              <w:jc w:val="center"/>
              <w:textAlignment w:val="center"/>
              <w:rPr>
                <w:rFonts w:hint="default" w:eastAsia="宋体"/>
                <w:color w:val="auto"/>
                <w:sz w:val="21"/>
                <w:szCs w:val="21"/>
                <w:lang w:val="en-US" w:eastAsia="zh-CN"/>
              </w:rPr>
            </w:pPr>
            <w:r>
              <w:rPr>
                <w:rFonts w:hint="eastAsia"/>
                <w:color w:val="auto"/>
                <w:kern w:val="0"/>
                <w:sz w:val="21"/>
                <w:szCs w:val="21"/>
                <w:lang w:val="en-US" w:eastAsia="zh-CN" w:bidi="ar"/>
              </w:rPr>
              <w:t>48.7</w:t>
            </w:r>
          </w:p>
        </w:tc>
        <w:tc>
          <w:tcPr>
            <w:tcW w:w="491" w:type="pct"/>
            <w:tcBorders>
              <w:tl2br w:val="nil"/>
              <w:tr2bl w:val="nil"/>
            </w:tcBorders>
            <w:shd w:val="clear" w:color="auto" w:fill="auto"/>
            <w:noWrap/>
            <w:vAlign w:val="center"/>
          </w:tcPr>
          <w:p w14:paraId="6173E303">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48.7</w:t>
            </w:r>
          </w:p>
        </w:tc>
        <w:tc>
          <w:tcPr>
            <w:tcW w:w="485" w:type="pct"/>
            <w:tcBorders>
              <w:tl2br w:val="nil"/>
              <w:tr2bl w:val="nil"/>
            </w:tcBorders>
            <w:noWrap/>
            <w:vAlign w:val="center"/>
          </w:tcPr>
          <w:p w14:paraId="54FAA20D">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48.7</w:t>
            </w:r>
          </w:p>
        </w:tc>
        <w:tc>
          <w:tcPr>
            <w:tcW w:w="771" w:type="pct"/>
            <w:tcBorders>
              <w:top w:val="single" w:color="auto" w:sz="4" w:space="0"/>
              <w:tl2br w:val="nil"/>
              <w:tr2bl w:val="nil"/>
            </w:tcBorders>
            <w:noWrap/>
            <w:vAlign w:val="center"/>
          </w:tcPr>
          <w:p w14:paraId="34BA7722">
            <w:pPr>
              <w:widowControl/>
              <w:jc w:val="center"/>
              <w:textAlignment w:val="center"/>
              <w:rPr>
                <w:color w:val="auto"/>
                <w:sz w:val="21"/>
                <w:szCs w:val="21"/>
              </w:rPr>
            </w:pPr>
            <w:r>
              <w:rPr>
                <w:rFonts w:hint="eastAsia"/>
                <w:color w:val="auto"/>
                <w:sz w:val="21"/>
                <w:szCs w:val="21"/>
                <w:lang w:val="en-US" w:eastAsia="zh-CN"/>
              </w:rPr>
              <w:t>不变</w:t>
            </w:r>
          </w:p>
        </w:tc>
        <w:tc>
          <w:tcPr>
            <w:tcW w:w="397" w:type="pct"/>
            <w:tcBorders>
              <w:tl2br w:val="nil"/>
              <w:tr2bl w:val="nil"/>
            </w:tcBorders>
            <w:noWrap/>
            <w:vAlign w:val="center"/>
          </w:tcPr>
          <w:p w14:paraId="6441F86C">
            <w:pPr>
              <w:widowControl/>
              <w:jc w:val="center"/>
              <w:textAlignment w:val="center"/>
              <w:rPr>
                <w:rFonts w:hint="eastAsia" w:eastAsia="宋体"/>
                <w:color w:val="auto"/>
                <w:sz w:val="21"/>
                <w:szCs w:val="21"/>
                <w:lang w:eastAsia="zh-CN"/>
              </w:rPr>
            </w:pPr>
            <w:r>
              <w:rPr>
                <w:rFonts w:hint="eastAsia"/>
                <w:color w:val="auto"/>
                <w:kern w:val="0"/>
                <w:sz w:val="21"/>
                <w:szCs w:val="21"/>
                <w:lang w:val="en-US" w:eastAsia="zh-CN" w:bidi="ar"/>
              </w:rPr>
              <w:t>粉状</w:t>
            </w:r>
          </w:p>
        </w:tc>
        <w:tc>
          <w:tcPr>
            <w:tcW w:w="522" w:type="pct"/>
            <w:tcBorders>
              <w:tl2br w:val="nil"/>
              <w:tr2bl w:val="nil"/>
            </w:tcBorders>
            <w:noWrap/>
            <w:vAlign w:val="center"/>
          </w:tcPr>
          <w:p w14:paraId="36B03848">
            <w:pPr>
              <w:widowControl/>
              <w:jc w:val="center"/>
              <w:textAlignment w:val="center"/>
              <w:rPr>
                <w:color w:val="auto"/>
                <w:sz w:val="21"/>
                <w:szCs w:val="21"/>
              </w:rPr>
            </w:pPr>
            <w:r>
              <w:rPr>
                <w:color w:val="auto"/>
                <w:kern w:val="0"/>
                <w:sz w:val="21"/>
                <w:szCs w:val="21"/>
                <w:lang w:bidi="ar"/>
              </w:rPr>
              <w:t>袋装</w:t>
            </w:r>
          </w:p>
        </w:tc>
        <w:tc>
          <w:tcPr>
            <w:tcW w:w="516" w:type="pct"/>
            <w:tcBorders>
              <w:tl2br w:val="nil"/>
              <w:tr2bl w:val="nil"/>
            </w:tcBorders>
            <w:noWrap/>
            <w:vAlign w:val="center"/>
          </w:tcPr>
          <w:p w14:paraId="3ADDACAA">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14AF70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085AB4AC">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6</w:t>
            </w:r>
          </w:p>
        </w:tc>
        <w:tc>
          <w:tcPr>
            <w:tcW w:w="526" w:type="pct"/>
            <w:tcBorders>
              <w:tl2br w:val="nil"/>
              <w:tr2bl w:val="nil"/>
            </w:tcBorders>
            <w:shd w:val="clear" w:color="auto" w:fill="auto"/>
            <w:noWrap/>
            <w:vAlign w:val="center"/>
          </w:tcPr>
          <w:p w14:paraId="465CE211">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变质剂</w:t>
            </w:r>
          </w:p>
        </w:tc>
        <w:tc>
          <w:tcPr>
            <w:tcW w:w="500" w:type="pct"/>
            <w:tcBorders>
              <w:tl2br w:val="nil"/>
              <w:tr2bl w:val="nil"/>
            </w:tcBorders>
            <w:noWrap/>
            <w:vAlign w:val="center"/>
          </w:tcPr>
          <w:p w14:paraId="18C5F3B3">
            <w:pPr>
              <w:jc w:val="center"/>
              <w:rPr>
                <w:color w:val="auto"/>
                <w:sz w:val="21"/>
                <w:szCs w:val="21"/>
              </w:rPr>
            </w:pPr>
            <w:r>
              <w:rPr>
                <w:color w:val="auto"/>
                <w:sz w:val="21"/>
                <w:szCs w:val="21"/>
              </w:rPr>
              <w:t>主要成分：</w:t>
            </w:r>
            <w:r>
              <w:rPr>
                <w:rFonts w:hint="eastAsia"/>
                <w:color w:val="auto"/>
                <w:sz w:val="21"/>
                <w:szCs w:val="21"/>
              </w:rPr>
              <w:t>Ti</w:t>
            </w:r>
            <w:r>
              <w:rPr>
                <w:rFonts w:hint="eastAsia"/>
                <w:color w:val="auto"/>
                <w:sz w:val="21"/>
                <w:szCs w:val="21"/>
                <w:lang w:eastAsia="zh-CN"/>
              </w:rPr>
              <w:t>：</w:t>
            </w:r>
            <w:r>
              <w:rPr>
                <w:rFonts w:hint="eastAsia"/>
                <w:color w:val="auto"/>
                <w:sz w:val="21"/>
                <w:szCs w:val="21"/>
              </w:rPr>
              <w:t>68.2</w:t>
            </w:r>
            <w:r>
              <w:rPr>
                <w:color w:val="auto"/>
                <w:sz w:val="21"/>
                <w:szCs w:val="21"/>
              </w:rPr>
              <w:t>%，</w:t>
            </w:r>
            <w:r>
              <w:rPr>
                <w:rFonts w:hint="eastAsia"/>
                <w:color w:val="auto"/>
                <w:sz w:val="21"/>
                <w:szCs w:val="21"/>
              </w:rPr>
              <w:t>B</w:t>
            </w:r>
            <w:r>
              <w:rPr>
                <w:rFonts w:hint="eastAsia"/>
                <w:color w:val="auto"/>
                <w:sz w:val="21"/>
                <w:szCs w:val="21"/>
                <w:lang w:eastAsia="zh-CN"/>
              </w:rPr>
              <w:t>：</w:t>
            </w:r>
            <w:r>
              <w:rPr>
                <w:rFonts w:hint="eastAsia"/>
                <w:color w:val="auto"/>
                <w:sz w:val="21"/>
                <w:szCs w:val="21"/>
              </w:rPr>
              <w:t>3</w:t>
            </w:r>
            <w:r>
              <w:rPr>
                <w:color w:val="auto"/>
                <w:sz w:val="21"/>
                <w:szCs w:val="21"/>
              </w:rPr>
              <w:t>0.</w:t>
            </w:r>
            <w:r>
              <w:rPr>
                <w:rFonts w:hint="eastAsia"/>
                <w:color w:val="auto"/>
                <w:sz w:val="21"/>
                <w:szCs w:val="21"/>
              </w:rPr>
              <w:t>8</w:t>
            </w:r>
            <w:r>
              <w:rPr>
                <w:color w:val="auto"/>
                <w:sz w:val="21"/>
                <w:szCs w:val="21"/>
              </w:rPr>
              <w:t>%</w:t>
            </w:r>
          </w:p>
        </w:tc>
        <w:tc>
          <w:tcPr>
            <w:tcW w:w="511" w:type="pct"/>
            <w:tcBorders>
              <w:tl2br w:val="nil"/>
              <w:tr2bl w:val="nil"/>
            </w:tcBorders>
            <w:noWrap/>
            <w:vAlign w:val="center"/>
          </w:tcPr>
          <w:p w14:paraId="7DD1E6B3">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24.3</w:t>
            </w:r>
          </w:p>
        </w:tc>
        <w:tc>
          <w:tcPr>
            <w:tcW w:w="491" w:type="pct"/>
            <w:tcBorders>
              <w:tl2br w:val="nil"/>
              <w:tr2bl w:val="nil"/>
            </w:tcBorders>
            <w:shd w:val="clear" w:color="auto" w:fill="auto"/>
            <w:noWrap/>
            <w:vAlign w:val="center"/>
          </w:tcPr>
          <w:p w14:paraId="1CE30698">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24.3</w:t>
            </w:r>
          </w:p>
        </w:tc>
        <w:tc>
          <w:tcPr>
            <w:tcW w:w="485" w:type="pct"/>
            <w:tcBorders>
              <w:bottom w:val="single" w:color="auto" w:sz="4" w:space="0"/>
              <w:tl2br w:val="nil"/>
              <w:tr2bl w:val="nil"/>
            </w:tcBorders>
            <w:noWrap/>
            <w:vAlign w:val="center"/>
          </w:tcPr>
          <w:p w14:paraId="0B19DE38">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24.3</w:t>
            </w:r>
          </w:p>
        </w:tc>
        <w:tc>
          <w:tcPr>
            <w:tcW w:w="771" w:type="pct"/>
            <w:tcBorders>
              <w:bottom w:val="single" w:color="auto" w:sz="4" w:space="0"/>
              <w:tl2br w:val="nil"/>
              <w:tr2bl w:val="nil"/>
            </w:tcBorders>
            <w:noWrap/>
            <w:vAlign w:val="center"/>
          </w:tcPr>
          <w:p w14:paraId="29276304">
            <w:pPr>
              <w:widowControl/>
              <w:jc w:val="center"/>
              <w:textAlignment w:val="center"/>
              <w:rPr>
                <w:rFonts w:hint="default"/>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shd w:val="clear" w:color="auto" w:fill="auto"/>
            <w:noWrap/>
            <w:vAlign w:val="center"/>
          </w:tcPr>
          <w:p w14:paraId="17AB40E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 w:val="21"/>
                <w:szCs w:val="21"/>
                <w:lang w:val="en-US" w:eastAsia="zh-CN" w:bidi="ar"/>
              </w:rPr>
              <w:t>粉状</w:t>
            </w:r>
          </w:p>
        </w:tc>
        <w:tc>
          <w:tcPr>
            <w:tcW w:w="522" w:type="pct"/>
            <w:tcBorders>
              <w:tl2br w:val="nil"/>
              <w:tr2bl w:val="nil"/>
            </w:tcBorders>
            <w:shd w:val="clear" w:color="auto" w:fill="auto"/>
            <w:noWrap/>
            <w:vAlign w:val="center"/>
          </w:tcPr>
          <w:p w14:paraId="2C7EF4B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 w:val="21"/>
                <w:szCs w:val="21"/>
                <w:lang w:val="en-US" w:eastAsia="zh-CN" w:bidi="ar"/>
              </w:rPr>
              <w:t>袋装</w:t>
            </w:r>
          </w:p>
        </w:tc>
        <w:tc>
          <w:tcPr>
            <w:tcW w:w="516" w:type="pct"/>
            <w:tcBorders>
              <w:tl2br w:val="nil"/>
              <w:tr2bl w:val="nil"/>
            </w:tcBorders>
            <w:noWrap/>
            <w:vAlign w:val="center"/>
          </w:tcPr>
          <w:p w14:paraId="63E26EE0">
            <w:pPr>
              <w:widowControl/>
              <w:jc w:val="center"/>
              <w:textAlignment w:val="center"/>
              <w:rPr>
                <w:rFonts w:hint="eastAsia" w:eastAsia="宋体"/>
                <w:color w:val="auto"/>
                <w:kern w:val="0"/>
                <w:sz w:val="21"/>
                <w:szCs w:val="21"/>
                <w:lang w:eastAsia="zh-CN" w:bidi="ar"/>
              </w:rPr>
            </w:pPr>
            <w:r>
              <w:rPr>
                <w:rFonts w:hint="eastAsia"/>
                <w:color w:val="auto"/>
                <w:kern w:val="0"/>
                <w:sz w:val="21"/>
                <w:szCs w:val="21"/>
                <w:lang w:val="en-US" w:eastAsia="zh-CN" w:bidi="ar"/>
              </w:rPr>
              <w:t>原料库</w:t>
            </w:r>
          </w:p>
        </w:tc>
      </w:tr>
      <w:tr w14:paraId="446961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46E3AF2F">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7</w:t>
            </w:r>
          </w:p>
        </w:tc>
        <w:tc>
          <w:tcPr>
            <w:tcW w:w="526" w:type="pct"/>
            <w:tcBorders>
              <w:tl2br w:val="nil"/>
              <w:tr2bl w:val="nil"/>
            </w:tcBorders>
            <w:shd w:val="clear" w:color="auto" w:fill="auto"/>
            <w:noWrap/>
            <w:vAlign w:val="center"/>
          </w:tcPr>
          <w:p w14:paraId="445B1132">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氮气</w:t>
            </w:r>
          </w:p>
        </w:tc>
        <w:tc>
          <w:tcPr>
            <w:tcW w:w="500" w:type="pct"/>
            <w:tcBorders>
              <w:tl2br w:val="nil"/>
              <w:tr2bl w:val="nil"/>
            </w:tcBorders>
            <w:noWrap/>
            <w:vAlign w:val="center"/>
          </w:tcPr>
          <w:p w14:paraId="7556460E">
            <w:pPr>
              <w:jc w:val="center"/>
              <w:rPr>
                <w:color w:val="auto"/>
                <w:sz w:val="21"/>
                <w:szCs w:val="21"/>
              </w:rPr>
            </w:pPr>
            <w:r>
              <w:rPr>
                <w:color w:val="auto"/>
              </w:rPr>
              <w:t>纯度为99.5%</w:t>
            </w:r>
          </w:p>
        </w:tc>
        <w:tc>
          <w:tcPr>
            <w:tcW w:w="511" w:type="pct"/>
            <w:tcBorders>
              <w:tl2br w:val="nil"/>
              <w:tr2bl w:val="nil"/>
            </w:tcBorders>
            <w:noWrap/>
            <w:vAlign w:val="center"/>
          </w:tcPr>
          <w:p w14:paraId="4498F0C2">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158</w:t>
            </w:r>
          </w:p>
        </w:tc>
        <w:tc>
          <w:tcPr>
            <w:tcW w:w="491" w:type="pct"/>
            <w:tcBorders>
              <w:tl2br w:val="nil"/>
              <w:tr2bl w:val="nil"/>
            </w:tcBorders>
            <w:shd w:val="clear" w:color="auto" w:fill="auto"/>
            <w:noWrap/>
            <w:vAlign w:val="center"/>
          </w:tcPr>
          <w:p w14:paraId="2A0A83C6">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158</w:t>
            </w:r>
          </w:p>
        </w:tc>
        <w:tc>
          <w:tcPr>
            <w:tcW w:w="485" w:type="pct"/>
            <w:tcBorders>
              <w:top w:val="single" w:color="auto" w:sz="4" w:space="0"/>
              <w:tl2br w:val="nil"/>
              <w:tr2bl w:val="nil"/>
            </w:tcBorders>
            <w:noWrap/>
            <w:vAlign w:val="center"/>
          </w:tcPr>
          <w:p w14:paraId="7113FED2">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158</w:t>
            </w:r>
          </w:p>
        </w:tc>
        <w:tc>
          <w:tcPr>
            <w:tcW w:w="771" w:type="pct"/>
            <w:tcBorders>
              <w:top w:val="single" w:color="auto" w:sz="4" w:space="0"/>
              <w:tl2br w:val="nil"/>
              <w:tr2bl w:val="nil"/>
            </w:tcBorders>
            <w:noWrap/>
            <w:vAlign w:val="center"/>
          </w:tcPr>
          <w:p w14:paraId="67187F9C">
            <w:pPr>
              <w:widowControl/>
              <w:jc w:val="center"/>
              <w:textAlignment w:val="center"/>
              <w:rPr>
                <w:rFonts w:hint="default"/>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shd w:val="clear" w:color="auto" w:fill="auto"/>
            <w:noWrap/>
            <w:vAlign w:val="center"/>
          </w:tcPr>
          <w:p w14:paraId="2E656BA2">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气</w:t>
            </w:r>
            <w:r>
              <w:rPr>
                <w:color w:val="auto"/>
                <w:kern w:val="0"/>
                <w:sz w:val="21"/>
                <w:szCs w:val="21"/>
                <w:lang w:bidi="ar"/>
              </w:rPr>
              <w:t>体</w:t>
            </w:r>
          </w:p>
        </w:tc>
        <w:tc>
          <w:tcPr>
            <w:tcW w:w="522" w:type="pct"/>
            <w:tcBorders>
              <w:tl2br w:val="nil"/>
              <w:tr2bl w:val="nil"/>
            </w:tcBorders>
            <w:shd w:val="clear" w:color="auto" w:fill="auto"/>
            <w:noWrap/>
            <w:vAlign w:val="center"/>
          </w:tcPr>
          <w:p w14:paraId="3892149F">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w:t>
            </w:r>
          </w:p>
        </w:tc>
        <w:tc>
          <w:tcPr>
            <w:tcW w:w="516" w:type="pct"/>
            <w:tcBorders>
              <w:tl2br w:val="nil"/>
              <w:tr2bl w:val="nil"/>
            </w:tcBorders>
            <w:noWrap/>
            <w:vAlign w:val="center"/>
          </w:tcPr>
          <w:p w14:paraId="4778CF6E">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w:t>
            </w:r>
          </w:p>
        </w:tc>
      </w:tr>
    </w:tbl>
    <w:p w14:paraId="7929C148">
      <w:pPr>
        <w:spacing w:line="360" w:lineRule="auto"/>
        <w:ind w:firstLine="484" w:firstLineChars="202"/>
        <w:rPr>
          <w:rFonts w:hint="eastAsia" w:ascii="宋体" w:hAnsi="宋体" w:cs="宋体"/>
          <w:color w:val="auto"/>
          <w:sz w:val="24"/>
        </w:rPr>
      </w:pPr>
    </w:p>
    <w:p w14:paraId="60668A3E">
      <w:pPr>
        <w:spacing w:line="360" w:lineRule="auto"/>
        <w:ind w:firstLine="484" w:firstLineChars="202"/>
        <w:rPr>
          <w:color w:val="auto"/>
          <w:sz w:val="24"/>
        </w:rPr>
      </w:pPr>
      <w:r>
        <w:rPr>
          <w:rFonts w:hint="eastAsia" w:ascii="宋体" w:hAnsi="宋体" w:cs="宋体"/>
          <w:color w:val="auto"/>
          <w:sz w:val="24"/>
        </w:rPr>
        <w:t>①</w:t>
      </w:r>
      <w:r>
        <w:rPr>
          <w:color w:val="auto"/>
          <w:sz w:val="24"/>
        </w:rPr>
        <w:t>电解铝锭：铝是一种银白色金属，在地壳中含量排第三位。铝的密度小，仅为铁的34.61%、铜的30.33%，日常工业原料称铝锭，用氧化铝-冰晶石，通过电解法生产，含Al 99.5%以上。</w:t>
      </w:r>
    </w:p>
    <w:p w14:paraId="72324CAD">
      <w:pPr>
        <w:spacing w:line="360" w:lineRule="auto"/>
        <w:ind w:firstLine="484" w:firstLineChars="202"/>
        <w:rPr>
          <w:color w:val="auto"/>
          <w:sz w:val="24"/>
        </w:rPr>
      </w:pPr>
      <w:r>
        <w:rPr>
          <w:rFonts w:hint="eastAsia"/>
          <w:color w:val="auto"/>
          <w:sz w:val="24"/>
        </w:rPr>
        <w:t>②金属</w:t>
      </w:r>
      <w:r>
        <w:rPr>
          <w:color w:val="auto"/>
          <w:sz w:val="24"/>
        </w:rPr>
        <w:t>铜：铜呈紫红色光泽金属，密度8.92g/cm3，熔点1083.4±0.2</w:t>
      </w:r>
      <w:r>
        <w:rPr>
          <w:rFonts w:hint="eastAsia" w:ascii="宋体" w:hAnsi="宋体" w:cs="宋体"/>
          <w:color w:val="auto"/>
          <w:sz w:val="24"/>
        </w:rPr>
        <w:t>℃</w:t>
      </w:r>
      <w:r>
        <w:rPr>
          <w:color w:val="auto"/>
          <w:sz w:val="24"/>
        </w:rPr>
        <w:t>，沸点2567</w:t>
      </w:r>
      <w:r>
        <w:rPr>
          <w:rFonts w:hint="eastAsia" w:ascii="宋体" w:hAnsi="宋体" w:cs="宋体"/>
          <w:color w:val="auto"/>
          <w:sz w:val="24"/>
        </w:rPr>
        <w:t>℃</w:t>
      </w:r>
      <w:r>
        <w:rPr>
          <w:color w:val="auto"/>
          <w:sz w:val="24"/>
        </w:rPr>
        <w:t>，稍硬、极坚韧、耐磨损。有很好延展性，导热和导电性能较好。</w:t>
      </w:r>
    </w:p>
    <w:p w14:paraId="583A6BB0">
      <w:pPr>
        <w:spacing w:line="360" w:lineRule="auto"/>
        <w:ind w:firstLine="484" w:firstLineChars="202"/>
        <w:rPr>
          <w:color w:val="auto"/>
          <w:sz w:val="24"/>
        </w:rPr>
      </w:pPr>
      <w:r>
        <w:rPr>
          <w:rFonts w:hint="eastAsia"/>
          <w:color w:val="auto"/>
          <w:sz w:val="24"/>
        </w:rPr>
        <w:t>③金属</w:t>
      </w:r>
      <w:r>
        <w:rPr>
          <w:color w:val="auto"/>
          <w:sz w:val="24"/>
        </w:rPr>
        <w:t>硅：非金属元素，晶体硅为钢灰色，无定形硅为黑色，密度2.4g/cm</w:t>
      </w:r>
      <w:r>
        <w:rPr>
          <w:color w:val="auto"/>
          <w:sz w:val="24"/>
          <w:vertAlign w:val="superscript"/>
        </w:rPr>
        <w:t>3</w:t>
      </w:r>
      <w:r>
        <w:rPr>
          <w:color w:val="auto"/>
          <w:sz w:val="24"/>
        </w:rPr>
        <w:t>，熔点1420</w:t>
      </w:r>
      <w:r>
        <w:rPr>
          <w:rFonts w:hint="eastAsia" w:ascii="宋体" w:hAnsi="宋体" w:cs="宋体"/>
          <w:color w:val="auto"/>
          <w:sz w:val="24"/>
        </w:rPr>
        <w:t>℃</w:t>
      </w:r>
      <w:r>
        <w:rPr>
          <w:color w:val="auto"/>
          <w:sz w:val="24"/>
        </w:rPr>
        <w:t>，沸点2355</w:t>
      </w:r>
      <w:r>
        <w:rPr>
          <w:rFonts w:hint="eastAsia" w:ascii="宋体" w:hAnsi="宋体" w:cs="宋体"/>
          <w:color w:val="auto"/>
          <w:sz w:val="24"/>
        </w:rPr>
        <w:t>℃</w:t>
      </w:r>
      <w:r>
        <w:rPr>
          <w:color w:val="auto"/>
          <w:sz w:val="24"/>
        </w:rPr>
        <w:t>，晶体硅属原子晶体，硬而有光泽，有半导体性质。</w:t>
      </w:r>
    </w:p>
    <w:p w14:paraId="7D94F238">
      <w:pPr>
        <w:spacing w:line="360" w:lineRule="auto"/>
        <w:ind w:firstLine="484" w:firstLineChars="202"/>
        <w:rPr>
          <w:color w:val="auto"/>
          <w:sz w:val="24"/>
        </w:rPr>
      </w:pPr>
      <w:r>
        <w:rPr>
          <w:rFonts w:hint="eastAsia" w:ascii="宋体" w:hAnsi="宋体"/>
          <w:color w:val="auto"/>
          <w:sz w:val="24"/>
        </w:rPr>
        <w:t>④</w:t>
      </w:r>
      <w:r>
        <w:rPr>
          <w:color w:val="auto"/>
          <w:sz w:val="24"/>
        </w:rPr>
        <w:t>精炼剂：主要成分为</w:t>
      </w:r>
      <w:r>
        <w:rPr>
          <w:rFonts w:hint="eastAsia"/>
          <w:color w:val="auto"/>
          <w:sz w:val="24"/>
        </w:rPr>
        <w:t>NaCl、KCl和MgCl</w:t>
      </w:r>
      <w:r>
        <w:rPr>
          <w:rFonts w:hint="eastAsia"/>
          <w:color w:val="auto"/>
          <w:sz w:val="24"/>
          <w:vertAlign w:val="subscript"/>
        </w:rPr>
        <w:t>2</w:t>
      </w:r>
      <w:r>
        <w:rPr>
          <w:rFonts w:hint="eastAsia"/>
          <w:color w:val="auto"/>
          <w:sz w:val="24"/>
        </w:rPr>
        <w:t>等氯盐类</w:t>
      </w:r>
      <w:r>
        <w:rPr>
          <w:color w:val="auto"/>
          <w:sz w:val="24"/>
        </w:rPr>
        <w:t>，不含氟化物。</w:t>
      </w:r>
    </w:p>
    <w:p w14:paraId="31192A55">
      <w:pPr>
        <w:spacing w:line="360" w:lineRule="auto"/>
        <w:ind w:firstLine="484" w:firstLineChars="202"/>
        <w:rPr>
          <w:color w:val="auto"/>
          <w:sz w:val="24"/>
        </w:rPr>
      </w:pPr>
      <w:r>
        <w:rPr>
          <w:rFonts w:hint="eastAsia" w:ascii="宋体" w:hAnsi="宋体"/>
          <w:color w:val="auto"/>
          <w:sz w:val="24"/>
        </w:rPr>
        <w:t>⑤</w:t>
      </w:r>
      <w:r>
        <w:rPr>
          <w:rFonts w:hint="eastAsia"/>
          <w:color w:val="auto"/>
          <w:sz w:val="24"/>
        </w:rPr>
        <w:t>变质剂</w:t>
      </w:r>
      <w:r>
        <w:rPr>
          <w:color w:val="auto"/>
          <w:sz w:val="24"/>
        </w:rPr>
        <w:t>：纯度&gt;99.5%，粒径3~5μm，灰黑色粉末，Ti&gt;68.2%、B&gt;30.8%、O&lt;0.20%、C&lt;0.10%、Fe&lt;0.05%。</w:t>
      </w:r>
    </w:p>
    <w:p w14:paraId="032F67D6">
      <w:pPr>
        <w:spacing w:line="360" w:lineRule="auto"/>
        <w:ind w:firstLine="484" w:firstLineChars="202"/>
        <w:rPr>
          <w:rFonts w:hint="eastAsia"/>
          <w:color w:val="auto"/>
          <w:sz w:val="24"/>
          <w:lang w:eastAsia="zh-CN"/>
        </w:rPr>
      </w:pPr>
      <w:r>
        <w:rPr>
          <w:rFonts w:hint="eastAsia" w:ascii="宋体" w:hAnsi="宋体"/>
          <w:color w:val="auto"/>
          <w:sz w:val="24"/>
        </w:rPr>
        <w:t>⑥</w:t>
      </w:r>
      <w:r>
        <w:rPr>
          <w:color w:val="auto"/>
          <w:sz w:val="24"/>
        </w:rPr>
        <w:t>氮气：常态下是一种无色无味无嗅气体，且通常无毒。氮气占大气总量78.12%，是空气主要成分。常温下为气体，在标准大气压下，冷却至-195.8</w:t>
      </w:r>
      <w:r>
        <w:rPr>
          <w:rFonts w:hint="eastAsia" w:ascii="宋体" w:hAnsi="宋体" w:cs="宋体"/>
          <w:color w:val="auto"/>
          <w:sz w:val="24"/>
        </w:rPr>
        <w:t>℃</w:t>
      </w:r>
      <w:r>
        <w:rPr>
          <w:color w:val="auto"/>
          <w:sz w:val="24"/>
        </w:rPr>
        <w:t>，变成无色液体，冷却至-209.86</w:t>
      </w:r>
      <w:r>
        <w:rPr>
          <w:rFonts w:hint="eastAsia" w:ascii="宋体" w:hAnsi="宋体" w:cs="宋体"/>
          <w:color w:val="auto"/>
          <w:sz w:val="24"/>
        </w:rPr>
        <w:t>℃</w:t>
      </w:r>
      <w:r>
        <w:rPr>
          <w:color w:val="auto"/>
          <w:sz w:val="24"/>
        </w:rPr>
        <w:t>，液态氮变成雪状固体</w:t>
      </w:r>
      <w:r>
        <w:rPr>
          <w:rFonts w:hint="eastAsia"/>
          <w:color w:val="auto"/>
          <w:sz w:val="24"/>
          <w:lang w:eastAsia="zh-CN"/>
        </w:rPr>
        <w:t>。</w:t>
      </w:r>
    </w:p>
    <w:p w14:paraId="67D55E4E">
      <w:pPr>
        <w:spacing w:line="360" w:lineRule="auto"/>
        <w:rPr>
          <w:rFonts w:hint="default"/>
          <w:b/>
          <w:bCs/>
          <w:color w:val="0000FF"/>
          <w:sz w:val="24"/>
          <w:lang w:val="en-US" w:eastAsia="zh-CN"/>
        </w:rPr>
      </w:pPr>
      <w:r>
        <w:rPr>
          <w:rFonts w:hint="eastAsia"/>
          <w:b/>
          <w:bCs/>
          <w:color w:val="0000FF"/>
          <w:sz w:val="24"/>
          <w:lang w:val="en-US" w:eastAsia="zh-CN"/>
        </w:rPr>
        <w:t>3.1.4.2原料废铝来源及控制要求</w:t>
      </w:r>
    </w:p>
    <w:p w14:paraId="41D29989">
      <w:pPr>
        <w:bidi w:val="0"/>
        <w:spacing w:line="360" w:lineRule="auto"/>
        <w:ind w:firstLine="480" w:firstLineChars="200"/>
        <w:rPr>
          <w:rFonts w:hint="eastAsia" w:ascii="宋体" w:hAnsi="宋体"/>
          <w:color w:val="0000FF"/>
          <w:sz w:val="24"/>
        </w:rPr>
      </w:pPr>
      <w:bookmarkStart w:id="284" w:name="_Toc16063"/>
      <w:r>
        <w:rPr>
          <w:rFonts w:hint="eastAsia" w:ascii="宋体" w:hAnsi="宋体"/>
          <w:color w:val="0000FF"/>
          <w:sz w:val="24"/>
        </w:rPr>
        <w:t>根据《关于加强废旧金属回收熔炼企业辐射安全监管的通知》（环办函[2011]920 号）文件，所有熔炼企业必须开展辐射监测，发现放射性污染时应立即报告当地生态环境部门。对已发现的失控放射源或者被放射性污染的金属要严格控制，实施有效管理，避免流入社会，造成环境污染和公众健康的损害。</w:t>
      </w:r>
    </w:p>
    <w:p w14:paraId="20874DDA">
      <w:pPr>
        <w:bidi w:val="0"/>
        <w:spacing w:line="360" w:lineRule="auto"/>
        <w:ind w:firstLine="480" w:firstLineChars="200"/>
        <w:rPr>
          <w:rFonts w:hint="eastAsia" w:ascii="Times New Roman" w:hAnsi="Times New Roman" w:eastAsia="宋体" w:cs="Times New Roman"/>
          <w:color w:val="0000FF"/>
          <w:sz w:val="24"/>
          <w:lang w:val="en-US" w:eastAsia="zh-CN"/>
        </w:rPr>
      </w:pPr>
      <w:r>
        <w:rPr>
          <w:rFonts w:hint="eastAsia" w:ascii="宋体" w:hAnsi="宋体"/>
          <w:color w:val="0000FF"/>
          <w:sz w:val="24"/>
          <w:szCs w:val="24"/>
          <w:lang w:val="en-US" w:eastAsia="zh-CN"/>
        </w:rPr>
        <w:t>本项目</w:t>
      </w:r>
      <w:r>
        <w:rPr>
          <w:rFonts w:hint="eastAsia"/>
          <w:color w:val="0000FF"/>
          <w:sz w:val="24"/>
          <w:szCs w:val="24"/>
          <w:lang w:val="en-US" w:eastAsia="zh-CN"/>
        </w:rPr>
        <w:t>新增1座质检分析室布置1台</w:t>
      </w:r>
      <w:r>
        <w:rPr>
          <w:rFonts w:hint="eastAsia"/>
          <w:color w:val="0000FF"/>
          <w:sz w:val="24"/>
          <w:szCs w:val="24"/>
        </w:rPr>
        <w:t>纯度检测设备、</w:t>
      </w:r>
      <w:r>
        <w:rPr>
          <w:rFonts w:hint="eastAsia"/>
          <w:color w:val="0000FF"/>
          <w:sz w:val="24"/>
          <w:szCs w:val="24"/>
          <w:lang w:val="en-US" w:eastAsia="zh-CN"/>
        </w:rPr>
        <w:t>1台</w:t>
      </w:r>
      <w:r>
        <w:rPr>
          <w:rFonts w:hint="eastAsia"/>
          <w:color w:val="0000FF"/>
          <w:sz w:val="24"/>
          <w:szCs w:val="24"/>
        </w:rPr>
        <w:t>成分检测设备、</w:t>
      </w:r>
      <w:r>
        <w:rPr>
          <w:rFonts w:hint="eastAsia"/>
          <w:color w:val="0000FF"/>
          <w:sz w:val="24"/>
          <w:szCs w:val="24"/>
          <w:lang w:val="en-US" w:eastAsia="zh-CN"/>
        </w:rPr>
        <w:t>1台</w:t>
      </w:r>
      <w:r>
        <w:rPr>
          <w:rFonts w:hint="eastAsia"/>
          <w:color w:val="0000FF"/>
          <w:sz w:val="24"/>
          <w:szCs w:val="24"/>
        </w:rPr>
        <w:t>辐射检测设备</w:t>
      </w:r>
      <w:r>
        <w:rPr>
          <w:rFonts w:hint="eastAsia"/>
          <w:color w:val="0000FF"/>
          <w:sz w:val="24"/>
          <w:szCs w:val="24"/>
          <w:lang w:eastAsia="zh-CN"/>
        </w:rPr>
        <w:t>，</w:t>
      </w:r>
      <w:r>
        <w:rPr>
          <w:rFonts w:hint="eastAsia"/>
          <w:color w:val="0000FF"/>
          <w:sz w:val="24"/>
          <w:szCs w:val="24"/>
          <w:lang w:val="en-US" w:eastAsia="zh-CN"/>
        </w:rPr>
        <w:t>用于原料废铝入厂前检测。</w:t>
      </w:r>
    </w:p>
    <w:p w14:paraId="2918127F">
      <w:pPr>
        <w:bidi w:val="0"/>
        <w:spacing w:line="360" w:lineRule="auto"/>
        <w:ind w:firstLine="480" w:firstLineChars="200"/>
        <w:outlineLvl w:val="2"/>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sz w:val="24"/>
          <w:lang w:val="en-US" w:eastAsia="zh-CN"/>
        </w:rPr>
        <w:t>（1）废铝来源</w:t>
      </w:r>
      <w:bookmarkEnd w:id="284"/>
    </w:p>
    <w:p w14:paraId="63728902">
      <w:pPr>
        <w:spacing w:line="360" w:lineRule="auto"/>
        <w:ind w:firstLine="484" w:firstLineChars="202"/>
        <w:rPr>
          <w:color w:val="auto"/>
          <w:sz w:val="24"/>
        </w:rPr>
      </w:pPr>
      <w:r>
        <w:rPr>
          <w:rFonts w:hint="eastAsia" w:ascii="宋体" w:hAnsi="宋体"/>
          <w:color w:val="0000FF"/>
          <w:sz w:val="24"/>
        </w:rPr>
        <w:t>项目原料废铝来源</w:t>
      </w:r>
      <w:r>
        <w:rPr>
          <w:rFonts w:hint="eastAsia" w:ascii="宋体" w:hAnsi="宋体" w:eastAsia="宋体"/>
          <w:color w:val="0000FF"/>
          <w:sz w:val="24"/>
          <w:lang w:val="en-US" w:eastAsia="zh-CN"/>
        </w:rPr>
        <w:t>分为两部分，一部分为</w:t>
      </w:r>
      <w:r>
        <w:rPr>
          <w:rFonts w:hint="eastAsia" w:ascii="宋体" w:hAnsi="宋体"/>
          <w:color w:val="0000FF"/>
          <w:sz w:val="24"/>
        </w:rPr>
        <w:t>下游企业废边角料及集中区铝加工企业，提供废铝的种类主要为变</w:t>
      </w:r>
      <w:r>
        <w:rPr>
          <w:rFonts w:hint="default" w:ascii="Times New Roman" w:hAnsi="Times New Roman" w:cs="Times New Roman"/>
          <w:color w:val="0000FF"/>
          <w:sz w:val="24"/>
        </w:rPr>
        <w:t>形铝及铝合金</w:t>
      </w:r>
      <w:r>
        <w:rPr>
          <w:rFonts w:hint="eastAsia" w:cs="Times New Roman"/>
          <w:color w:val="0000FF"/>
          <w:sz w:val="24"/>
          <w:lang w:val="en-US" w:eastAsia="zh-CN"/>
        </w:rPr>
        <w:t>回收</w:t>
      </w:r>
      <w:r>
        <w:rPr>
          <w:rFonts w:hint="default" w:ascii="Times New Roman" w:hAnsi="Times New Roman" w:cs="Times New Roman"/>
          <w:color w:val="0000FF"/>
          <w:sz w:val="24"/>
        </w:rPr>
        <w:t>料</w:t>
      </w:r>
      <w:r>
        <w:rPr>
          <w:rFonts w:hint="eastAsia" w:cs="Times New Roman"/>
          <w:color w:val="0000FF"/>
          <w:sz w:val="24"/>
          <w:lang w:val="en-US" w:eastAsia="zh-CN"/>
        </w:rPr>
        <w:t>、铝及铝合金屑和铝及铝合金碎片</w:t>
      </w:r>
      <w:r>
        <w:rPr>
          <w:rFonts w:hint="default" w:ascii="Times New Roman" w:hAnsi="Times New Roman" w:eastAsia="宋体" w:cs="Times New Roman"/>
          <w:color w:val="0000FF"/>
          <w:sz w:val="24"/>
          <w:lang w:eastAsia="zh-CN"/>
        </w:rPr>
        <w:t>；</w:t>
      </w:r>
      <w:r>
        <w:rPr>
          <w:rFonts w:hint="default" w:ascii="Times New Roman" w:hAnsi="Times New Roman" w:eastAsia="宋体" w:cs="Times New Roman"/>
          <w:color w:val="0000FF"/>
          <w:sz w:val="24"/>
          <w:lang w:val="en-US" w:eastAsia="zh-CN"/>
        </w:rPr>
        <w:t>另一部分为下游客户新能源汽车零部件制造企业，在生产过程中产生的残次品、报废品和加工过程产生的边角料、浇冒口等，</w:t>
      </w:r>
      <w:r>
        <w:rPr>
          <w:rFonts w:hint="eastAsia" w:ascii="宋体" w:hAnsi="宋体"/>
          <w:color w:val="0000FF"/>
          <w:sz w:val="24"/>
        </w:rPr>
        <w:t>废铝的种类主要为铸造铝合金回收料</w:t>
      </w:r>
      <w:r>
        <w:rPr>
          <w:rFonts w:hint="default" w:ascii="Times New Roman" w:hAnsi="Times New Roman" w:eastAsia="宋体" w:cs="Times New Roman"/>
          <w:color w:val="0000FF"/>
          <w:sz w:val="24"/>
          <w:lang w:val="en-US" w:eastAsia="zh-CN"/>
        </w:rPr>
        <w:t>。</w:t>
      </w:r>
    </w:p>
    <w:p w14:paraId="1B8A4072">
      <w:pPr>
        <w:numPr>
          <w:ilvl w:val="0"/>
          <w:numId w:val="0"/>
        </w:numPr>
        <w:spacing w:line="360" w:lineRule="auto"/>
        <w:ind w:firstLine="480" w:firstLineChars="200"/>
        <w:outlineLvl w:val="2"/>
        <w:rPr>
          <w:rFonts w:hint="default" w:ascii="Times New Roman" w:hAnsi="Times New Roman" w:cs="Times New Roman"/>
          <w:color w:val="0000FF"/>
          <w:sz w:val="24"/>
        </w:rPr>
      </w:pPr>
      <w:bookmarkStart w:id="285" w:name="_Toc6522"/>
      <w:r>
        <w:rPr>
          <w:rFonts w:hint="default" w:ascii="Times New Roman" w:hAnsi="Times New Roman" w:cs="Times New Roman" w:eastAsiaTheme="minorEastAsia"/>
          <w:color w:val="0000FF"/>
          <w:kern w:val="2"/>
          <w:sz w:val="24"/>
          <w:szCs w:val="24"/>
          <w:lang w:val="en-US" w:eastAsia="zh-CN" w:bidi="ar-SA"/>
        </w:rPr>
        <w:t>（2）</w:t>
      </w:r>
      <w:r>
        <w:rPr>
          <w:rFonts w:hint="default" w:ascii="Times New Roman" w:hAnsi="Times New Roman" w:cs="Times New Roman"/>
          <w:color w:val="0000FF"/>
          <w:sz w:val="24"/>
        </w:rPr>
        <w:t>废铝成分控制要求</w:t>
      </w:r>
      <w:bookmarkEnd w:id="285"/>
    </w:p>
    <w:p w14:paraId="11F3EDA0">
      <w:pPr>
        <w:bidi w:val="0"/>
        <w:spacing w:line="360" w:lineRule="auto"/>
        <w:ind w:firstLine="480" w:firstLineChars="200"/>
        <w:rPr>
          <w:rFonts w:hint="eastAsia" w:ascii="Times New Roman" w:hAnsi="Times New Roman" w:eastAsia="宋体" w:cs="Times New Roman"/>
          <w:color w:val="auto"/>
          <w:sz w:val="24"/>
          <w:lang w:val="en-US" w:eastAsia="zh-CN"/>
        </w:rPr>
      </w:pPr>
      <w:r>
        <w:rPr>
          <w:rFonts w:hint="eastAsia" w:ascii="宋体" w:hAnsi="宋体"/>
          <w:color w:val="0000FF"/>
          <w:sz w:val="24"/>
        </w:rPr>
        <w:t>拟建项目废铝来源广泛，主要包括铝加工生产企业产生的边角料</w:t>
      </w:r>
      <w:r>
        <w:rPr>
          <w:rFonts w:hint="eastAsia" w:ascii="宋体" w:hAnsi="宋体" w:eastAsia="宋体"/>
          <w:color w:val="0000FF"/>
          <w:sz w:val="24"/>
          <w:lang w:val="en-US" w:eastAsia="zh-CN"/>
        </w:rPr>
        <w:t>和下游客户新能源汽车零部件制造企业，生产过程中产生的残次品、报废品和加工过程产生的边角料、浇冒口等。</w:t>
      </w:r>
      <w:r>
        <w:rPr>
          <w:rFonts w:hint="eastAsia" w:ascii="宋体" w:hAnsi="宋体"/>
          <w:color w:val="0000FF"/>
          <w:sz w:val="24"/>
        </w:rPr>
        <w:t>这类原材料成分比较简单，基本未受油污污染，杂质少。</w:t>
      </w:r>
    </w:p>
    <w:p w14:paraId="3FA0439E">
      <w:pPr>
        <w:bidi w:val="0"/>
        <w:spacing w:line="360" w:lineRule="auto"/>
        <w:ind w:firstLine="480" w:firstLineChars="200"/>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sz w:val="24"/>
          <w:lang w:val="en-US" w:eastAsia="zh-CN"/>
        </w:rPr>
        <w:t>结合《</w:t>
      </w:r>
      <w:r>
        <w:rPr>
          <w:rFonts w:hint="eastAsia" w:cs="Times New Roman"/>
          <w:color w:val="0000FF"/>
          <w:sz w:val="24"/>
          <w:lang w:val="en-US" w:eastAsia="zh-CN"/>
        </w:rPr>
        <w:t>回收铝</w:t>
      </w:r>
      <w:r>
        <w:rPr>
          <w:rFonts w:hint="eastAsia" w:ascii="Times New Roman" w:hAnsi="Times New Roman" w:eastAsia="宋体" w:cs="Times New Roman"/>
          <w:color w:val="0000FF"/>
          <w:sz w:val="24"/>
          <w:lang w:val="en-US" w:eastAsia="zh-CN"/>
        </w:rPr>
        <w:t>》</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GB/T13586-20</w:t>
      </w:r>
      <w:r>
        <w:rPr>
          <w:rFonts w:hint="eastAsia" w:cs="Times New Roman"/>
          <w:color w:val="0000FF"/>
          <w:sz w:val="24"/>
          <w:lang w:val="en-US" w:eastAsia="zh-CN"/>
        </w:rPr>
        <w:t>21）</w:t>
      </w:r>
      <w:r>
        <w:rPr>
          <w:rFonts w:hint="eastAsia" w:ascii="Times New Roman" w:hAnsi="Times New Roman" w:eastAsia="宋体" w:cs="Times New Roman"/>
          <w:color w:val="0000FF"/>
          <w:sz w:val="24"/>
          <w:lang w:val="en-US" w:eastAsia="zh-CN"/>
        </w:rPr>
        <w:t>中相关要求，建设单位收购的废铝应满足如下要求：</w:t>
      </w:r>
    </w:p>
    <w:p w14:paraId="6B879392">
      <w:pPr>
        <w:bidi w:val="0"/>
        <w:spacing w:line="360" w:lineRule="auto"/>
        <w:jc w:val="center"/>
        <w:rPr>
          <w:rFonts w:hint="default" w:ascii="Times New Roman" w:hAnsi="Times New Roman" w:eastAsia="宋体" w:cs="Times New Roman"/>
          <w:b/>
          <w:bCs/>
          <w:color w:val="0000FF"/>
          <w:sz w:val="24"/>
          <w:lang w:val="en-US" w:eastAsia="zh-CN"/>
        </w:rPr>
      </w:pPr>
      <w:r>
        <w:rPr>
          <w:rFonts w:hint="eastAsia" w:ascii="Times New Roman" w:hAnsi="Times New Roman" w:eastAsia="宋体" w:cs="Times New Roman"/>
          <w:b/>
          <w:bCs/>
          <w:color w:val="0000FF"/>
          <w:sz w:val="24"/>
          <w:lang w:val="en-US" w:eastAsia="zh-CN"/>
        </w:rPr>
        <w:t>表</w:t>
      </w:r>
      <w:r>
        <w:rPr>
          <w:rFonts w:hint="eastAsia" w:cs="Times New Roman"/>
          <w:b/>
          <w:bCs/>
          <w:color w:val="0000FF"/>
          <w:sz w:val="24"/>
          <w:lang w:val="en-US" w:eastAsia="zh-CN"/>
        </w:rPr>
        <w:t>3-6</w:t>
      </w:r>
      <w:r>
        <w:rPr>
          <w:rFonts w:hint="eastAsia" w:ascii="Times New Roman" w:hAnsi="Times New Roman" w:eastAsia="宋体" w:cs="Times New Roman"/>
          <w:b/>
          <w:bCs/>
          <w:color w:val="0000FF"/>
          <w:sz w:val="24"/>
          <w:lang w:val="en-US" w:eastAsia="zh-CN"/>
        </w:rPr>
        <w:t xml:space="preserve"> 本项目废铝的类型与指标要求</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Layout w:type="fixed"/>
        <w:tblCellMar>
          <w:top w:w="0" w:type="dxa"/>
          <w:left w:w="108" w:type="dxa"/>
          <w:bottom w:w="0" w:type="dxa"/>
          <w:right w:w="108" w:type="dxa"/>
        </w:tblCellMar>
      </w:tblPr>
      <w:tblGrid>
        <w:gridCol w:w="1365"/>
        <w:gridCol w:w="819"/>
        <w:gridCol w:w="1477"/>
        <w:gridCol w:w="6301"/>
      </w:tblGrid>
      <w:tr w14:paraId="0C2C7DBD">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70" w:hRule="atLeast"/>
        </w:trPr>
        <w:tc>
          <w:tcPr>
            <w:tcW w:w="1837" w:type="pct"/>
            <w:gridSpan w:val="3"/>
            <w:tcBorders>
              <w:tl2br w:val="nil"/>
              <w:tr2bl w:val="nil"/>
            </w:tcBorders>
            <w:shd w:val="clear" w:color="auto" w:fill="auto"/>
            <w:noWrap/>
            <w:vAlign w:val="center"/>
          </w:tcPr>
          <w:p w14:paraId="5111B708">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废铝分类</w:t>
            </w:r>
          </w:p>
        </w:tc>
        <w:tc>
          <w:tcPr>
            <w:tcW w:w="3162" w:type="pct"/>
            <w:vMerge w:val="restart"/>
            <w:tcBorders>
              <w:tl2br w:val="nil"/>
              <w:tr2bl w:val="nil"/>
            </w:tcBorders>
            <w:shd w:val="clear" w:color="auto" w:fill="auto"/>
            <w:noWrap/>
            <w:vAlign w:val="center"/>
          </w:tcPr>
          <w:p w14:paraId="28639588">
            <w:pPr>
              <w:widowControl/>
              <w:jc w:val="center"/>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b/>
                <w:bCs/>
                <w:color w:val="0000FF"/>
                <w:kern w:val="0"/>
                <w:sz w:val="21"/>
                <w:szCs w:val="21"/>
                <w:lang w:bidi="ar"/>
              </w:rPr>
              <w:t>要求</w:t>
            </w:r>
          </w:p>
        </w:tc>
      </w:tr>
      <w:tr w14:paraId="247A9007">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70" w:hRule="atLeast"/>
        </w:trPr>
        <w:tc>
          <w:tcPr>
            <w:tcW w:w="685" w:type="pct"/>
            <w:tcBorders>
              <w:tl2br w:val="nil"/>
              <w:tr2bl w:val="nil"/>
            </w:tcBorders>
            <w:shd w:val="clear" w:color="auto" w:fill="auto"/>
            <w:noWrap/>
            <w:vAlign w:val="center"/>
          </w:tcPr>
          <w:p w14:paraId="00986739">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类别</w:t>
            </w:r>
          </w:p>
        </w:tc>
        <w:tc>
          <w:tcPr>
            <w:tcW w:w="411" w:type="pct"/>
            <w:tcBorders>
              <w:tl2br w:val="nil"/>
              <w:tr2bl w:val="nil"/>
            </w:tcBorders>
            <w:shd w:val="clear" w:color="auto" w:fill="auto"/>
            <w:noWrap/>
            <w:vAlign w:val="center"/>
          </w:tcPr>
          <w:p w14:paraId="781970FF">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组别</w:t>
            </w:r>
          </w:p>
        </w:tc>
        <w:tc>
          <w:tcPr>
            <w:tcW w:w="741" w:type="pct"/>
            <w:tcBorders>
              <w:tl2br w:val="nil"/>
              <w:tr2bl w:val="nil"/>
            </w:tcBorders>
            <w:shd w:val="clear" w:color="auto" w:fill="auto"/>
            <w:noWrap/>
            <w:vAlign w:val="center"/>
          </w:tcPr>
          <w:p w14:paraId="1F2A5209">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废铝名称</w:t>
            </w:r>
          </w:p>
        </w:tc>
        <w:tc>
          <w:tcPr>
            <w:tcW w:w="3162" w:type="pct"/>
            <w:vMerge w:val="continue"/>
            <w:tcBorders>
              <w:tl2br w:val="nil"/>
              <w:tr2bl w:val="nil"/>
            </w:tcBorders>
            <w:shd w:val="clear" w:color="auto" w:fill="auto"/>
            <w:noWrap/>
            <w:vAlign w:val="center"/>
          </w:tcPr>
          <w:p w14:paraId="30C2A6FA">
            <w:pPr>
              <w:jc w:val="center"/>
              <w:rPr>
                <w:rFonts w:hint="default" w:ascii="Times New Roman" w:hAnsi="Times New Roman" w:eastAsia="宋体" w:cs="Times New Roman"/>
                <w:color w:val="0000FF"/>
                <w:sz w:val="21"/>
                <w:szCs w:val="21"/>
              </w:rPr>
            </w:pPr>
          </w:p>
        </w:tc>
      </w:tr>
      <w:tr w14:paraId="316362D1">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79" w:hRule="atLeast"/>
        </w:trPr>
        <w:tc>
          <w:tcPr>
            <w:tcW w:w="685" w:type="pct"/>
            <w:vMerge w:val="restart"/>
            <w:tcBorders>
              <w:tl2br w:val="nil"/>
              <w:tr2bl w:val="nil"/>
            </w:tcBorders>
            <w:shd w:val="clear" w:color="auto" w:fill="auto"/>
            <w:noWrap/>
            <w:vAlign w:val="center"/>
          </w:tcPr>
          <w:p w14:paraId="18BE75F5">
            <w:pPr>
              <w:jc w:val="center"/>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变形铝及铝合金废料</w:t>
            </w:r>
          </w:p>
        </w:tc>
        <w:tc>
          <w:tcPr>
            <w:tcW w:w="411" w:type="pct"/>
            <w:vMerge w:val="restart"/>
            <w:tcBorders>
              <w:tl2br w:val="nil"/>
              <w:tr2bl w:val="nil"/>
            </w:tcBorders>
            <w:shd w:val="clear" w:color="auto" w:fill="auto"/>
            <w:noWrap/>
            <w:vAlign w:val="center"/>
          </w:tcPr>
          <w:p w14:paraId="64C8E4EB">
            <w:pPr>
              <w:widowControl/>
              <w:jc w:val="center"/>
              <w:textAlignment w:val="center"/>
              <w:rPr>
                <w:rFonts w:hint="eastAsia" w:ascii="Times New Roman" w:hAnsi="Times New Roman" w:eastAsia="宋体" w:cs="Times New Roman"/>
                <w:color w:val="0000FF"/>
                <w:kern w:val="0"/>
                <w:sz w:val="21"/>
                <w:szCs w:val="21"/>
                <w:lang w:eastAsia="zh-CN" w:bidi="ar"/>
              </w:rPr>
            </w:pPr>
            <w:r>
              <w:rPr>
                <w:rFonts w:hint="eastAsia" w:cs="Times New Roman"/>
                <w:color w:val="0000FF"/>
                <w:kern w:val="0"/>
                <w:sz w:val="21"/>
                <w:szCs w:val="21"/>
                <w:lang w:val="en-US" w:eastAsia="zh-CN" w:bidi="ar"/>
              </w:rPr>
              <w:t>铝导体</w:t>
            </w:r>
          </w:p>
        </w:tc>
        <w:tc>
          <w:tcPr>
            <w:tcW w:w="741" w:type="pct"/>
            <w:tcBorders>
              <w:tl2br w:val="nil"/>
              <w:tr2bl w:val="nil"/>
            </w:tcBorders>
            <w:shd w:val="clear" w:color="auto" w:fill="auto"/>
            <w:noWrap/>
            <w:vAlign w:val="center"/>
          </w:tcPr>
          <w:p w14:paraId="0833C0FD">
            <w:pPr>
              <w:widowControl/>
              <w:jc w:val="center"/>
              <w:textAlignment w:val="center"/>
              <w:rPr>
                <w:rFonts w:hint="eastAsia" w:ascii="Times New Roman" w:hAnsi="Times New Roman" w:eastAsia="宋体" w:cs="Times New Roman"/>
                <w:color w:val="0000FF"/>
                <w:kern w:val="0"/>
                <w:sz w:val="21"/>
                <w:szCs w:val="21"/>
                <w:lang w:eastAsia="zh-CN" w:bidi="ar"/>
              </w:rPr>
            </w:pPr>
            <w:r>
              <w:rPr>
                <w:rFonts w:hint="default" w:ascii="Times New Roman" w:hAnsi="Times New Roman" w:eastAsia="宋体" w:cs="Times New Roman"/>
                <w:color w:val="0000FF"/>
                <w:kern w:val="0"/>
                <w:sz w:val="21"/>
                <w:szCs w:val="21"/>
                <w:lang w:bidi="ar"/>
              </w:rPr>
              <w:t>新的纯铝线</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缆</w:t>
            </w:r>
            <w:r>
              <w:rPr>
                <w:rFonts w:hint="eastAsia" w:cs="Times New Roman"/>
                <w:color w:val="0000FF"/>
                <w:kern w:val="0"/>
                <w:sz w:val="21"/>
                <w:szCs w:val="21"/>
                <w:lang w:eastAsia="zh-CN" w:bidi="ar"/>
              </w:rPr>
              <w:t>）</w:t>
            </w:r>
          </w:p>
        </w:tc>
        <w:tc>
          <w:tcPr>
            <w:tcW w:w="3162" w:type="pct"/>
            <w:tcBorders>
              <w:tl2br w:val="nil"/>
              <w:tr2bl w:val="nil"/>
            </w:tcBorders>
            <w:shd w:val="clear" w:color="auto" w:fill="auto"/>
            <w:noWrap/>
            <w:vAlign w:val="center"/>
          </w:tcPr>
          <w:p w14:paraId="62F64D1E">
            <w:pPr>
              <w:jc w:val="both"/>
              <w:rPr>
                <w:rFonts w:hint="eastAsia" w:ascii="Times New Roman" w:hAnsi="Times New Roman" w:eastAsia="宋体" w:cs="Times New Roman"/>
                <w:color w:val="0000FF"/>
                <w:sz w:val="21"/>
                <w:szCs w:val="21"/>
                <w:lang w:eastAsia="zh-CN"/>
              </w:rPr>
            </w:pPr>
            <w:r>
              <w:rPr>
                <w:rFonts w:hint="default" w:ascii="Times New Roman" w:hAnsi="Times New Roman" w:eastAsia="宋体" w:cs="Times New Roman"/>
                <w:color w:val="0000FF"/>
                <w:sz w:val="21"/>
                <w:szCs w:val="21"/>
              </w:rPr>
              <w:t>新的、洁净的纯铝电线、电缆构成的回收铝。无铝合金线、抛丝</w:t>
            </w:r>
            <w:r>
              <w:rPr>
                <w:rFonts w:hint="eastAsia" w:cs="Times New Roman"/>
                <w:color w:val="0000FF"/>
                <w:sz w:val="21"/>
                <w:szCs w:val="21"/>
                <w:lang w:eastAsia="zh-CN"/>
              </w:rPr>
              <w:t>（</w:t>
            </w:r>
            <w:r>
              <w:rPr>
                <w:rFonts w:hint="default" w:ascii="Times New Roman" w:hAnsi="Times New Roman" w:eastAsia="宋体" w:cs="Times New Roman"/>
                <w:color w:val="0000FF"/>
                <w:sz w:val="21"/>
                <w:szCs w:val="21"/>
              </w:rPr>
              <w:t>网</w:t>
            </w:r>
            <w:r>
              <w:rPr>
                <w:rFonts w:hint="eastAsia" w:cs="Times New Roman"/>
                <w:color w:val="0000FF"/>
                <w:sz w:val="21"/>
                <w:szCs w:val="21"/>
                <w:lang w:eastAsia="zh-CN"/>
              </w:rPr>
              <w:t>）</w:t>
            </w:r>
            <w:r>
              <w:rPr>
                <w:rFonts w:hint="default" w:ascii="Times New Roman" w:hAnsi="Times New Roman" w:eastAsia="宋体" w:cs="Times New Roman"/>
                <w:color w:val="0000FF"/>
                <w:sz w:val="21"/>
                <w:szCs w:val="21"/>
              </w:rPr>
              <w:t>、铁、绝缘皮和其他杂质</w:t>
            </w:r>
          </w:p>
        </w:tc>
      </w:tr>
      <w:tr w14:paraId="1C2AB91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78" w:hRule="atLeast"/>
        </w:trPr>
        <w:tc>
          <w:tcPr>
            <w:tcW w:w="685" w:type="pct"/>
            <w:vMerge w:val="continue"/>
            <w:tcBorders>
              <w:tl2br w:val="nil"/>
              <w:tr2bl w:val="nil"/>
            </w:tcBorders>
            <w:shd w:val="clear" w:color="auto" w:fill="auto"/>
            <w:noWrap/>
            <w:vAlign w:val="center"/>
          </w:tcPr>
          <w:p w14:paraId="1F23A49E">
            <w:pPr>
              <w:jc w:val="center"/>
              <w:textAlignment w:val="center"/>
              <w:rPr>
                <w:rFonts w:hint="default" w:ascii="Times New Roman" w:hAnsi="Times New Roman" w:eastAsia="宋体" w:cs="Times New Roman"/>
                <w:color w:val="0000FF"/>
                <w:kern w:val="0"/>
                <w:sz w:val="21"/>
                <w:szCs w:val="21"/>
                <w:lang w:bidi="ar"/>
              </w:rPr>
            </w:pPr>
          </w:p>
        </w:tc>
        <w:tc>
          <w:tcPr>
            <w:tcW w:w="411" w:type="pct"/>
            <w:vMerge w:val="continue"/>
            <w:tcBorders>
              <w:tl2br w:val="nil"/>
              <w:tr2bl w:val="nil"/>
            </w:tcBorders>
            <w:shd w:val="clear" w:color="auto" w:fill="auto"/>
            <w:noWrap/>
            <w:vAlign w:val="center"/>
          </w:tcPr>
          <w:p w14:paraId="14E0A901">
            <w:pPr>
              <w:widowControl/>
              <w:jc w:val="center"/>
              <w:textAlignment w:val="center"/>
              <w:rPr>
                <w:rFonts w:hint="default" w:ascii="Times New Roman" w:hAnsi="Times New Roman" w:eastAsia="宋体" w:cs="Times New Roman"/>
                <w:color w:val="0000FF"/>
                <w:kern w:val="0"/>
                <w:sz w:val="21"/>
                <w:szCs w:val="21"/>
                <w:lang w:bidi="ar"/>
              </w:rPr>
            </w:pPr>
          </w:p>
        </w:tc>
        <w:tc>
          <w:tcPr>
            <w:tcW w:w="741" w:type="pct"/>
            <w:tcBorders>
              <w:tl2br w:val="nil"/>
              <w:tr2bl w:val="nil"/>
            </w:tcBorders>
            <w:shd w:val="clear" w:color="auto" w:fill="auto"/>
            <w:noWrap/>
            <w:vAlign w:val="center"/>
          </w:tcPr>
          <w:p w14:paraId="085276E1">
            <w:pPr>
              <w:widowControl/>
              <w:jc w:val="center"/>
              <w:textAlignment w:val="center"/>
              <w:rPr>
                <w:rFonts w:hint="eastAsia" w:ascii="Times New Roman" w:hAnsi="Times New Roman" w:eastAsia="宋体" w:cs="Times New Roman"/>
                <w:color w:val="0000FF"/>
                <w:kern w:val="0"/>
                <w:sz w:val="21"/>
                <w:szCs w:val="21"/>
                <w:lang w:eastAsia="zh-CN" w:bidi="ar"/>
              </w:rPr>
            </w:pPr>
            <w:r>
              <w:rPr>
                <w:rFonts w:hint="default" w:ascii="Times New Roman" w:hAnsi="Times New Roman" w:eastAsia="宋体" w:cs="Times New Roman"/>
                <w:color w:val="0000FF"/>
                <w:kern w:val="0"/>
                <w:sz w:val="21"/>
                <w:szCs w:val="21"/>
                <w:lang w:bidi="ar"/>
              </w:rPr>
              <w:t>旧的纯铝线</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缆</w:t>
            </w:r>
            <w:r>
              <w:rPr>
                <w:rFonts w:hint="eastAsia" w:cs="Times New Roman"/>
                <w:color w:val="0000FF"/>
                <w:kern w:val="0"/>
                <w:sz w:val="21"/>
                <w:szCs w:val="21"/>
                <w:lang w:eastAsia="zh-CN" w:bidi="ar"/>
              </w:rPr>
              <w:t>）</w:t>
            </w:r>
          </w:p>
        </w:tc>
        <w:tc>
          <w:tcPr>
            <w:tcW w:w="3162" w:type="pct"/>
            <w:tcBorders>
              <w:tl2br w:val="nil"/>
              <w:tr2bl w:val="nil"/>
            </w:tcBorders>
            <w:shd w:val="clear" w:color="auto" w:fill="auto"/>
            <w:noWrap/>
            <w:vAlign w:val="center"/>
          </w:tcPr>
          <w:p w14:paraId="360E88E8">
            <w:pPr>
              <w:jc w:val="both"/>
              <w:rPr>
                <w:rFonts w:hint="eastAsia" w:ascii="Times New Roman" w:hAnsi="Times New Roman" w:eastAsia="宋体" w:cs="Times New Roman"/>
                <w:color w:val="0000FF"/>
                <w:sz w:val="21"/>
                <w:szCs w:val="21"/>
                <w:lang w:eastAsia="zh-CN"/>
              </w:rPr>
            </w:pPr>
            <w:r>
              <w:rPr>
                <w:rFonts w:hint="eastAsia" w:ascii="Times New Roman" w:hAnsi="Times New Roman" w:eastAsia="宋体" w:cs="Times New Roman"/>
                <w:color w:val="0000FF"/>
                <w:sz w:val="21"/>
                <w:szCs w:val="21"/>
                <w:lang w:eastAsia="zh-CN"/>
              </w:rPr>
              <w:t>旧的纯铝电线、电缆构成的回收铝。表面氧化物及污物低于回收铝总量的1%。无铝合金线、抛丝</w:t>
            </w:r>
            <w:r>
              <w:rPr>
                <w:rFonts w:hint="eastAsia" w:cs="Times New Roman"/>
                <w:color w:val="0000FF"/>
                <w:sz w:val="21"/>
                <w:szCs w:val="21"/>
                <w:lang w:eastAsia="zh-CN"/>
              </w:rPr>
              <w:t>（</w:t>
            </w:r>
            <w:r>
              <w:rPr>
                <w:rFonts w:hint="default" w:ascii="Times New Roman" w:hAnsi="Times New Roman" w:eastAsia="宋体" w:cs="Times New Roman"/>
                <w:color w:val="0000FF"/>
                <w:sz w:val="21"/>
                <w:szCs w:val="21"/>
              </w:rPr>
              <w:t>网</w:t>
            </w:r>
            <w:r>
              <w:rPr>
                <w:rFonts w:hint="eastAsia" w:cs="Times New Roman"/>
                <w:color w:val="0000FF"/>
                <w:sz w:val="21"/>
                <w:szCs w:val="21"/>
                <w:lang w:eastAsia="zh-CN"/>
              </w:rPr>
              <w:t>）</w:t>
            </w:r>
            <w:r>
              <w:rPr>
                <w:rFonts w:hint="eastAsia" w:ascii="Times New Roman" w:hAnsi="Times New Roman" w:eastAsia="宋体" w:cs="Times New Roman"/>
                <w:color w:val="0000FF"/>
                <w:sz w:val="21"/>
                <w:szCs w:val="21"/>
                <w:lang w:eastAsia="zh-CN"/>
              </w:rPr>
              <w:t>、铁、绝缘皮和其他杂质</w:t>
            </w:r>
          </w:p>
        </w:tc>
      </w:tr>
      <w:tr w14:paraId="114D368E">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78" w:hRule="atLeast"/>
        </w:trPr>
        <w:tc>
          <w:tcPr>
            <w:tcW w:w="685" w:type="pct"/>
            <w:vMerge w:val="continue"/>
            <w:tcBorders>
              <w:tl2br w:val="nil"/>
              <w:tr2bl w:val="nil"/>
            </w:tcBorders>
            <w:shd w:val="clear" w:color="auto" w:fill="auto"/>
            <w:noWrap/>
            <w:vAlign w:val="center"/>
          </w:tcPr>
          <w:p w14:paraId="125CA9AE">
            <w:pPr>
              <w:jc w:val="center"/>
              <w:textAlignment w:val="center"/>
              <w:rPr>
                <w:rFonts w:hint="default" w:ascii="Times New Roman" w:hAnsi="Times New Roman" w:eastAsia="宋体" w:cs="Times New Roman"/>
                <w:color w:val="0000FF"/>
                <w:kern w:val="0"/>
                <w:sz w:val="21"/>
                <w:szCs w:val="21"/>
                <w:lang w:bidi="ar"/>
              </w:rPr>
            </w:pPr>
          </w:p>
        </w:tc>
        <w:tc>
          <w:tcPr>
            <w:tcW w:w="411" w:type="pct"/>
            <w:vMerge w:val="continue"/>
            <w:tcBorders>
              <w:tl2br w:val="nil"/>
              <w:tr2bl w:val="nil"/>
            </w:tcBorders>
            <w:shd w:val="clear" w:color="auto" w:fill="auto"/>
            <w:noWrap/>
            <w:vAlign w:val="center"/>
          </w:tcPr>
          <w:p w14:paraId="5A1B39AA">
            <w:pPr>
              <w:widowControl/>
              <w:jc w:val="center"/>
              <w:textAlignment w:val="center"/>
              <w:rPr>
                <w:rFonts w:hint="default" w:ascii="Times New Roman" w:hAnsi="Times New Roman" w:eastAsia="宋体" w:cs="Times New Roman"/>
                <w:color w:val="0000FF"/>
                <w:kern w:val="0"/>
                <w:sz w:val="21"/>
                <w:szCs w:val="21"/>
                <w:lang w:bidi="ar"/>
              </w:rPr>
            </w:pPr>
          </w:p>
        </w:tc>
        <w:tc>
          <w:tcPr>
            <w:tcW w:w="741" w:type="pct"/>
            <w:tcBorders>
              <w:tl2br w:val="nil"/>
              <w:tr2bl w:val="nil"/>
            </w:tcBorders>
            <w:shd w:val="clear" w:color="auto" w:fill="auto"/>
            <w:noWrap/>
            <w:vAlign w:val="center"/>
          </w:tcPr>
          <w:p w14:paraId="5B4D2EE5">
            <w:pPr>
              <w:widowControl/>
              <w:jc w:val="center"/>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导电铝板</w:t>
            </w:r>
          </w:p>
        </w:tc>
        <w:tc>
          <w:tcPr>
            <w:tcW w:w="3162" w:type="pct"/>
            <w:tcBorders>
              <w:tl2br w:val="nil"/>
              <w:tr2bl w:val="nil"/>
            </w:tcBorders>
            <w:shd w:val="clear" w:color="auto" w:fill="auto"/>
            <w:noWrap/>
            <w:vAlign w:val="center"/>
          </w:tcPr>
          <w:p w14:paraId="51773CE3">
            <w:pPr>
              <w:jc w:val="both"/>
              <w:rPr>
                <w:rFonts w:hint="eastAsia" w:ascii="Times New Roman" w:hAnsi="Times New Roman" w:eastAsia="宋体" w:cs="Times New Roman"/>
                <w:color w:val="0000FF"/>
                <w:sz w:val="21"/>
                <w:szCs w:val="21"/>
                <w:lang w:eastAsia="zh-CN"/>
              </w:rPr>
            </w:pPr>
            <w:r>
              <w:rPr>
                <w:rFonts w:hint="eastAsia" w:ascii="Times New Roman" w:hAnsi="Times New Roman" w:eastAsia="宋体" w:cs="Times New Roman"/>
                <w:color w:val="0000FF"/>
                <w:sz w:val="21"/>
                <w:szCs w:val="21"/>
                <w:lang w:eastAsia="zh-CN"/>
              </w:rPr>
              <w:t>各种电器设备和设施中的铝导电板、导电排、导电母线等构成的回收铝。无夹杂物</w:t>
            </w:r>
          </w:p>
        </w:tc>
      </w:tr>
      <w:tr w14:paraId="47E17952">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302" w:hRule="atLeast"/>
        </w:trPr>
        <w:tc>
          <w:tcPr>
            <w:tcW w:w="685" w:type="pct"/>
            <w:vMerge w:val="continue"/>
            <w:tcBorders>
              <w:tl2br w:val="nil"/>
              <w:tr2bl w:val="nil"/>
            </w:tcBorders>
            <w:shd w:val="clear" w:color="auto" w:fill="auto"/>
            <w:vAlign w:val="center"/>
          </w:tcPr>
          <w:p w14:paraId="114CCE2C">
            <w:pPr>
              <w:widowControl/>
              <w:jc w:val="center"/>
              <w:textAlignment w:val="center"/>
              <w:rPr>
                <w:rFonts w:hint="default" w:ascii="Times New Roman" w:hAnsi="Times New Roman" w:eastAsia="宋体" w:cs="Times New Roman"/>
                <w:color w:val="auto"/>
                <w:sz w:val="21"/>
                <w:szCs w:val="21"/>
              </w:rPr>
            </w:pPr>
          </w:p>
        </w:tc>
        <w:tc>
          <w:tcPr>
            <w:tcW w:w="411" w:type="pct"/>
            <w:vMerge w:val="restart"/>
            <w:tcBorders>
              <w:tl2br w:val="nil"/>
              <w:tr2bl w:val="nil"/>
            </w:tcBorders>
            <w:shd w:val="clear" w:color="auto" w:fill="auto"/>
            <w:noWrap/>
            <w:vAlign w:val="center"/>
          </w:tcPr>
          <w:p w14:paraId="458C5151">
            <w:pPr>
              <w:widowControl/>
              <w:jc w:val="center"/>
              <w:textAlignment w:val="center"/>
              <w:rPr>
                <w:rFonts w:hint="default" w:ascii="Times New Roman" w:hAnsi="Times New Roman" w:eastAsia="宋体" w:cs="Times New Roman"/>
                <w:color w:val="0000FF"/>
                <w:sz w:val="21"/>
                <w:szCs w:val="21"/>
                <w:lang w:val="en-US" w:eastAsia="zh-CN"/>
              </w:rPr>
            </w:pPr>
            <w:r>
              <w:rPr>
                <w:rFonts w:hint="eastAsia" w:cs="Times New Roman"/>
                <w:color w:val="0000FF"/>
                <w:sz w:val="21"/>
                <w:szCs w:val="21"/>
                <w:lang w:val="en-US" w:eastAsia="zh-CN"/>
              </w:rPr>
              <w:t>铝罐</w:t>
            </w:r>
          </w:p>
        </w:tc>
        <w:tc>
          <w:tcPr>
            <w:tcW w:w="741" w:type="pct"/>
            <w:tcBorders>
              <w:tl2br w:val="nil"/>
              <w:tr2bl w:val="nil"/>
            </w:tcBorders>
            <w:shd w:val="clear" w:color="auto" w:fill="auto"/>
            <w:noWrap/>
            <w:vAlign w:val="center"/>
          </w:tcPr>
          <w:p w14:paraId="32019A87">
            <w:pPr>
              <w:widowControl/>
              <w:jc w:val="center"/>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新铝罐料</w:t>
            </w:r>
          </w:p>
        </w:tc>
        <w:tc>
          <w:tcPr>
            <w:tcW w:w="3162" w:type="pct"/>
            <w:tcBorders>
              <w:tl2br w:val="nil"/>
              <w:tr2bl w:val="nil"/>
            </w:tcBorders>
            <w:shd w:val="clear" w:color="auto" w:fill="auto"/>
            <w:vAlign w:val="center"/>
          </w:tcPr>
          <w:p w14:paraId="47C65EFA">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新的、洁净的、低铜的铝罐</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表面可覆盖印刷涂层或透明漆</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及其边角料构成的回收铝。</w:t>
            </w:r>
          </w:p>
          <w:p w14:paraId="25512148">
            <w:pPr>
              <w:widowControl/>
              <w:jc w:val="both"/>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油脂不超过回收铝总量的1%。无罐盖、铁、污物和其他杂物</w:t>
            </w:r>
          </w:p>
        </w:tc>
      </w:tr>
      <w:tr w14:paraId="3954C0D3">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4121F5F0">
            <w:pPr>
              <w:jc w:val="center"/>
              <w:rPr>
                <w:rFonts w:hint="default" w:ascii="Times New Roman" w:hAnsi="Times New Roman" w:eastAsia="宋体" w:cs="Times New Roman"/>
                <w:color w:val="auto"/>
                <w:sz w:val="21"/>
                <w:szCs w:val="21"/>
              </w:rPr>
            </w:pPr>
          </w:p>
        </w:tc>
        <w:tc>
          <w:tcPr>
            <w:tcW w:w="411" w:type="pct"/>
            <w:vMerge w:val="continue"/>
            <w:tcBorders>
              <w:tl2br w:val="nil"/>
              <w:tr2bl w:val="nil"/>
            </w:tcBorders>
            <w:shd w:val="clear" w:color="auto" w:fill="auto"/>
            <w:noWrap/>
            <w:vAlign w:val="center"/>
          </w:tcPr>
          <w:p w14:paraId="0DAC1153">
            <w:pPr>
              <w:jc w:val="center"/>
              <w:rPr>
                <w:rFonts w:hint="default" w:ascii="Times New Roman" w:hAnsi="Times New Roman" w:eastAsia="宋体" w:cs="Times New Roman"/>
                <w:color w:val="0000FF"/>
                <w:sz w:val="21"/>
                <w:szCs w:val="21"/>
              </w:rPr>
            </w:pPr>
          </w:p>
        </w:tc>
        <w:tc>
          <w:tcPr>
            <w:tcW w:w="741" w:type="pct"/>
            <w:tcBorders>
              <w:tl2br w:val="nil"/>
              <w:tr2bl w:val="nil"/>
            </w:tcBorders>
            <w:shd w:val="clear" w:color="auto" w:fill="auto"/>
            <w:noWrap/>
            <w:vAlign w:val="center"/>
          </w:tcPr>
          <w:p w14:paraId="46058235">
            <w:pPr>
              <w:widowControl/>
              <w:jc w:val="center"/>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旧铝罐</w:t>
            </w:r>
          </w:p>
        </w:tc>
        <w:tc>
          <w:tcPr>
            <w:tcW w:w="3162" w:type="pct"/>
            <w:tcBorders>
              <w:tl2br w:val="nil"/>
              <w:tr2bl w:val="nil"/>
            </w:tcBorders>
            <w:shd w:val="clear" w:color="auto" w:fill="auto"/>
            <w:vAlign w:val="center"/>
          </w:tcPr>
          <w:p w14:paraId="0931A7D2">
            <w:pPr>
              <w:widowControl/>
              <w:jc w:val="both"/>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盛过食物或饮料的铝罐构成的回收铝。无其他金属、箔、锡罐、塑料瓶、纸、玻璃和其他非金属杂质</w:t>
            </w:r>
          </w:p>
        </w:tc>
      </w:tr>
      <w:tr w14:paraId="5B31C24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1D0437B2">
            <w:pPr>
              <w:jc w:val="center"/>
              <w:rPr>
                <w:rFonts w:hint="default" w:ascii="Times New Roman" w:hAnsi="Times New Roman" w:eastAsia="宋体" w:cs="Times New Roman"/>
                <w:color w:val="auto"/>
                <w:sz w:val="21"/>
                <w:szCs w:val="21"/>
              </w:rPr>
            </w:pPr>
          </w:p>
        </w:tc>
        <w:tc>
          <w:tcPr>
            <w:tcW w:w="411" w:type="pct"/>
            <w:vMerge w:val="restart"/>
            <w:tcBorders>
              <w:tl2br w:val="nil"/>
              <w:tr2bl w:val="nil"/>
            </w:tcBorders>
            <w:shd w:val="clear" w:color="auto" w:fill="auto"/>
            <w:noWrap/>
            <w:vAlign w:val="center"/>
          </w:tcPr>
          <w:p w14:paraId="7A81A3C2">
            <w:pPr>
              <w:jc w:val="center"/>
              <w:rPr>
                <w:rFonts w:hint="eastAsia" w:ascii="Times New Roman" w:hAnsi="Times New Roman" w:eastAsia="宋体" w:cs="Times New Roman"/>
                <w:color w:val="0000FF"/>
                <w:sz w:val="21"/>
                <w:szCs w:val="21"/>
                <w:lang w:val="en-US" w:eastAsia="zh-CN"/>
              </w:rPr>
            </w:pPr>
            <w:r>
              <w:rPr>
                <w:rFonts w:hint="eastAsia" w:cs="Times New Roman"/>
                <w:color w:val="0000FF"/>
                <w:sz w:val="21"/>
                <w:szCs w:val="21"/>
                <w:lang w:val="en-US" w:eastAsia="zh-CN"/>
              </w:rPr>
              <w:t>铝箔</w:t>
            </w:r>
          </w:p>
        </w:tc>
        <w:tc>
          <w:tcPr>
            <w:tcW w:w="741" w:type="pct"/>
            <w:tcBorders>
              <w:tl2br w:val="nil"/>
              <w:tr2bl w:val="nil"/>
            </w:tcBorders>
            <w:shd w:val="clear" w:color="auto" w:fill="auto"/>
            <w:noWrap/>
            <w:vAlign w:val="center"/>
          </w:tcPr>
          <w:p w14:paraId="2687933C">
            <w:pPr>
              <w:widowControl/>
              <w:jc w:val="center"/>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新铝箔</w:t>
            </w:r>
          </w:p>
        </w:tc>
        <w:tc>
          <w:tcPr>
            <w:tcW w:w="3162" w:type="pct"/>
            <w:tcBorders>
              <w:tl2br w:val="nil"/>
              <w:tr2bl w:val="nil"/>
            </w:tcBorders>
            <w:shd w:val="clear" w:color="auto" w:fill="auto"/>
            <w:vAlign w:val="center"/>
          </w:tcPr>
          <w:p w14:paraId="64FAF39D">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洁净的、新的、无涂层的铝箔构成的回收铝。</w:t>
            </w:r>
          </w:p>
          <w:p w14:paraId="0583085D">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无阳极氧化膜、无涂层、纸、塑料和其他杂质</w:t>
            </w:r>
          </w:p>
        </w:tc>
      </w:tr>
      <w:tr w14:paraId="6693A28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4D045C74">
            <w:pPr>
              <w:jc w:val="center"/>
              <w:rPr>
                <w:rFonts w:hint="default" w:ascii="Times New Roman" w:hAnsi="Times New Roman" w:eastAsia="宋体" w:cs="Times New Roman"/>
                <w:color w:val="auto"/>
                <w:sz w:val="21"/>
                <w:szCs w:val="21"/>
              </w:rPr>
            </w:pPr>
          </w:p>
        </w:tc>
        <w:tc>
          <w:tcPr>
            <w:tcW w:w="411" w:type="pct"/>
            <w:vMerge w:val="continue"/>
            <w:tcBorders>
              <w:tl2br w:val="nil"/>
              <w:tr2bl w:val="nil"/>
            </w:tcBorders>
            <w:shd w:val="clear" w:color="auto" w:fill="auto"/>
            <w:noWrap/>
            <w:vAlign w:val="center"/>
          </w:tcPr>
          <w:p w14:paraId="6E122100">
            <w:pPr>
              <w:jc w:val="center"/>
              <w:rPr>
                <w:rFonts w:hint="eastAsia" w:cs="Times New Roman"/>
                <w:color w:val="0000FF"/>
                <w:sz w:val="21"/>
                <w:szCs w:val="21"/>
                <w:lang w:val="en-US" w:eastAsia="zh-CN"/>
              </w:rPr>
            </w:pPr>
          </w:p>
        </w:tc>
        <w:tc>
          <w:tcPr>
            <w:tcW w:w="741" w:type="pct"/>
            <w:tcBorders>
              <w:tl2br w:val="nil"/>
              <w:tr2bl w:val="nil"/>
            </w:tcBorders>
            <w:shd w:val="clear" w:color="auto" w:fill="auto"/>
            <w:noWrap/>
            <w:vAlign w:val="center"/>
          </w:tcPr>
          <w:p w14:paraId="445EE441">
            <w:pPr>
              <w:widowControl/>
              <w:jc w:val="center"/>
              <w:textAlignment w:val="center"/>
              <w:rPr>
                <w:rFonts w:hint="eastAsia" w:ascii="Times New Roman" w:hAnsi="Times New Roman" w:eastAsia="宋体" w:cs="Times New Roman"/>
                <w:color w:val="0000FF"/>
                <w:kern w:val="0"/>
                <w:sz w:val="21"/>
                <w:szCs w:val="21"/>
                <w:lang w:val="en-US" w:eastAsia="zh-CN" w:bidi="ar"/>
              </w:rPr>
            </w:pPr>
            <w:r>
              <w:rPr>
                <w:rFonts w:hint="eastAsia" w:cs="Times New Roman"/>
                <w:color w:val="0000FF"/>
                <w:kern w:val="0"/>
                <w:sz w:val="21"/>
                <w:szCs w:val="21"/>
                <w:lang w:val="en-US" w:eastAsia="zh-CN" w:bidi="ar"/>
              </w:rPr>
              <w:t>旧铝箔</w:t>
            </w:r>
          </w:p>
        </w:tc>
        <w:tc>
          <w:tcPr>
            <w:tcW w:w="3162" w:type="pct"/>
            <w:tcBorders>
              <w:tl2br w:val="nil"/>
              <w:tr2bl w:val="nil"/>
            </w:tcBorders>
            <w:shd w:val="clear" w:color="auto" w:fill="auto"/>
            <w:vAlign w:val="center"/>
          </w:tcPr>
          <w:p w14:paraId="2718BCC3">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涂层的的家用包装铝箔、锂离子电池箔和容器箔等构成的回收铝。有机残留物低于回收铝总量的5%。无雷达条、化学腐蚀箔、复合箔、铁、纸、塑料和其他非金属杂质。锂离子电池箔的游离镍不高于0.05%，游离钻不高于0.05%，游离锰不高于0.05%，游离铁不高于0.5%</w:t>
            </w:r>
          </w:p>
        </w:tc>
      </w:tr>
      <w:tr w14:paraId="33E1527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661099CB">
            <w:pPr>
              <w:jc w:val="center"/>
              <w:rPr>
                <w:rFonts w:hint="default" w:ascii="Times New Roman" w:hAnsi="Times New Roman" w:eastAsia="宋体" w:cs="Times New Roman"/>
                <w:color w:val="auto"/>
                <w:sz w:val="21"/>
                <w:szCs w:val="21"/>
              </w:rPr>
            </w:pPr>
          </w:p>
        </w:tc>
        <w:tc>
          <w:tcPr>
            <w:tcW w:w="411" w:type="pct"/>
            <w:tcBorders>
              <w:tl2br w:val="nil"/>
              <w:tr2bl w:val="nil"/>
            </w:tcBorders>
            <w:shd w:val="clear" w:color="auto" w:fill="auto"/>
            <w:noWrap/>
            <w:vAlign w:val="center"/>
          </w:tcPr>
          <w:p w14:paraId="65F466FD">
            <w:pPr>
              <w:jc w:val="center"/>
              <w:rPr>
                <w:rFonts w:hint="eastAsia" w:cs="Times New Roman"/>
                <w:color w:val="0000FF"/>
                <w:sz w:val="21"/>
                <w:szCs w:val="21"/>
                <w:lang w:val="en-US" w:eastAsia="zh-CN"/>
              </w:rPr>
            </w:pPr>
            <w:r>
              <w:rPr>
                <w:rFonts w:hint="eastAsia" w:cs="Times New Roman"/>
                <w:color w:val="0000FF"/>
                <w:sz w:val="21"/>
                <w:szCs w:val="21"/>
                <w:lang w:val="en-US" w:eastAsia="zh-CN"/>
              </w:rPr>
              <w:t>铝挤压材</w:t>
            </w:r>
          </w:p>
        </w:tc>
        <w:tc>
          <w:tcPr>
            <w:tcW w:w="741" w:type="pct"/>
            <w:tcBorders>
              <w:tl2br w:val="nil"/>
              <w:tr2bl w:val="nil"/>
            </w:tcBorders>
            <w:shd w:val="clear" w:color="auto" w:fill="auto"/>
            <w:noWrap/>
            <w:vAlign w:val="center"/>
          </w:tcPr>
          <w:p w14:paraId="0B3BA8C4">
            <w:pPr>
              <w:widowControl/>
              <w:jc w:val="center"/>
              <w:textAlignment w:val="center"/>
              <w:rPr>
                <w:rFonts w:hint="eastAsia" w:cs="Times New Roman"/>
                <w:color w:val="0000FF"/>
                <w:kern w:val="0"/>
                <w:sz w:val="21"/>
                <w:szCs w:val="21"/>
                <w:lang w:val="en-US" w:eastAsia="zh-CN" w:bidi="ar"/>
              </w:rPr>
            </w:pPr>
            <w:r>
              <w:rPr>
                <w:rFonts w:hint="eastAsia" w:cs="Times New Roman"/>
                <w:color w:val="0000FF"/>
                <w:kern w:val="0"/>
                <w:sz w:val="21"/>
                <w:szCs w:val="21"/>
                <w:lang w:val="en-US" w:eastAsia="zh-CN" w:bidi="ar"/>
              </w:rPr>
              <w:t>门窗铝材</w:t>
            </w:r>
          </w:p>
        </w:tc>
        <w:tc>
          <w:tcPr>
            <w:tcW w:w="3162" w:type="pct"/>
            <w:tcBorders>
              <w:tl2br w:val="nil"/>
              <w:tr2bl w:val="nil"/>
            </w:tcBorders>
            <w:shd w:val="clear" w:color="auto" w:fill="auto"/>
            <w:vAlign w:val="center"/>
          </w:tcPr>
          <w:p w14:paraId="72448912">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洁净的挤压铝材</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以6063牌号为主，带有机涂层和隔热条或隔热胶</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构成的回收铝。</w:t>
            </w:r>
          </w:p>
          <w:p w14:paraId="69252A9A">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无锌、铁、毛毡、塑料、纸、纸板、污物或其他任何夹杂物</w:t>
            </w:r>
          </w:p>
        </w:tc>
      </w:tr>
      <w:tr w14:paraId="23ACED0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tcBorders>
              <w:tl2br w:val="nil"/>
              <w:tr2bl w:val="nil"/>
            </w:tcBorders>
            <w:shd w:val="clear" w:color="auto" w:fill="auto"/>
            <w:vAlign w:val="center"/>
          </w:tcPr>
          <w:p w14:paraId="6C4B045E">
            <w:pPr>
              <w:jc w:val="center"/>
              <w:rPr>
                <w:rFonts w:hint="default" w:ascii="Times New Roman" w:hAnsi="Times New Roman" w:eastAsia="宋体" w:cs="Times New Roman"/>
                <w:color w:val="auto"/>
                <w:sz w:val="21"/>
                <w:szCs w:val="21"/>
              </w:rPr>
            </w:pPr>
          </w:p>
        </w:tc>
        <w:tc>
          <w:tcPr>
            <w:tcW w:w="411" w:type="pct"/>
            <w:tcBorders>
              <w:tl2br w:val="nil"/>
              <w:tr2bl w:val="nil"/>
            </w:tcBorders>
            <w:shd w:val="clear" w:color="auto" w:fill="auto"/>
            <w:noWrap/>
            <w:vAlign w:val="center"/>
          </w:tcPr>
          <w:p w14:paraId="5BCFD70C">
            <w:pPr>
              <w:jc w:val="center"/>
              <w:rPr>
                <w:rFonts w:hint="default" w:cs="Times New Roman"/>
                <w:color w:val="0000FF"/>
                <w:sz w:val="21"/>
                <w:szCs w:val="21"/>
                <w:lang w:val="en-US" w:eastAsia="zh-CN"/>
              </w:rPr>
            </w:pPr>
            <w:r>
              <w:rPr>
                <w:rFonts w:hint="eastAsia" w:cs="Times New Roman"/>
                <w:color w:val="0000FF"/>
                <w:sz w:val="21"/>
                <w:szCs w:val="21"/>
                <w:lang w:val="en-US" w:eastAsia="zh-CN"/>
              </w:rPr>
              <w:t>其他</w:t>
            </w:r>
          </w:p>
        </w:tc>
        <w:tc>
          <w:tcPr>
            <w:tcW w:w="741" w:type="pct"/>
            <w:tcBorders>
              <w:tl2br w:val="nil"/>
              <w:tr2bl w:val="nil"/>
            </w:tcBorders>
            <w:shd w:val="clear" w:color="auto" w:fill="auto"/>
            <w:noWrap/>
            <w:vAlign w:val="center"/>
          </w:tcPr>
          <w:p w14:paraId="37B29C8F">
            <w:pPr>
              <w:widowControl/>
              <w:jc w:val="center"/>
              <w:textAlignment w:val="center"/>
              <w:rPr>
                <w:rFonts w:hint="default" w:cs="Times New Roman"/>
                <w:color w:val="0000FF"/>
                <w:kern w:val="0"/>
                <w:sz w:val="21"/>
                <w:szCs w:val="21"/>
                <w:lang w:val="en-US" w:eastAsia="zh-CN" w:bidi="ar"/>
              </w:rPr>
            </w:pPr>
            <w:r>
              <w:rPr>
                <w:rFonts w:hint="eastAsia" w:cs="Times New Roman"/>
                <w:color w:val="0000FF"/>
                <w:kern w:val="0"/>
                <w:sz w:val="21"/>
                <w:szCs w:val="21"/>
                <w:lang w:val="en-US" w:eastAsia="zh-CN" w:bidi="ar"/>
              </w:rPr>
              <w:t>纯铝加工余料及几何废料</w:t>
            </w:r>
          </w:p>
        </w:tc>
        <w:tc>
          <w:tcPr>
            <w:tcW w:w="3162" w:type="pct"/>
            <w:tcBorders>
              <w:tl2br w:val="nil"/>
              <w:tr2bl w:val="nil"/>
            </w:tcBorders>
            <w:shd w:val="clear" w:color="auto" w:fill="auto"/>
            <w:vAlign w:val="center"/>
          </w:tcPr>
          <w:p w14:paraId="1CDD557C">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洁净无涂层的纯铝加工余料或几何废料</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最小厚度不小于0.38mm</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构成的回收铝。</w:t>
            </w:r>
          </w:p>
          <w:p w14:paraId="38619420">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油脂不超过回收铝总量的1%。无其他铝合金、抛丝</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网</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、直径小于12.7mm的冲片、污物和其他非金属杂质</w:t>
            </w:r>
          </w:p>
        </w:tc>
      </w:tr>
      <w:tr w14:paraId="621F2392">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630" w:hRule="atLeast"/>
        </w:trPr>
        <w:tc>
          <w:tcPr>
            <w:tcW w:w="685" w:type="pct"/>
            <w:tcBorders>
              <w:tl2br w:val="nil"/>
              <w:tr2bl w:val="nil"/>
            </w:tcBorders>
            <w:shd w:val="clear" w:color="auto" w:fill="auto"/>
            <w:vAlign w:val="center"/>
          </w:tcPr>
          <w:p w14:paraId="294E7D12">
            <w:pPr>
              <w:jc w:val="center"/>
              <w:rPr>
                <w:rFonts w:hint="default"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铸造铝合金废料</w:t>
            </w:r>
          </w:p>
        </w:tc>
        <w:tc>
          <w:tcPr>
            <w:tcW w:w="411" w:type="pct"/>
            <w:tcBorders>
              <w:tl2br w:val="nil"/>
              <w:tr2bl w:val="nil"/>
            </w:tcBorders>
            <w:shd w:val="clear" w:color="auto" w:fill="auto"/>
            <w:noWrap/>
            <w:vAlign w:val="center"/>
          </w:tcPr>
          <w:p w14:paraId="526E41D2">
            <w:pPr>
              <w:jc w:val="center"/>
              <w:rPr>
                <w:rFonts w:hint="default"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交通用铝铸件</w:t>
            </w:r>
          </w:p>
        </w:tc>
        <w:tc>
          <w:tcPr>
            <w:tcW w:w="741" w:type="pct"/>
            <w:tcBorders>
              <w:tl2br w:val="nil"/>
              <w:tr2bl w:val="nil"/>
            </w:tcBorders>
            <w:shd w:val="clear" w:color="auto" w:fill="auto"/>
            <w:noWrap/>
            <w:vAlign w:val="center"/>
          </w:tcPr>
          <w:p w14:paraId="596F5306">
            <w:pPr>
              <w:widowControl/>
              <w:jc w:val="center"/>
              <w:textAlignment w:val="center"/>
              <w:rPr>
                <w:rFonts w:hint="default" w:ascii="Times New Roman" w:hAnsi="Times New Roman" w:eastAsia="宋体" w:cs="Times New Roman"/>
                <w:color w:val="0000FF"/>
                <w:kern w:val="0"/>
                <w:sz w:val="21"/>
                <w:szCs w:val="21"/>
                <w:lang w:bidi="ar"/>
              </w:rPr>
            </w:pPr>
            <w:r>
              <w:rPr>
                <w:rFonts w:hint="eastAsia" w:cs="Times New Roman"/>
                <w:color w:val="0000FF"/>
                <w:sz w:val="21"/>
                <w:szCs w:val="21"/>
                <w:lang w:val="en-US" w:eastAsia="zh-CN"/>
              </w:rPr>
              <w:t>车辆</w:t>
            </w:r>
            <w:r>
              <w:rPr>
                <w:rFonts w:hint="eastAsia" w:ascii="Times New Roman" w:hAnsi="Times New Roman" w:eastAsia="宋体" w:cs="Times New Roman"/>
                <w:color w:val="0000FF"/>
                <w:sz w:val="21"/>
                <w:szCs w:val="21"/>
                <w:lang w:val="en-US" w:eastAsia="zh-CN"/>
              </w:rPr>
              <w:t>铝铸件</w:t>
            </w:r>
          </w:p>
        </w:tc>
        <w:tc>
          <w:tcPr>
            <w:tcW w:w="3162" w:type="pct"/>
            <w:tcBorders>
              <w:tl2br w:val="nil"/>
              <w:tr2bl w:val="nil"/>
            </w:tcBorders>
            <w:shd w:val="clear" w:color="auto" w:fill="auto"/>
            <w:vAlign w:val="center"/>
          </w:tcPr>
          <w:p w14:paraId="68377F6E">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失去原使用功能的、各种洁净的车辆用铝铸件构成的回收铝。铸件尺寸应达到目视容易鉴别的程度。油污和油脂低于回收铝总量的2%。无污物、黄铜、轴套及非金属物品</w:t>
            </w:r>
          </w:p>
        </w:tc>
      </w:tr>
      <w:tr w14:paraId="1BD1816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630" w:hRule="atLeast"/>
        </w:trPr>
        <w:tc>
          <w:tcPr>
            <w:tcW w:w="1096" w:type="pct"/>
            <w:gridSpan w:val="2"/>
            <w:tcBorders>
              <w:tl2br w:val="nil"/>
              <w:tr2bl w:val="nil"/>
            </w:tcBorders>
            <w:shd w:val="clear" w:color="auto" w:fill="auto"/>
            <w:vAlign w:val="center"/>
          </w:tcPr>
          <w:p w14:paraId="6FF17AF5">
            <w:pPr>
              <w:jc w:val="center"/>
              <w:rPr>
                <w:rFonts w:hint="eastAsia"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铝及铝合金屑</w:t>
            </w:r>
          </w:p>
        </w:tc>
        <w:tc>
          <w:tcPr>
            <w:tcW w:w="741" w:type="pct"/>
            <w:tcBorders>
              <w:tl2br w:val="nil"/>
              <w:tr2bl w:val="nil"/>
            </w:tcBorders>
            <w:shd w:val="clear" w:color="auto" w:fill="auto"/>
            <w:noWrap/>
            <w:vAlign w:val="center"/>
          </w:tcPr>
          <w:p w14:paraId="0E75BAE3">
            <w:pPr>
              <w:widowControl/>
              <w:jc w:val="center"/>
              <w:textAlignment w:val="center"/>
              <w:rPr>
                <w:rFonts w:hint="eastAsia" w:cs="Times New Roman"/>
                <w:color w:val="0000FF"/>
                <w:sz w:val="21"/>
                <w:szCs w:val="21"/>
                <w:lang w:val="en-US" w:eastAsia="zh-CN"/>
              </w:rPr>
            </w:pPr>
            <w:r>
              <w:rPr>
                <w:rFonts w:hint="eastAsia" w:cs="Times New Roman"/>
                <w:color w:val="0000FF"/>
                <w:sz w:val="21"/>
                <w:szCs w:val="21"/>
                <w:lang w:val="en-US" w:eastAsia="zh-CN"/>
              </w:rPr>
              <w:t>同牌号铝屑</w:t>
            </w:r>
          </w:p>
        </w:tc>
        <w:tc>
          <w:tcPr>
            <w:tcW w:w="3162" w:type="pct"/>
            <w:tcBorders>
              <w:tl2br w:val="nil"/>
              <w:tr2bl w:val="nil"/>
            </w:tcBorders>
            <w:shd w:val="clear" w:color="auto" w:fill="auto"/>
            <w:vAlign w:val="center"/>
          </w:tcPr>
          <w:p w14:paraId="76B1E600">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同牌号的、洁净的铝合金屑构成的回收铝通过孔径840μm网筛的细屑不大于回收铝总量的3%，不含氧化物。</w:t>
            </w:r>
          </w:p>
          <w:p w14:paraId="49635F4F">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不准许混人污物、铁、不锈钢、镁、油、易燃液体、水分和其他非金属物品</w:t>
            </w:r>
          </w:p>
        </w:tc>
      </w:tr>
      <w:tr w14:paraId="47FE2E69">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630" w:hRule="atLeast"/>
        </w:trPr>
        <w:tc>
          <w:tcPr>
            <w:tcW w:w="1096" w:type="pct"/>
            <w:gridSpan w:val="2"/>
            <w:tcBorders>
              <w:tl2br w:val="nil"/>
              <w:tr2bl w:val="nil"/>
            </w:tcBorders>
            <w:shd w:val="clear" w:color="auto" w:fill="auto"/>
            <w:vAlign w:val="center"/>
          </w:tcPr>
          <w:p w14:paraId="056648BA">
            <w:pPr>
              <w:jc w:val="center"/>
              <w:rPr>
                <w:rFonts w:hint="eastAsia"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铝及铝合金碎片</w:t>
            </w:r>
          </w:p>
        </w:tc>
        <w:tc>
          <w:tcPr>
            <w:tcW w:w="741" w:type="pct"/>
            <w:tcBorders>
              <w:tl2br w:val="nil"/>
              <w:tr2bl w:val="nil"/>
            </w:tcBorders>
            <w:shd w:val="clear" w:color="auto" w:fill="auto"/>
            <w:noWrap/>
            <w:vAlign w:val="center"/>
          </w:tcPr>
          <w:p w14:paraId="11FDD1CB">
            <w:pPr>
              <w:widowControl/>
              <w:jc w:val="center"/>
              <w:textAlignment w:val="center"/>
              <w:rPr>
                <w:rFonts w:hint="eastAsia" w:cs="Times New Roman"/>
                <w:color w:val="0000FF"/>
                <w:sz w:val="21"/>
                <w:szCs w:val="21"/>
                <w:lang w:val="en-US" w:eastAsia="zh-CN"/>
              </w:rPr>
            </w:pPr>
            <w:r>
              <w:rPr>
                <w:rFonts w:hint="eastAsia" w:cs="Times New Roman"/>
                <w:color w:val="0000FF"/>
                <w:sz w:val="21"/>
                <w:szCs w:val="21"/>
                <w:lang w:val="en-US" w:eastAsia="zh-CN"/>
              </w:rPr>
              <w:t>铝破碎料</w:t>
            </w:r>
          </w:p>
        </w:tc>
        <w:tc>
          <w:tcPr>
            <w:tcW w:w="3162" w:type="pct"/>
            <w:tcBorders>
              <w:tl2br w:val="nil"/>
              <w:tr2bl w:val="nil"/>
            </w:tcBorders>
            <w:shd w:val="clear" w:color="auto" w:fill="auto"/>
            <w:vAlign w:val="center"/>
          </w:tcPr>
          <w:p w14:paraId="038AA599">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从电气电子产品、家具、机械设备、拆解汽车、锂离子电池的破碎料中分选出来的回收铝。由机械或人工分离出的铝及铝合金的干燥切片或破碎料构成。</w:t>
            </w:r>
          </w:p>
          <w:p w14:paraId="179AD91A">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锌低于1%，镁低于1%，铁不超过1%，非金属总含量不超过2%，</w:t>
            </w:r>
          </w:p>
          <w:p w14:paraId="484CCE19">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橡胶和塑料不超过1%。</w:t>
            </w:r>
          </w:p>
          <w:p w14:paraId="25429DA7">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无过度氧化的材料和气胎罐及密封的，或加压密封的容器。最大尺寸应不大于150mm</w:t>
            </w:r>
          </w:p>
        </w:tc>
      </w:tr>
    </w:tbl>
    <w:p w14:paraId="6F3B11E6">
      <w:pPr>
        <w:spacing w:line="360" w:lineRule="auto"/>
        <w:outlineLvl w:val="1"/>
        <w:rPr>
          <w:rFonts w:hint="eastAsia"/>
          <w:b/>
          <w:bCs/>
          <w:color w:val="auto"/>
          <w:sz w:val="24"/>
          <w:szCs w:val="24"/>
        </w:rPr>
      </w:pPr>
      <w:bookmarkStart w:id="286" w:name="_Toc12685"/>
    </w:p>
    <w:p w14:paraId="4CCB51A3">
      <w:pPr>
        <w:spacing w:line="360" w:lineRule="auto"/>
        <w:outlineLvl w:val="1"/>
        <w:rPr>
          <w:rFonts w:hint="eastAsia"/>
          <w:b/>
          <w:bCs/>
          <w:color w:val="auto"/>
          <w:sz w:val="24"/>
          <w:szCs w:val="24"/>
          <w:lang w:val="en-US" w:eastAsia="zh-CN"/>
        </w:rPr>
      </w:pPr>
      <w:r>
        <w:rPr>
          <w:rFonts w:hint="eastAsia"/>
          <w:b/>
          <w:bCs/>
          <w:color w:val="auto"/>
          <w:sz w:val="24"/>
          <w:szCs w:val="24"/>
        </w:rPr>
        <w:t>3.1.</w:t>
      </w:r>
      <w:r>
        <w:rPr>
          <w:rFonts w:hint="eastAsia"/>
          <w:b/>
          <w:bCs/>
          <w:color w:val="auto"/>
          <w:sz w:val="24"/>
          <w:szCs w:val="24"/>
          <w:lang w:val="en-US" w:eastAsia="zh-CN"/>
        </w:rPr>
        <w:t>5</w:t>
      </w:r>
      <w:r>
        <w:rPr>
          <w:rFonts w:hint="eastAsia"/>
          <w:b/>
          <w:bCs/>
          <w:color w:val="auto"/>
          <w:sz w:val="24"/>
          <w:szCs w:val="24"/>
        </w:rPr>
        <w:t xml:space="preserve"> </w:t>
      </w:r>
      <w:r>
        <w:rPr>
          <w:rFonts w:hint="eastAsia"/>
          <w:b/>
          <w:bCs/>
          <w:color w:val="auto"/>
          <w:sz w:val="24"/>
          <w:szCs w:val="24"/>
          <w:lang w:val="en-US" w:eastAsia="zh-CN"/>
        </w:rPr>
        <w:t>生产工艺</w:t>
      </w:r>
      <w:bookmarkEnd w:id="286"/>
    </w:p>
    <w:p w14:paraId="3AA9F31E">
      <w:pPr>
        <w:spacing w:line="360" w:lineRule="auto"/>
        <w:ind w:firstLine="480" w:firstLineChars="200"/>
        <w:rPr>
          <w:color w:val="auto"/>
          <w:sz w:val="24"/>
          <w:szCs w:val="32"/>
        </w:rPr>
      </w:pPr>
      <w:bookmarkStart w:id="287" w:name="_Toc408478047"/>
      <w:r>
        <w:rPr>
          <w:color w:val="auto"/>
          <w:sz w:val="24"/>
          <w:szCs w:val="32"/>
        </w:rPr>
        <w:t>项目生产工艺流程如下：</w:t>
      </w:r>
    </w:p>
    <w:p w14:paraId="216203F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b w:val="0"/>
          <w:bCs w:val="0"/>
          <w:color w:val="auto"/>
          <w:sz w:val="24"/>
          <w:szCs w:val="32"/>
          <w:lang w:val="en-US" w:eastAsia="zh-CN"/>
        </w:rPr>
      </w:pPr>
      <w:r>
        <w:rPr>
          <w:rFonts w:hint="eastAsia"/>
          <w:b w:val="0"/>
          <w:bCs w:val="0"/>
          <w:color w:val="auto"/>
          <w:sz w:val="24"/>
          <w:szCs w:val="32"/>
          <w:lang w:val="en-US" w:eastAsia="zh-CN"/>
        </w:rPr>
        <w:t>现有铝硅系铸造铝合金锭生产工艺未发生变化，与环评及验收阶段一致，具体如下：</w:t>
      </w:r>
    </w:p>
    <w:p w14:paraId="6AE95A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rPr>
      </w:pPr>
      <w:r>
        <w:rPr>
          <w:color w:val="auto"/>
        </w:rPr>
        <w:drawing>
          <wp:inline distT="0" distB="0" distL="114300" distR="114300">
            <wp:extent cx="5227320" cy="6336030"/>
            <wp:effectExtent l="0" t="0" r="11430" b="7620"/>
            <wp:docPr id="6" name="图片 26" descr="C:/Users/Administrator/Desktop/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6" descr="C:/Users/Administrator/Desktop/1.png1"/>
                    <pic:cNvPicPr>
                      <a:picLocks noChangeAspect="1"/>
                    </pic:cNvPicPr>
                  </pic:nvPicPr>
                  <pic:blipFill>
                    <a:blip r:embed="rId22"/>
                    <a:srcRect l="5154" r="5154"/>
                    <a:stretch>
                      <a:fillRect/>
                    </a:stretch>
                  </pic:blipFill>
                  <pic:spPr>
                    <a:xfrm>
                      <a:off x="0" y="0"/>
                      <a:ext cx="5227320" cy="6336030"/>
                    </a:xfrm>
                    <a:prstGeom prst="rect">
                      <a:avLst/>
                    </a:prstGeom>
                    <a:noFill/>
                    <a:ln>
                      <a:noFill/>
                    </a:ln>
                  </pic:spPr>
                </pic:pic>
              </a:graphicData>
            </a:graphic>
          </wp:inline>
        </w:drawing>
      </w:r>
    </w:p>
    <w:p w14:paraId="70DF1DE6">
      <w:pPr>
        <w:spacing w:line="360" w:lineRule="auto"/>
        <w:jc w:val="center"/>
        <w:rPr>
          <w:b/>
          <w:bCs/>
          <w:color w:val="auto"/>
          <w:sz w:val="24"/>
        </w:rPr>
      </w:pPr>
      <w:r>
        <w:rPr>
          <w:b/>
          <w:bCs/>
          <w:color w:val="auto"/>
          <w:sz w:val="24"/>
        </w:rPr>
        <w:t>图</w:t>
      </w:r>
      <w:r>
        <w:rPr>
          <w:rFonts w:hint="eastAsia"/>
          <w:b/>
          <w:bCs/>
          <w:color w:val="auto"/>
          <w:sz w:val="24"/>
          <w:lang w:val="en-US" w:eastAsia="zh-CN"/>
        </w:rPr>
        <w:t>3-1</w:t>
      </w:r>
      <w:r>
        <w:rPr>
          <w:b/>
          <w:bCs/>
          <w:color w:val="auto"/>
          <w:sz w:val="24"/>
        </w:rPr>
        <w:t xml:space="preserve"> </w:t>
      </w:r>
      <w:r>
        <w:rPr>
          <w:rFonts w:hint="eastAsia"/>
          <w:b/>
          <w:bCs/>
          <w:color w:val="auto"/>
          <w:sz w:val="24"/>
          <w:lang w:val="en-US" w:eastAsia="zh-CN"/>
        </w:rPr>
        <w:t>铝硅系铸造铝合金锭</w:t>
      </w:r>
      <w:r>
        <w:rPr>
          <w:b/>
          <w:bCs/>
          <w:color w:val="auto"/>
          <w:sz w:val="24"/>
        </w:rPr>
        <w:t>生产工艺流程及产污节点图</w:t>
      </w:r>
    </w:p>
    <w:p w14:paraId="2FD2F66B">
      <w:pPr>
        <w:spacing w:line="360" w:lineRule="auto"/>
        <w:ind w:firstLine="482" w:firstLineChars="200"/>
        <w:rPr>
          <w:b/>
          <w:bCs/>
          <w:color w:val="auto"/>
          <w:sz w:val="24"/>
          <w:szCs w:val="32"/>
        </w:rPr>
      </w:pPr>
      <w:r>
        <w:rPr>
          <w:b/>
          <w:bCs/>
          <w:color w:val="auto"/>
          <w:sz w:val="24"/>
          <w:szCs w:val="32"/>
        </w:rPr>
        <w:t>工艺流程说明：</w:t>
      </w:r>
    </w:p>
    <w:p w14:paraId="1DF871A2">
      <w:pPr>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1、废铝预处理系统分为：磁选工序、人工分选工序</w:t>
      </w:r>
    </w:p>
    <w:p w14:paraId="4B82C722">
      <w:pPr>
        <w:spacing w:line="360" w:lineRule="auto"/>
        <w:ind w:firstLine="480" w:firstLineChars="200"/>
        <w:rPr>
          <w:color w:val="auto"/>
          <w:sz w:val="24"/>
          <w:szCs w:val="32"/>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rPr>
        <w:t>磁选</w:t>
      </w:r>
      <w:r>
        <w:rPr>
          <w:rFonts w:hint="eastAsia"/>
          <w:color w:val="auto"/>
          <w:sz w:val="24"/>
          <w:szCs w:val="32"/>
          <w:lang w:eastAsia="zh-CN"/>
        </w:rPr>
        <w:t>：</w:t>
      </w:r>
      <w:r>
        <w:rPr>
          <w:rFonts w:hint="eastAsia"/>
          <w:color w:val="auto"/>
          <w:sz w:val="24"/>
          <w:szCs w:val="32"/>
        </w:rPr>
        <w:t>铁元素是铝合金熔炼配制中的有害杂质，须在熔炼前去除。将废铝通过磁选机分离出废铁及其合金</w:t>
      </w:r>
      <w:r>
        <w:rPr>
          <w:rFonts w:hint="eastAsia"/>
          <w:color w:val="auto"/>
          <w:sz w:val="24"/>
          <w:szCs w:val="32"/>
          <w:lang w:eastAsia="zh-CN"/>
        </w:rPr>
        <w:t>（</w:t>
      </w:r>
      <w:r>
        <w:rPr>
          <w:rFonts w:hint="eastAsia"/>
          <w:color w:val="auto"/>
          <w:sz w:val="24"/>
          <w:szCs w:val="32"/>
        </w:rPr>
        <w:t>S</w:t>
      </w:r>
      <w:r>
        <w:rPr>
          <w:rFonts w:hint="eastAsia"/>
          <w:color w:val="auto"/>
          <w:sz w:val="24"/>
          <w:szCs w:val="32"/>
          <w:vertAlign w:val="subscript"/>
        </w:rPr>
        <w:t>1-1</w:t>
      </w:r>
      <w:r>
        <w:rPr>
          <w:rFonts w:hint="eastAsia"/>
          <w:color w:val="auto"/>
          <w:sz w:val="24"/>
          <w:szCs w:val="32"/>
          <w:lang w:eastAsia="zh-CN"/>
        </w:rPr>
        <w:t>）</w:t>
      </w:r>
      <w:r>
        <w:rPr>
          <w:rFonts w:hint="eastAsia"/>
          <w:color w:val="auto"/>
          <w:sz w:val="24"/>
          <w:szCs w:val="32"/>
        </w:rPr>
        <w:t>，采用干式磁选。废铁及其合金在磁场区受电磁力吸引被分离，并集中收集。</w:t>
      </w:r>
    </w:p>
    <w:p w14:paraId="20400D7D">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2</w:t>
      </w:r>
      <w:r>
        <w:rPr>
          <w:rFonts w:hint="eastAsia"/>
          <w:color w:val="auto"/>
          <w:sz w:val="24"/>
          <w:szCs w:val="32"/>
          <w:lang w:eastAsia="zh-CN"/>
        </w:rPr>
        <w:t>）</w:t>
      </w:r>
      <w:r>
        <w:rPr>
          <w:rFonts w:hint="eastAsia"/>
          <w:color w:val="auto"/>
          <w:sz w:val="24"/>
          <w:szCs w:val="32"/>
          <w:lang w:val="en-US" w:eastAsia="zh-CN"/>
        </w:rPr>
        <w:t>人工分选：分选线上由人工分拣出废铜等其它有色金属、橡胶等杂质（S</w:t>
      </w:r>
      <w:r>
        <w:rPr>
          <w:rFonts w:hint="eastAsia"/>
          <w:color w:val="auto"/>
          <w:sz w:val="24"/>
          <w:szCs w:val="32"/>
          <w:vertAlign w:val="subscript"/>
          <w:lang w:val="en-US" w:eastAsia="zh-CN"/>
        </w:rPr>
        <w:t>1-2</w:t>
      </w:r>
      <w:r>
        <w:rPr>
          <w:rFonts w:hint="eastAsia"/>
          <w:color w:val="auto"/>
          <w:sz w:val="24"/>
          <w:szCs w:val="32"/>
          <w:lang w:val="en-US" w:eastAsia="zh-CN"/>
        </w:rPr>
        <w:t>）。废铝进行分类，按不同合金牌号等分类堆放料格中。</w:t>
      </w:r>
    </w:p>
    <w:p w14:paraId="6C805002">
      <w:pPr>
        <w:spacing w:line="360" w:lineRule="auto"/>
        <w:ind w:firstLine="480" w:firstLineChars="200"/>
        <w:rPr>
          <w:color w:val="auto"/>
          <w:sz w:val="24"/>
          <w:szCs w:val="32"/>
        </w:rPr>
      </w:pPr>
      <w:r>
        <w:rPr>
          <w:rFonts w:hint="eastAsia"/>
          <w:color w:val="auto"/>
          <w:sz w:val="24"/>
          <w:szCs w:val="32"/>
          <w:lang w:val="en-US" w:eastAsia="zh-CN"/>
        </w:rPr>
        <w:t>在</w:t>
      </w:r>
      <w:r>
        <w:rPr>
          <w:rFonts w:hint="eastAsia"/>
          <w:color w:val="auto"/>
          <w:sz w:val="24"/>
          <w:szCs w:val="32"/>
        </w:rPr>
        <w:t>收购废铝时，采取了控制废铝质量措施。</w:t>
      </w:r>
      <w:r>
        <w:rPr>
          <w:rFonts w:hint="eastAsia"/>
          <w:color w:val="auto"/>
          <w:sz w:val="24"/>
          <w:szCs w:val="32"/>
          <w:lang w:val="en-US" w:eastAsia="zh-CN"/>
        </w:rPr>
        <w:t>在废铝预处理时</w:t>
      </w:r>
      <w:r>
        <w:rPr>
          <w:rFonts w:hint="eastAsia"/>
          <w:color w:val="auto"/>
          <w:sz w:val="24"/>
          <w:szCs w:val="32"/>
        </w:rPr>
        <w:t>，磁选出的废铁合金和人工分选出的杂质、塑料约占废铝原料用料的0.5%。</w:t>
      </w:r>
    </w:p>
    <w:p w14:paraId="5E040720">
      <w:pPr>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2、熔炼、精炼系统分为：备料、投料、升温熔化、熔炼、搅拌扒渣、炉前分析、成分调整、精炼除气、精炼后扒渣、变质处理、静置。</w:t>
      </w:r>
    </w:p>
    <w:p w14:paraId="7ADB7399">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lang w:val="en-US" w:eastAsia="zh-CN"/>
        </w:rPr>
        <w:t>备料：项目根据生产的合金牌号，结合相关标准，将所需原料按比例配备并按相关顺序入炉。根据生产合金牌号的成分要求，将商品铝锭、处理后废铝、合金及其添加剂按比例调配成炉料，再投入熔炼炉进行铝合金熔炼。</w:t>
      </w:r>
    </w:p>
    <w:p w14:paraId="4B35ED1A">
      <w:pPr>
        <w:spacing w:line="360" w:lineRule="auto"/>
        <w:ind w:firstLine="480" w:firstLineChars="200"/>
        <w:rPr>
          <w:color w:val="auto"/>
          <w:sz w:val="24"/>
          <w:szCs w:val="32"/>
        </w:rPr>
      </w:pPr>
      <w:r>
        <w:rPr>
          <w:rFonts w:hint="eastAsia"/>
          <w:color w:val="auto"/>
          <w:sz w:val="24"/>
          <w:szCs w:val="32"/>
        </w:rPr>
        <w:t>项目原料主要为工业一二级废铝，另外还有用于调整铝熔液成分的含Si、Cu等元素的金属或金属合金。按生产合金牌号的成分要求，把各种原材料按比例调配成炉料。对合金成分范围要求窄的产品，通常采用成分已知的废铝</w:t>
      </w:r>
      <w:r>
        <w:rPr>
          <w:rFonts w:hint="eastAsia"/>
          <w:color w:val="auto"/>
          <w:sz w:val="24"/>
          <w:szCs w:val="32"/>
          <w:lang w:eastAsia="zh-CN"/>
        </w:rPr>
        <w:t>；</w:t>
      </w:r>
      <w:r>
        <w:rPr>
          <w:rFonts w:hint="eastAsia"/>
          <w:color w:val="auto"/>
          <w:sz w:val="24"/>
          <w:szCs w:val="32"/>
        </w:rPr>
        <w:t>对合金成分范围要求宽的产品，通常采用废铝和合金原料</w:t>
      </w:r>
      <w:r>
        <w:rPr>
          <w:rFonts w:hint="eastAsia"/>
          <w:color w:val="auto"/>
          <w:sz w:val="24"/>
          <w:szCs w:val="32"/>
          <w:lang w:eastAsia="zh-CN"/>
        </w:rPr>
        <w:t>（</w:t>
      </w:r>
      <w:r>
        <w:rPr>
          <w:rFonts w:hint="eastAsia"/>
          <w:color w:val="auto"/>
          <w:sz w:val="24"/>
          <w:szCs w:val="32"/>
        </w:rPr>
        <w:t>中间合金</w:t>
      </w:r>
      <w:r>
        <w:rPr>
          <w:rFonts w:hint="eastAsia"/>
          <w:color w:val="auto"/>
          <w:sz w:val="24"/>
          <w:szCs w:val="32"/>
          <w:lang w:eastAsia="zh-CN"/>
        </w:rPr>
        <w:t>）</w:t>
      </w:r>
      <w:r>
        <w:rPr>
          <w:rFonts w:hint="eastAsia"/>
          <w:color w:val="auto"/>
          <w:sz w:val="24"/>
          <w:szCs w:val="32"/>
        </w:rPr>
        <w:t>，在成分出现偏差时加适量的电解铝锭。</w:t>
      </w:r>
    </w:p>
    <w:p w14:paraId="2883B241">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2</w:t>
      </w:r>
      <w:r>
        <w:rPr>
          <w:rFonts w:hint="eastAsia"/>
          <w:color w:val="auto"/>
          <w:sz w:val="24"/>
          <w:szCs w:val="32"/>
          <w:lang w:eastAsia="zh-CN"/>
        </w:rPr>
        <w:t>）</w:t>
      </w:r>
      <w:r>
        <w:rPr>
          <w:rFonts w:hint="eastAsia"/>
          <w:color w:val="auto"/>
          <w:sz w:val="24"/>
          <w:szCs w:val="32"/>
          <w:lang w:val="en-US" w:eastAsia="zh-CN"/>
        </w:rPr>
        <w:t>投料</w:t>
      </w:r>
    </w:p>
    <w:p w14:paraId="4675CCD2">
      <w:pPr>
        <w:spacing w:line="360" w:lineRule="auto"/>
        <w:ind w:firstLine="480" w:firstLineChars="200"/>
        <w:rPr>
          <w:color w:val="auto"/>
          <w:sz w:val="24"/>
          <w:szCs w:val="32"/>
        </w:rPr>
      </w:pPr>
      <w:r>
        <w:rPr>
          <w:rFonts w:hint="eastAsia"/>
          <w:color w:val="auto"/>
          <w:sz w:val="24"/>
          <w:szCs w:val="32"/>
        </w:rPr>
        <w:t>投料</w:t>
      </w:r>
      <w:r>
        <w:rPr>
          <w:rFonts w:hint="eastAsia"/>
          <w:color w:val="auto"/>
          <w:sz w:val="24"/>
          <w:szCs w:val="32"/>
          <w:lang w:eastAsia="zh-CN"/>
        </w:rPr>
        <w:t>：</w:t>
      </w:r>
      <w:r>
        <w:rPr>
          <w:rFonts w:hint="eastAsia"/>
          <w:color w:val="auto"/>
          <w:sz w:val="24"/>
          <w:szCs w:val="32"/>
        </w:rPr>
        <w:t>加原材料前，将加料平台用叉车运至炉门口，保持加料平台同炉门平台在同一高度。将准备好的原材料用叉车运至加料平台，然后用专用的推料耙将原料缓缓推入炉膛。原料的高度不能高于炉门，避免原料过高，碰撞炉门或砸坏炉膛。这样，按装炉规程，先将电解铝等比较好的金属材料装炉熔化，等熔炼炉有一半熔液后</w:t>
      </w:r>
      <w:r>
        <w:rPr>
          <w:rFonts w:hint="eastAsia"/>
          <w:color w:val="auto"/>
          <w:sz w:val="24"/>
          <w:szCs w:val="32"/>
          <w:lang w:eastAsia="zh-CN"/>
        </w:rPr>
        <w:t>（</w:t>
      </w:r>
      <w:r>
        <w:rPr>
          <w:rFonts w:hint="eastAsia"/>
          <w:color w:val="auto"/>
          <w:sz w:val="24"/>
          <w:szCs w:val="32"/>
        </w:rPr>
        <w:t>温度控制在680~720摄氏度之间</w:t>
      </w:r>
      <w:r>
        <w:rPr>
          <w:rFonts w:hint="eastAsia"/>
          <w:color w:val="auto"/>
          <w:sz w:val="24"/>
          <w:szCs w:val="32"/>
          <w:lang w:eastAsia="zh-CN"/>
        </w:rPr>
        <w:t>）</w:t>
      </w:r>
      <w:r>
        <w:rPr>
          <w:rFonts w:hint="eastAsia"/>
          <w:color w:val="auto"/>
          <w:sz w:val="24"/>
          <w:szCs w:val="32"/>
        </w:rPr>
        <w:t>，再分批次</w:t>
      </w:r>
      <w:r>
        <w:rPr>
          <w:rFonts w:hint="eastAsia"/>
          <w:color w:val="auto"/>
          <w:sz w:val="24"/>
          <w:szCs w:val="32"/>
          <w:lang w:eastAsia="zh-CN"/>
        </w:rPr>
        <w:t>（</w:t>
      </w:r>
      <w:r>
        <w:rPr>
          <w:rFonts w:hint="eastAsia"/>
          <w:color w:val="auto"/>
          <w:sz w:val="24"/>
          <w:szCs w:val="32"/>
        </w:rPr>
        <w:t>3~5批次</w:t>
      </w:r>
      <w:r>
        <w:rPr>
          <w:rFonts w:hint="eastAsia"/>
          <w:color w:val="auto"/>
          <w:sz w:val="24"/>
          <w:szCs w:val="32"/>
          <w:lang w:eastAsia="zh-CN"/>
        </w:rPr>
        <w:t>）</w:t>
      </w:r>
      <w:r>
        <w:rPr>
          <w:rFonts w:hint="eastAsia"/>
          <w:color w:val="auto"/>
          <w:sz w:val="24"/>
          <w:szCs w:val="32"/>
        </w:rPr>
        <w:t>加入废铝，搅拌熔化、升温。分批加料可以利用熔炼炉的余热进行炉料预热。预热可以缩短熔炼时间，提高熔炼炉的产能和效率。</w:t>
      </w:r>
    </w:p>
    <w:p w14:paraId="37A877F0">
      <w:pPr>
        <w:spacing w:line="360" w:lineRule="auto"/>
        <w:ind w:firstLine="480" w:firstLineChars="200"/>
        <w:rPr>
          <w:color w:val="auto"/>
          <w:sz w:val="24"/>
          <w:szCs w:val="32"/>
        </w:rPr>
      </w:pPr>
      <w:r>
        <w:rPr>
          <w:rFonts w:hint="eastAsia"/>
          <w:color w:val="auto"/>
          <w:sz w:val="24"/>
          <w:szCs w:val="32"/>
        </w:rPr>
        <w:t>熔炼炉加料过程中炉门口处会有烟气</w:t>
      </w:r>
      <w:r>
        <w:rPr>
          <w:rFonts w:hint="eastAsia"/>
          <w:color w:val="auto"/>
          <w:sz w:val="24"/>
          <w:szCs w:val="32"/>
          <w:lang w:eastAsia="zh-CN"/>
        </w:rPr>
        <w:t>（</w:t>
      </w:r>
      <w:r>
        <w:rPr>
          <w:rFonts w:hint="eastAsia"/>
          <w:color w:val="auto"/>
          <w:sz w:val="24"/>
          <w:szCs w:val="32"/>
        </w:rPr>
        <w:t>G1</w:t>
      </w:r>
      <w:r>
        <w:rPr>
          <w:rFonts w:hint="eastAsia"/>
          <w:color w:val="auto"/>
          <w:sz w:val="24"/>
          <w:szCs w:val="32"/>
          <w:lang w:eastAsia="zh-CN"/>
        </w:rPr>
        <w:t>）</w:t>
      </w:r>
      <w:r>
        <w:rPr>
          <w:rFonts w:hint="eastAsia"/>
          <w:color w:val="auto"/>
          <w:sz w:val="24"/>
          <w:szCs w:val="32"/>
        </w:rPr>
        <w:t>从炉门口逸出，炉门上方设集气罩，投料产生的烟</w:t>
      </w:r>
      <w:r>
        <w:rPr>
          <w:rFonts w:hint="eastAsia"/>
          <w:color w:val="auto"/>
          <w:sz w:val="24"/>
          <w:szCs w:val="32"/>
          <w:lang w:eastAsia="zh-CN"/>
        </w:rPr>
        <w:t>（</w:t>
      </w:r>
      <w:r>
        <w:rPr>
          <w:rFonts w:hint="eastAsia"/>
          <w:color w:val="auto"/>
          <w:sz w:val="24"/>
          <w:szCs w:val="32"/>
        </w:rPr>
        <w:t>粉</w:t>
      </w:r>
      <w:r>
        <w:rPr>
          <w:rFonts w:hint="eastAsia"/>
          <w:color w:val="auto"/>
          <w:sz w:val="24"/>
          <w:szCs w:val="32"/>
          <w:lang w:eastAsia="zh-CN"/>
        </w:rPr>
        <w:t>）</w:t>
      </w:r>
      <w:r>
        <w:rPr>
          <w:rFonts w:hint="eastAsia"/>
          <w:color w:val="auto"/>
          <w:sz w:val="24"/>
          <w:szCs w:val="32"/>
        </w:rPr>
        <w:t>尘由集气罩引至</w:t>
      </w:r>
      <w:r>
        <w:rPr>
          <w:rFonts w:hint="eastAsia"/>
          <w:color w:val="auto"/>
          <w:sz w:val="24"/>
          <w:szCs w:val="32"/>
          <w:lang w:val="en-US" w:eastAsia="zh-CN"/>
        </w:rPr>
        <w:t>废气处理</w:t>
      </w:r>
      <w:r>
        <w:rPr>
          <w:rFonts w:hint="eastAsia"/>
          <w:color w:val="auto"/>
          <w:sz w:val="24"/>
          <w:szCs w:val="32"/>
        </w:rPr>
        <w:t>系统进行除尘，最后经2</w:t>
      </w:r>
      <w:r>
        <w:rPr>
          <w:rFonts w:hint="eastAsia"/>
          <w:color w:val="auto"/>
          <w:sz w:val="24"/>
          <w:szCs w:val="32"/>
          <w:lang w:val="en-US" w:eastAsia="zh-CN"/>
        </w:rPr>
        <w:t>4.5</w:t>
      </w:r>
      <w:r>
        <w:rPr>
          <w:rFonts w:hint="eastAsia"/>
          <w:color w:val="auto"/>
          <w:sz w:val="24"/>
          <w:szCs w:val="32"/>
        </w:rPr>
        <w:t>m高排气简排放。</w:t>
      </w:r>
    </w:p>
    <w:p w14:paraId="18B54712">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3</w:t>
      </w:r>
      <w:r>
        <w:rPr>
          <w:rFonts w:hint="eastAsia"/>
          <w:color w:val="auto"/>
          <w:sz w:val="24"/>
          <w:szCs w:val="32"/>
          <w:lang w:eastAsia="zh-CN"/>
        </w:rPr>
        <w:t>）</w:t>
      </w:r>
      <w:r>
        <w:rPr>
          <w:rFonts w:hint="eastAsia"/>
          <w:color w:val="auto"/>
          <w:sz w:val="24"/>
          <w:szCs w:val="32"/>
          <w:lang w:val="en-US" w:eastAsia="zh-CN"/>
        </w:rPr>
        <w:t>升温熔化、熔炼：加料工序完成后，升温点火，进行熔化。本项目熔铝炉选择天然气为燃料，升温时间通常为4~5小时，炉膛内烟气温度达到1100度左右，铝熔液温度控制在700度左右。</w:t>
      </w:r>
    </w:p>
    <w:p w14:paraId="629537A2">
      <w:pPr>
        <w:spacing w:line="360" w:lineRule="auto"/>
        <w:ind w:firstLine="480" w:firstLineChars="200"/>
        <w:rPr>
          <w:color w:val="auto"/>
          <w:sz w:val="24"/>
          <w:szCs w:val="32"/>
        </w:rPr>
      </w:pPr>
      <w:r>
        <w:rPr>
          <w:rFonts w:hint="eastAsia"/>
          <w:color w:val="auto"/>
          <w:sz w:val="24"/>
          <w:szCs w:val="32"/>
        </w:rPr>
        <w:t>升温熔化、熔炼过程中会产生含烟尘、S</w:t>
      </w:r>
      <w:r>
        <w:rPr>
          <w:rFonts w:hint="eastAsia"/>
          <w:color w:val="auto"/>
          <w:sz w:val="24"/>
          <w:szCs w:val="32"/>
          <w:lang w:val="en-US" w:eastAsia="zh-CN"/>
        </w:rPr>
        <w:t>O</w:t>
      </w:r>
      <w:r>
        <w:rPr>
          <w:rFonts w:hint="eastAsia"/>
          <w:color w:val="auto"/>
          <w:sz w:val="24"/>
          <w:szCs w:val="32"/>
          <w:vertAlign w:val="subscript"/>
        </w:rPr>
        <w:t>2</w:t>
      </w:r>
      <w:r>
        <w:rPr>
          <w:rFonts w:hint="eastAsia"/>
          <w:color w:val="auto"/>
          <w:sz w:val="24"/>
          <w:szCs w:val="32"/>
        </w:rPr>
        <w:t>、NO</w:t>
      </w:r>
      <w:r>
        <w:rPr>
          <w:rFonts w:hint="eastAsia"/>
          <w:color w:val="auto"/>
          <w:sz w:val="24"/>
          <w:szCs w:val="32"/>
          <w:vertAlign w:val="baseline"/>
          <w:lang w:val="en-US" w:eastAsia="zh-CN"/>
        </w:rPr>
        <w:t>x</w:t>
      </w:r>
      <w:r>
        <w:rPr>
          <w:rFonts w:hint="eastAsia"/>
          <w:color w:val="auto"/>
          <w:sz w:val="24"/>
          <w:szCs w:val="32"/>
        </w:rPr>
        <w:t>、二噁英类等熔炼烟气</w:t>
      </w:r>
      <w:r>
        <w:rPr>
          <w:rFonts w:hint="eastAsia"/>
          <w:color w:val="auto"/>
          <w:sz w:val="24"/>
          <w:szCs w:val="32"/>
          <w:lang w:eastAsia="zh-CN"/>
        </w:rPr>
        <w:t>（</w:t>
      </w:r>
      <w:r>
        <w:rPr>
          <w:rFonts w:hint="eastAsia"/>
          <w:color w:val="auto"/>
          <w:sz w:val="24"/>
          <w:szCs w:val="32"/>
        </w:rPr>
        <w:t>G2</w:t>
      </w:r>
      <w:r>
        <w:rPr>
          <w:rFonts w:hint="eastAsia"/>
          <w:color w:val="auto"/>
          <w:sz w:val="24"/>
          <w:szCs w:val="32"/>
          <w:lang w:eastAsia="zh-CN"/>
        </w:rPr>
        <w:t>）</w:t>
      </w:r>
      <w:r>
        <w:rPr>
          <w:rFonts w:hint="eastAsia"/>
          <w:color w:val="auto"/>
          <w:sz w:val="24"/>
          <w:szCs w:val="32"/>
        </w:rPr>
        <w:t>，本项目炉门采用气动压紧装置密闭炉口方式，且炉内保持一定负压，从而保障在熔炼过程中无烟气泄漏。熔炼烟气主要通过蓄热式烧嘴换热后排到烟气管道内，然后通过</w:t>
      </w:r>
      <w:r>
        <w:rPr>
          <w:rFonts w:hint="eastAsia"/>
          <w:color w:val="auto"/>
          <w:sz w:val="24"/>
          <w:szCs w:val="32"/>
          <w:lang w:val="en-US" w:eastAsia="zh-CN"/>
        </w:rPr>
        <w:t>废气处理</w:t>
      </w:r>
      <w:r>
        <w:rPr>
          <w:rFonts w:hint="eastAsia"/>
          <w:color w:val="auto"/>
          <w:sz w:val="24"/>
          <w:szCs w:val="32"/>
        </w:rPr>
        <w:t>系统处理后，最后经2</w:t>
      </w:r>
      <w:r>
        <w:rPr>
          <w:rFonts w:hint="eastAsia"/>
          <w:color w:val="auto"/>
          <w:sz w:val="24"/>
          <w:szCs w:val="32"/>
          <w:lang w:val="en-US" w:eastAsia="zh-CN"/>
        </w:rPr>
        <w:t>4.5</w:t>
      </w:r>
      <w:r>
        <w:rPr>
          <w:rFonts w:hint="eastAsia"/>
          <w:color w:val="auto"/>
          <w:sz w:val="24"/>
          <w:szCs w:val="32"/>
        </w:rPr>
        <w:t>m高排气筒排放。</w:t>
      </w:r>
    </w:p>
    <w:p w14:paraId="1037C125">
      <w:pPr>
        <w:spacing w:line="360" w:lineRule="auto"/>
        <w:ind w:firstLine="480" w:firstLineChars="200"/>
        <w:rPr>
          <w:rFonts w:hint="default"/>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4</w:t>
      </w:r>
      <w:r>
        <w:rPr>
          <w:rFonts w:hint="eastAsia"/>
          <w:color w:val="auto"/>
          <w:sz w:val="24"/>
          <w:szCs w:val="32"/>
          <w:lang w:eastAsia="zh-CN"/>
        </w:rPr>
        <w:t>）</w:t>
      </w:r>
      <w:r>
        <w:rPr>
          <w:rFonts w:hint="eastAsia"/>
          <w:color w:val="auto"/>
          <w:sz w:val="24"/>
          <w:szCs w:val="32"/>
          <w:lang w:val="en-US" w:eastAsia="zh-CN"/>
        </w:rPr>
        <w:t>搅拌扒渣：待炉内原料熔化为液态后，关闭天然气，打开炉门，进行搅拌。搅拌用叉车带动特制的专用耙子进行，在炉内前后左右各个方向充分进行。搅拌的目的是使炉内的原料充分熔化。搅拌作业完成后，将铝渣慢慢扒出，首先在熔炼炉平台上稍作停顿，让铝渣带出的铝液回流至炉内，然后将事先准备好的灰斗放置在炉门口，将铝渣扒出，装进灰斗。用叉车将铝渣运至回转炉。</w:t>
      </w:r>
    </w:p>
    <w:p w14:paraId="39E71E55">
      <w:pPr>
        <w:spacing w:line="360" w:lineRule="auto"/>
        <w:ind w:firstLine="480" w:firstLineChars="200"/>
        <w:rPr>
          <w:color w:val="auto"/>
          <w:sz w:val="24"/>
          <w:szCs w:val="32"/>
        </w:rPr>
      </w:pPr>
      <w:r>
        <w:rPr>
          <w:rFonts w:hint="eastAsia"/>
          <w:color w:val="auto"/>
          <w:sz w:val="24"/>
          <w:szCs w:val="32"/>
        </w:rPr>
        <w:t>熔炼炉搅拌、扒渣过程中炉门口处会有烟气</w:t>
      </w:r>
      <w:r>
        <w:rPr>
          <w:rFonts w:hint="eastAsia"/>
          <w:color w:val="auto"/>
          <w:sz w:val="24"/>
          <w:szCs w:val="32"/>
          <w:lang w:eastAsia="zh-CN"/>
        </w:rPr>
        <w:t>（</w:t>
      </w:r>
      <w:r>
        <w:rPr>
          <w:rFonts w:hint="eastAsia"/>
          <w:color w:val="auto"/>
          <w:sz w:val="24"/>
          <w:szCs w:val="32"/>
        </w:rPr>
        <w:t>G3</w:t>
      </w:r>
      <w:r>
        <w:rPr>
          <w:rFonts w:hint="eastAsia"/>
          <w:color w:val="auto"/>
          <w:sz w:val="24"/>
          <w:szCs w:val="32"/>
          <w:lang w:eastAsia="zh-CN"/>
        </w:rPr>
        <w:t>）</w:t>
      </w:r>
      <w:r>
        <w:rPr>
          <w:rFonts w:hint="eastAsia"/>
          <w:color w:val="auto"/>
          <w:sz w:val="24"/>
          <w:szCs w:val="32"/>
        </w:rPr>
        <w:t>从炉门口逸出，炉门上方设集气罩，产生的烟尘由集气罩引至</w:t>
      </w:r>
      <w:r>
        <w:rPr>
          <w:rFonts w:hint="eastAsia"/>
          <w:color w:val="auto"/>
          <w:sz w:val="24"/>
          <w:szCs w:val="32"/>
          <w:lang w:val="en-US" w:eastAsia="zh-CN"/>
        </w:rPr>
        <w:t>废气处理系统</w:t>
      </w:r>
      <w:r>
        <w:rPr>
          <w:rFonts w:hint="eastAsia"/>
          <w:color w:val="auto"/>
          <w:sz w:val="24"/>
          <w:szCs w:val="32"/>
        </w:rPr>
        <w:t>处理后，最后经</w:t>
      </w:r>
      <w:r>
        <w:rPr>
          <w:rFonts w:hint="eastAsia"/>
          <w:color w:val="auto"/>
          <w:sz w:val="24"/>
          <w:szCs w:val="32"/>
          <w:lang w:val="en-US" w:eastAsia="zh-CN"/>
        </w:rPr>
        <w:t>24.5</w:t>
      </w:r>
      <w:r>
        <w:rPr>
          <w:rFonts w:hint="eastAsia"/>
          <w:color w:val="auto"/>
          <w:sz w:val="24"/>
          <w:szCs w:val="32"/>
        </w:rPr>
        <w:t>m高排气筒排放。</w:t>
      </w:r>
    </w:p>
    <w:p w14:paraId="7C6BC45A">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5</w:t>
      </w:r>
      <w:r>
        <w:rPr>
          <w:rFonts w:hint="eastAsia"/>
          <w:color w:val="auto"/>
          <w:sz w:val="24"/>
          <w:szCs w:val="32"/>
          <w:lang w:eastAsia="zh-CN"/>
        </w:rPr>
        <w:t>）</w:t>
      </w:r>
      <w:r>
        <w:rPr>
          <w:rFonts w:hint="eastAsia"/>
          <w:color w:val="auto"/>
          <w:sz w:val="24"/>
          <w:szCs w:val="32"/>
          <w:lang w:val="en-US" w:eastAsia="zh-CN"/>
        </w:rPr>
        <w:t>炉前分析、成分调整：熔炼炉内熔化好的铝熔体进入到精炼炉内，立即取样，进行炉前分析，根据不同产品的成分要求，加入硅、铜等金属原料，调整铝液成分。</w:t>
      </w:r>
    </w:p>
    <w:p w14:paraId="5C3950D4">
      <w:pPr>
        <w:spacing w:line="360" w:lineRule="auto"/>
        <w:ind w:firstLine="480" w:firstLineChars="200"/>
        <w:rPr>
          <w:rFonts w:hint="eastAsia" w:eastAsia="宋体"/>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6</w:t>
      </w:r>
      <w:r>
        <w:rPr>
          <w:rFonts w:hint="eastAsia"/>
          <w:color w:val="auto"/>
          <w:sz w:val="24"/>
          <w:szCs w:val="32"/>
          <w:lang w:eastAsia="zh-CN"/>
        </w:rPr>
        <w:t>）</w:t>
      </w:r>
      <w:r>
        <w:rPr>
          <w:rFonts w:hint="eastAsia"/>
          <w:color w:val="auto"/>
          <w:sz w:val="24"/>
          <w:szCs w:val="32"/>
          <w:lang w:val="en-US" w:eastAsia="zh-CN"/>
        </w:rPr>
        <w:t>精炼除气：</w:t>
      </w:r>
      <w:r>
        <w:rPr>
          <w:rFonts w:hint="eastAsia"/>
          <w:color w:val="auto"/>
          <w:sz w:val="24"/>
          <w:szCs w:val="32"/>
          <w:lang w:eastAsia="zh-CN"/>
        </w:rPr>
        <w:t>精炼的目的是为了进一步除去铝熔体中的杂质，在精炼阶段需要加入精炼剂，并通入氮气以避免炉料再次氧化。一般采用精炼、静置和过滤等方法除去熔体中的气体、非金属夹杂物等，使熔体净化。在精炼过程中，通常会采用精炼剂、防锈剂等进行除渣、除气、纯净熔体、细化晶粒、改善铝合金的性能。</w:t>
      </w:r>
    </w:p>
    <w:p w14:paraId="4639B7CE">
      <w:pPr>
        <w:spacing w:line="360" w:lineRule="auto"/>
        <w:ind w:firstLine="480" w:firstLineChars="200"/>
        <w:rPr>
          <w:color w:val="auto"/>
          <w:sz w:val="24"/>
          <w:szCs w:val="32"/>
        </w:rPr>
      </w:pPr>
      <w:r>
        <w:rPr>
          <w:rFonts w:hint="eastAsia"/>
          <w:color w:val="auto"/>
          <w:sz w:val="24"/>
          <w:szCs w:val="32"/>
        </w:rPr>
        <w:t>项目精炼时间根据产品的要求确定。精炼炉内温度保持在660~710°C，保证精炼时间15min以上，静置约10~20min。在精炼净化过程中，铝液熔体先后经过静置、扒渣、搅拌、除气、取样分析、调质等工序，其中除气工序约1h，精炼剂由氮气作为载体通入铝液熔体。</w:t>
      </w:r>
    </w:p>
    <w:p w14:paraId="569E5E61">
      <w:pPr>
        <w:numPr>
          <w:ilvl w:val="0"/>
          <w:numId w:val="0"/>
        </w:numPr>
        <w:spacing w:line="360" w:lineRule="auto"/>
        <w:ind w:left="0" w:leftChars="0" w:firstLine="480" w:firstLineChars="200"/>
        <w:rPr>
          <w:rFonts w:hint="eastAsia"/>
          <w:color w:val="auto"/>
          <w:sz w:val="24"/>
          <w:szCs w:val="32"/>
          <w:lang w:val="en-US" w:eastAsia="zh-CN"/>
        </w:rPr>
      </w:pPr>
      <w:r>
        <w:rPr>
          <w:rFonts w:hint="eastAsia" w:ascii="Times New Roman" w:hAnsi="Times New Roman" w:eastAsia="宋体" w:cs="Times New Roman"/>
          <w:color w:val="auto"/>
          <w:kern w:val="2"/>
          <w:sz w:val="24"/>
          <w:szCs w:val="32"/>
          <w:lang w:val="en-US" w:eastAsia="zh-CN" w:bidi="ar-SA"/>
        </w:rPr>
        <w:t>①</w:t>
      </w:r>
      <w:r>
        <w:rPr>
          <w:rFonts w:hint="eastAsia"/>
          <w:color w:val="auto"/>
          <w:sz w:val="24"/>
          <w:szCs w:val="32"/>
          <w:lang w:val="en-US" w:eastAsia="zh-CN"/>
        </w:rPr>
        <w:t>氮气吹脱：本项目使用的惰性气体为N</w:t>
      </w:r>
      <w:r>
        <w:rPr>
          <w:rFonts w:hint="eastAsia"/>
          <w:color w:val="auto"/>
          <w:sz w:val="24"/>
          <w:szCs w:val="32"/>
          <w:vertAlign w:val="subscript"/>
          <w:lang w:val="en-US" w:eastAsia="zh-CN"/>
        </w:rPr>
        <w:t>2</w:t>
      </w:r>
      <w:r>
        <w:rPr>
          <w:rFonts w:hint="eastAsia"/>
          <w:color w:val="auto"/>
          <w:sz w:val="24"/>
          <w:szCs w:val="32"/>
          <w:lang w:val="en-US" w:eastAsia="zh-CN"/>
        </w:rPr>
        <w:t>，N</w:t>
      </w:r>
      <w:r>
        <w:rPr>
          <w:rFonts w:hint="eastAsia"/>
          <w:color w:val="auto"/>
          <w:sz w:val="24"/>
          <w:szCs w:val="32"/>
          <w:vertAlign w:val="subscript"/>
          <w:lang w:val="en-US" w:eastAsia="zh-CN"/>
        </w:rPr>
        <w:t>2</w:t>
      </w:r>
      <w:r>
        <w:rPr>
          <w:rFonts w:hint="eastAsia"/>
          <w:color w:val="auto"/>
          <w:sz w:val="24"/>
          <w:szCs w:val="32"/>
          <w:lang w:val="en-US" w:eastAsia="zh-CN"/>
        </w:rPr>
        <w:t>吹入铝液后，形成许多细小的气泡，夹杂与气泡相遇后会被吸附在气泡表面上并随气泡浮出熔体表面。根据分压差脱气原理，氮气泡中最初的平衡氢分压约为0，铝液中的平衡氢分压不为0，二者存在压差，使溶于金属中的氢不断扩散至气泡中，直至气泡中氢的平衡分压与铝液中氢的平衡分压相等。氮气气泡在和熔体接触及运动的过程中吸附气体，同时吸附除杂，并带出表面。气泡浮出液面后，熔体中的氢气将逸出进入大气，铝液表面的氧化物不能自动脱离气相而重新溶于铝液中，待聚集到一定数量时，即可机械去除。吹气过程中采用较低的通气</w:t>
      </w:r>
    </w:p>
    <w:p w14:paraId="2DB7A6CC">
      <w:pPr>
        <w:numPr>
          <w:ilvl w:val="0"/>
          <w:numId w:val="0"/>
        </w:numPr>
        <w:spacing w:line="360" w:lineRule="auto"/>
        <w:ind w:firstLine="480" w:firstLineChars="200"/>
        <w:rPr>
          <w:color w:val="auto"/>
          <w:sz w:val="24"/>
          <w:szCs w:val="32"/>
        </w:rPr>
      </w:pPr>
      <w:r>
        <w:rPr>
          <w:rFonts w:hint="eastAsia"/>
          <w:color w:val="auto"/>
          <w:sz w:val="24"/>
          <w:szCs w:val="32"/>
        </w:rPr>
        <w:t>压力和速度，这样可以扩大气泡的表面积，减缓气泡上升速度，从而去除较多的气体。吹脱法目的是除气，同时也能起到除杂的作用。</w:t>
      </w:r>
    </w:p>
    <w:p w14:paraId="53ED78E1">
      <w:pPr>
        <w:numPr>
          <w:ilvl w:val="0"/>
          <w:numId w:val="0"/>
        </w:numPr>
        <w:spacing w:line="360" w:lineRule="auto"/>
        <w:ind w:left="0" w:leftChars="0" w:firstLine="400" w:firstLineChars="0"/>
        <w:rPr>
          <w:rFonts w:hint="default" w:eastAsia="宋体"/>
          <w:color w:val="auto"/>
          <w:sz w:val="24"/>
          <w:szCs w:val="32"/>
          <w:lang w:val="en-US" w:eastAsia="zh-CN"/>
        </w:rPr>
      </w:pPr>
      <w:r>
        <w:rPr>
          <w:rFonts w:hint="eastAsia" w:ascii="Times New Roman" w:hAnsi="Times New Roman" w:eastAsia="宋体" w:cs="Times New Roman"/>
          <w:color w:val="auto"/>
          <w:kern w:val="2"/>
          <w:sz w:val="24"/>
          <w:szCs w:val="32"/>
          <w:lang w:val="en-US" w:eastAsia="zh-CN" w:bidi="ar-SA"/>
        </w:rPr>
        <w:t>②</w:t>
      </w:r>
      <w:r>
        <w:rPr>
          <w:rFonts w:hint="eastAsia"/>
          <w:color w:val="auto"/>
          <w:sz w:val="24"/>
          <w:szCs w:val="32"/>
          <w:lang w:val="en-US" w:eastAsia="zh-CN"/>
        </w:rPr>
        <w:t>精炼：本项目使用的粉状精炼剂，主要成分为：Na：23%，K：32%，Si：5%，Al：3.5%，Cl：26%，Mg：8%，C：2.5%，不含氟化物。</w:t>
      </w:r>
    </w:p>
    <w:p w14:paraId="2351CAA4">
      <w:pPr>
        <w:numPr>
          <w:ilvl w:val="0"/>
          <w:numId w:val="0"/>
        </w:numPr>
        <w:spacing w:line="360" w:lineRule="auto"/>
        <w:ind w:firstLine="480" w:firstLineChars="200"/>
        <w:rPr>
          <w:color w:val="auto"/>
          <w:sz w:val="24"/>
          <w:szCs w:val="32"/>
        </w:rPr>
      </w:pPr>
      <w:r>
        <w:rPr>
          <w:rFonts w:hint="eastAsia"/>
          <w:color w:val="auto"/>
          <w:sz w:val="24"/>
          <w:szCs w:val="32"/>
        </w:rPr>
        <w:t>本项目精炼除气过程中产生的废气</w:t>
      </w:r>
      <w:r>
        <w:rPr>
          <w:rFonts w:hint="eastAsia"/>
          <w:color w:val="auto"/>
          <w:sz w:val="24"/>
          <w:szCs w:val="32"/>
          <w:lang w:eastAsia="zh-CN"/>
        </w:rPr>
        <w:t>（</w:t>
      </w:r>
      <w:r>
        <w:rPr>
          <w:rFonts w:hint="eastAsia"/>
          <w:color w:val="auto"/>
          <w:sz w:val="24"/>
          <w:szCs w:val="32"/>
        </w:rPr>
        <w:t>G4</w:t>
      </w:r>
      <w:r>
        <w:rPr>
          <w:rFonts w:hint="eastAsia"/>
          <w:color w:val="auto"/>
          <w:sz w:val="24"/>
          <w:szCs w:val="32"/>
          <w:lang w:eastAsia="zh-CN"/>
        </w:rPr>
        <w:t>）</w:t>
      </w:r>
      <w:r>
        <w:rPr>
          <w:rFonts w:hint="eastAsia"/>
          <w:color w:val="auto"/>
          <w:sz w:val="24"/>
          <w:szCs w:val="32"/>
        </w:rPr>
        <w:t>主要含烟</w:t>
      </w:r>
      <w:r>
        <w:rPr>
          <w:rFonts w:hint="eastAsia"/>
          <w:color w:val="auto"/>
          <w:sz w:val="24"/>
          <w:szCs w:val="32"/>
          <w:lang w:eastAsia="zh-CN"/>
        </w:rPr>
        <w:t>（</w:t>
      </w:r>
      <w:r>
        <w:rPr>
          <w:rFonts w:hint="eastAsia"/>
          <w:color w:val="auto"/>
          <w:sz w:val="24"/>
          <w:szCs w:val="32"/>
        </w:rPr>
        <w:t>粉</w:t>
      </w:r>
      <w:r>
        <w:rPr>
          <w:rFonts w:hint="eastAsia"/>
          <w:color w:val="auto"/>
          <w:sz w:val="24"/>
          <w:szCs w:val="32"/>
          <w:lang w:eastAsia="zh-CN"/>
        </w:rPr>
        <w:t>）</w:t>
      </w:r>
      <w:r>
        <w:rPr>
          <w:rFonts w:hint="eastAsia"/>
          <w:color w:val="auto"/>
          <w:sz w:val="24"/>
          <w:szCs w:val="32"/>
        </w:rPr>
        <w:t>尘、HC1等污染物，通过除尘净化系统处理后，最后经2</w:t>
      </w:r>
      <w:r>
        <w:rPr>
          <w:rFonts w:hint="eastAsia"/>
          <w:color w:val="auto"/>
          <w:sz w:val="24"/>
          <w:szCs w:val="32"/>
          <w:lang w:val="en-US" w:eastAsia="zh-CN"/>
        </w:rPr>
        <w:t>4.5</w:t>
      </w:r>
      <w:r>
        <w:rPr>
          <w:rFonts w:hint="eastAsia"/>
          <w:color w:val="auto"/>
          <w:sz w:val="24"/>
          <w:szCs w:val="32"/>
        </w:rPr>
        <w:t>m高排气筒排放。</w:t>
      </w:r>
    </w:p>
    <w:p w14:paraId="61AF73A1">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7</w:t>
      </w:r>
      <w:r>
        <w:rPr>
          <w:rFonts w:hint="eastAsia"/>
          <w:color w:val="auto"/>
          <w:sz w:val="24"/>
          <w:szCs w:val="32"/>
          <w:lang w:eastAsia="zh-CN"/>
        </w:rPr>
        <w:t>）</w:t>
      </w:r>
      <w:r>
        <w:rPr>
          <w:rFonts w:hint="eastAsia"/>
          <w:color w:val="auto"/>
          <w:sz w:val="24"/>
          <w:szCs w:val="32"/>
          <w:lang w:val="en-US" w:eastAsia="zh-CN"/>
        </w:rPr>
        <w:t>精炼后扒渣：在精炼工序中用熔剂熔炼会产生一定量的熔渣浮于表面，浮渣对熔体有保护作用，但浮渣太多又会影响热传递，因而浮渣要定时耙出清除，通过机械方式清除，这部分熔渣含有一定量的铝，因此项目设置回转炉回收其中的铝料。精炼温度一般控制在750</w:t>
      </w:r>
      <w:r>
        <w:rPr>
          <w:rFonts w:hint="default" w:ascii="Times New Roman" w:hAnsi="Times New Roman" w:cs="Times New Roman"/>
          <w:color w:val="auto"/>
          <w:sz w:val="24"/>
          <w:szCs w:val="32"/>
          <w:lang w:val="en-US" w:eastAsia="zh-CN"/>
        </w:rPr>
        <w:t>℃</w:t>
      </w:r>
      <w:r>
        <w:rPr>
          <w:rFonts w:hint="eastAsia"/>
          <w:color w:val="auto"/>
          <w:sz w:val="24"/>
          <w:szCs w:val="32"/>
          <w:lang w:val="en-US" w:eastAsia="zh-CN"/>
        </w:rPr>
        <w:t>以下，以减少烧损。精炼炉扒渣过程中炉门口处会有烟气（G5）从炉门口逸出，炉门上方设集气罩，产生的烟尘由集气罩引至除尘净化系统处理后，最后经24.5m高排气筒排放。</w:t>
      </w:r>
    </w:p>
    <w:p w14:paraId="334CB932">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8</w:t>
      </w:r>
      <w:r>
        <w:rPr>
          <w:rFonts w:hint="eastAsia"/>
          <w:color w:val="auto"/>
          <w:sz w:val="24"/>
          <w:szCs w:val="32"/>
          <w:lang w:eastAsia="zh-CN"/>
        </w:rPr>
        <w:t>）</w:t>
      </w:r>
      <w:r>
        <w:rPr>
          <w:rFonts w:hint="eastAsia"/>
          <w:color w:val="auto"/>
          <w:sz w:val="24"/>
          <w:szCs w:val="32"/>
          <w:lang w:val="en-US" w:eastAsia="zh-CN"/>
        </w:rPr>
        <w:t>变质处理：根据客户或产品性能要求如果需要做变质处理，经静置后的铝液需要加入防锈剂进行变质处理。</w:t>
      </w:r>
    </w:p>
    <w:p w14:paraId="441EB420">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9</w:t>
      </w:r>
      <w:r>
        <w:rPr>
          <w:rFonts w:hint="eastAsia"/>
          <w:color w:val="auto"/>
          <w:sz w:val="24"/>
          <w:szCs w:val="32"/>
          <w:lang w:eastAsia="zh-CN"/>
        </w:rPr>
        <w:t>）</w:t>
      </w:r>
      <w:r>
        <w:rPr>
          <w:rFonts w:hint="eastAsia"/>
          <w:color w:val="auto"/>
          <w:sz w:val="24"/>
          <w:szCs w:val="32"/>
          <w:lang w:val="en-US" w:eastAsia="zh-CN"/>
        </w:rPr>
        <w:t>静置：精炼变质后的铝液静置10~20min再进行铸造。</w:t>
      </w:r>
    </w:p>
    <w:p w14:paraId="281D8137">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3、铝渣处理系统</w:t>
      </w:r>
    </w:p>
    <w:p w14:paraId="620AA967">
      <w:pPr>
        <w:numPr>
          <w:ilvl w:val="0"/>
          <w:numId w:val="0"/>
        </w:numPr>
        <w:spacing w:line="360" w:lineRule="auto"/>
        <w:ind w:firstLine="480" w:firstLineChars="200"/>
        <w:rPr>
          <w:color w:val="auto"/>
          <w:sz w:val="24"/>
          <w:szCs w:val="32"/>
        </w:rPr>
      </w:pPr>
      <w:r>
        <w:rPr>
          <w:rFonts w:hint="eastAsia"/>
          <w:color w:val="auto"/>
          <w:sz w:val="24"/>
          <w:szCs w:val="32"/>
        </w:rPr>
        <w:t>熔炼、精炼过程产生的铝渣主要成分为金属铝、氧化铝、氧化硅、铁和氧化亚铁，约占99%以上，其次为钛、锰等金属，约占0.8%以上。由于废铝渣主要成份均不在《国家危险废物名录》目录中，同时类比同类企业废铝渣处理情况，均将铝渣判定为一般工业固体废物。</w:t>
      </w:r>
    </w:p>
    <w:p w14:paraId="68086581">
      <w:pPr>
        <w:numPr>
          <w:ilvl w:val="0"/>
          <w:numId w:val="0"/>
        </w:numPr>
        <w:spacing w:line="360" w:lineRule="auto"/>
        <w:ind w:firstLine="480" w:firstLineChars="200"/>
        <w:rPr>
          <w:color w:val="auto"/>
          <w:sz w:val="24"/>
          <w:szCs w:val="32"/>
        </w:rPr>
      </w:pPr>
      <w:r>
        <w:rPr>
          <w:rFonts w:hint="eastAsia"/>
          <w:color w:val="auto"/>
          <w:sz w:val="24"/>
          <w:szCs w:val="32"/>
        </w:rPr>
        <w:t>项目配套建设铝灰回收系统。铝灰处理采取“回转炉+冷灰桶、布袋除尘器”工艺，即通过回转炉旋转搅拌、沉淀而达到提取铝液的目的。铝渣在回转炉内加热过程为内热式，液态铝渣首先入回转炉，利用铝渣自燃产生高温(在自燃造成高温的时间内，等待高温铝渣及灰与间隔搅拌起升温的作用)，在旋转作用下铝成分自动聚合，从而提高了铝熔化速度和铝水温度，并降低了铝水粘度，有利于铝水和铝灰剥离。经回转炉处理后得到的较纯铝汤返回熔炼炉作为原料利用，铝灰进入冷灰桶(卧式)进一步处理。</w:t>
      </w:r>
    </w:p>
    <w:p w14:paraId="552246A9">
      <w:pPr>
        <w:numPr>
          <w:ilvl w:val="0"/>
          <w:numId w:val="0"/>
        </w:numPr>
        <w:spacing w:line="360" w:lineRule="auto"/>
        <w:ind w:firstLine="480" w:firstLineChars="200"/>
        <w:rPr>
          <w:rFonts w:hint="default" w:ascii="Times New Roman" w:hAnsi="Times New Roman" w:eastAsia="宋体" w:cs="Times New Roman"/>
          <w:color w:val="auto"/>
          <w:sz w:val="24"/>
          <w:szCs w:val="32"/>
          <w:lang w:val="en-US" w:eastAsia="zh-CN"/>
        </w:rPr>
      </w:pPr>
      <w:r>
        <w:rPr>
          <w:rFonts w:hint="eastAsia"/>
          <w:color w:val="auto"/>
          <w:sz w:val="24"/>
          <w:szCs w:val="32"/>
        </w:rPr>
        <w:t>冷灰桶设导流板与棍棒，利用棍棒自身重量和桶身旋转将块状热灰压碎，加大散热</w:t>
      </w:r>
      <w:r>
        <w:rPr>
          <w:rFonts w:hint="eastAsia"/>
          <w:color w:val="auto"/>
          <w:sz w:val="24"/>
          <w:szCs w:val="32"/>
          <w:lang w:val="en-US" w:eastAsia="zh-CN"/>
        </w:rPr>
        <w:t>面积，加快散热速度；同时，因热灰被均匀压碎、压散，冷灰桶末端可快速冷却至</w:t>
      </w:r>
      <w:r>
        <w:rPr>
          <w:rFonts w:hint="default" w:ascii="Times New Roman" w:hAnsi="Times New Roman" w:cs="Times New Roman"/>
          <w:color w:val="auto"/>
          <w:sz w:val="24"/>
          <w:szCs w:val="32"/>
          <w:lang w:val="en-US" w:eastAsia="zh-CN"/>
        </w:rPr>
        <w:t>50~60℃以下</w:t>
      </w:r>
      <w:r>
        <w:rPr>
          <w:rFonts w:hint="eastAsia" w:ascii="Times New Roman" w:hAnsi="Times New Roman" w:cs="Times New Roman"/>
          <w:color w:val="auto"/>
          <w:sz w:val="24"/>
          <w:szCs w:val="32"/>
          <w:lang w:val="en-US" w:eastAsia="zh-CN"/>
        </w:rPr>
        <w:t>，有利于筛选。铝灰在冷却桶中经冷却、球磨后，流经2.5m钢网（40~60目）筛选，分成细灰和粗颗粒铝灰。其中，细灰降至灰斗后袋装储存，其中Mn、Si、Fe、Al，外售给水泥厂做填料或炼钢厂作脱氧剂;粗颗粒铝灰分流至冷灰桶底部出灰口，卸至灰斗后重新加入回转炉，既作为冷却剂，又可以二次提炼。</w:t>
      </w:r>
    </w:p>
    <w:p w14:paraId="1A742C7B">
      <w:pPr>
        <w:numPr>
          <w:ilvl w:val="0"/>
          <w:numId w:val="0"/>
        </w:numPr>
        <w:spacing w:line="360" w:lineRule="auto"/>
        <w:ind w:firstLine="480" w:firstLineChars="200"/>
        <w:rPr>
          <w:color w:val="auto"/>
          <w:sz w:val="24"/>
          <w:szCs w:val="32"/>
        </w:rPr>
      </w:pPr>
      <w:r>
        <w:rPr>
          <w:rFonts w:hint="eastAsia"/>
          <w:color w:val="auto"/>
          <w:sz w:val="24"/>
          <w:szCs w:val="32"/>
        </w:rPr>
        <w:t>回转炉产生的废气</w:t>
      </w:r>
      <w:r>
        <w:rPr>
          <w:rFonts w:hint="eastAsia"/>
          <w:color w:val="auto"/>
          <w:sz w:val="24"/>
          <w:szCs w:val="32"/>
          <w:lang w:eastAsia="zh-CN"/>
        </w:rPr>
        <w:t>（</w:t>
      </w:r>
      <w:r>
        <w:rPr>
          <w:rFonts w:hint="eastAsia"/>
          <w:color w:val="auto"/>
          <w:sz w:val="24"/>
          <w:szCs w:val="32"/>
        </w:rPr>
        <w:t>G6</w:t>
      </w:r>
      <w:r>
        <w:rPr>
          <w:rFonts w:hint="eastAsia"/>
          <w:color w:val="auto"/>
          <w:sz w:val="24"/>
          <w:szCs w:val="32"/>
          <w:lang w:eastAsia="zh-CN"/>
        </w:rPr>
        <w:t>）</w:t>
      </w:r>
      <w:r>
        <w:rPr>
          <w:rFonts w:hint="eastAsia"/>
          <w:color w:val="auto"/>
          <w:sz w:val="24"/>
          <w:szCs w:val="32"/>
        </w:rPr>
        <w:t>与冷灰桶产生的废气</w:t>
      </w:r>
      <w:r>
        <w:rPr>
          <w:rFonts w:hint="eastAsia"/>
          <w:color w:val="auto"/>
          <w:sz w:val="24"/>
          <w:szCs w:val="32"/>
          <w:lang w:eastAsia="zh-CN"/>
        </w:rPr>
        <w:t>（</w:t>
      </w:r>
      <w:r>
        <w:rPr>
          <w:rFonts w:hint="eastAsia"/>
          <w:color w:val="auto"/>
          <w:sz w:val="24"/>
          <w:szCs w:val="32"/>
        </w:rPr>
        <w:t>G7</w:t>
      </w:r>
      <w:r>
        <w:rPr>
          <w:rFonts w:hint="eastAsia"/>
          <w:color w:val="auto"/>
          <w:sz w:val="24"/>
          <w:szCs w:val="32"/>
          <w:lang w:eastAsia="zh-CN"/>
        </w:rPr>
        <w:t>）</w:t>
      </w:r>
      <w:r>
        <w:rPr>
          <w:rFonts w:hint="eastAsia"/>
          <w:color w:val="auto"/>
          <w:sz w:val="24"/>
          <w:szCs w:val="32"/>
        </w:rPr>
        <w:t>主要污染物为粉尘，分别通过各自的集气罩引入除尘净化系统除尘处理后，最后经2</w:t>
      </w:r>
      <w:r>
        <w:rPr>
          <w:rFonts w:hint="eastAsia"/>
          <w:color w:val="auto"/>
          <w:sz w:val="24"/>
          <w:szCs w:val="32"/>
          <w:lang w:val="en-US" w:eastAsia="zh-CN"/>
        </w:rPr>
        <w:t>4.5</w:t>
      </w:r>
      <w:r>
        <w:rPr>
          <w:rFonts w:hint="eastAsia"/>
          <w:color w:val="auto"/>
          <w:sz w:val="24"/>
          <w:szCs w:val="32"/>
        </w:rPr>
        <w:t>m高排气筒排放。</w:t>
      </w:r>
    </w:p>
    <w:bookmarkEnd w:id="287"/>
    <w:p w14:paraId="58219275">
      <w:pPr>
        <w:spacing w:line="360" w:lineRule="auto"/>
        <w:outlineLvl w:val="1"/>
        <w:rPr>
          <w:b/>
          <w:bCs/>
          <w:color w:val="auto"/>
          <w:sz w:val="28"/>
          <w:szCs w:val="28"/>
        </w:rPr>
      </w:pPr>
      <w:bookmarkStart w:id="288" w:name="_Toc9996"/>
      <w:r>
        <w:rPr>
          <w:b/>
          <w:bCs/>
          <w:color w:val="auto"/>
          <w:sz w:val="28"/>
          <w:szCs w:val="28"/>
        </w:rPr>
        <w:t>3.3</w:t>
      </w:r>
      <w:r>
        <w:rPr>
          <w:rFonts w:hint="eastAsia"/>
          <w:b/>
          <w:bCs/>
          <w:color w:val="auto"/>
          <w:sz w:val="28"/>
          <w:szCs w:val="28"/>
        </w:rPr>
        <w:t>污染源及其治理措施分析</w:t>
      </w:r>
      <w:bookmarkEnd w:id="288"/>
    </w:p>
    <w:p w14:paraId="2001E943">
      <w:pPr>
        <w:spacing w:line="360" w:lineRule="auto"/>
        <w:outlineLvl w:val="2"/>
        <w:rPr>
          <w:rFonts w:hint="eastAsia"/>
          <w:b/>
          <w:bCs/>
          <w:color w:val="auto"/>
          <w:sz w:val="24"/>
          <w:lang w:eastAsia="zh-CN"/>
        </w:rPr>
      </w:pPr>
      <w:bookmarkStart w:id="289" w:name="_Toc23051"/>
      <w:r>
        <w:rPr>
          <w:b/>
          <w:bCs/>
          <w:color w:val="auto"/>
          <w:sz w:val="24"/>
        </w:rPr>
        <w:t>3.3.1</w:t>
      </w:r>
      <w:bookmarkEnd w:id="289"/>
      <w:r>
        <w:rPr>
          <w:rFonts w:hint="eastAsia"/>
          <w:b/>
          <w:bCs/>
          <w:color w:val="auto"/>
          <w:sz w:val="24"/>
        </w:rPr>
        <w:t>废气污染源及其治理措施分析</w:t>
      </w:r>
    </w:p>
    <w:p w14:paraId="387DF31D">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lang w:val="en-US" w:eastAsia="zh-CN"/>
        </w:rPr>
      </w:pPr>
      <w:r>
        <w:rPr>
          <w:rFonts w:hint="eastAsia" w:ascii="Times New Roman" w:hAnsi="Times New Roman" w:cs="Times New Roman"/>
          <w:b w:val="0"/>
          <w:bCs w:val="0"/>
          <w:color w:val="auto"/>
          <w:sz w:val="24"/>
          <w:lang w:val="en-US" w:eastAsia="zh-CN"/>
        </w:rPr>
        <w:t>1、有组织废气</w:t>
      </w:r>
    </w:p>
    <w:p w14:paraId="15168C1E">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b w:val="0"/>
          <w:bCs w:val="0"/>
          <w:color w:val="auto"/>
          <w:sz w:val="24"/>
          <w:lang w:val="en-US" w:eastAsia="zh-CN"/>
        </w:rPr>
      </w:pPr>
      <w:r>
        <w:rPr>
          <w:rFonts w:hint="default" w:ascii="Times New Roman" w:hAnsi="Times New Roman" w:cs="Times New Roman"/>
          <w:b w:val="0"/>
          <w:bCs w:val="0"/>
          <w:color w:val="auto"/>
          <w:sz w:val="24"/>
          <w:lang w:eastAsia="zh-CN"/>
        </w:rPr>
        <w:t>根据工艺过程及现场调查，本项目废气污染源主要为熔炼</w:t>
      </w:r>
      <w:r>
        <w:rPr>
          <w:rFonts w:hint="eastAsia" w:ascii="Times New Roman" w:hAnsi="Times New Roman" w:cs="Times New Roman"/>
          <w:b w:val="0"/>
          <w:bCs w:val="0"/>
          <w:color w:val="auto"/>
          <w:sz w:val="24"/>
          <w:lang w:eastAsia="zh-CN"/>
        </w:rPr>
        <w:t>、</w:t>
      </w:r>
      <w:r>
        <w:rPr>
          <w:rFonts w:hint="eastAsia" w:ascii="Times New Roman" w:hAnsi="Times New Roman" w:cs="Times New Roman"/>
          <w:b w:val="0"/>
          <w:bCs w:val="0"/>
          <w:color w:val="auto"/>
          <w:sz w:val="24"/>
          <w:lang w:val="en-US" w:eastAsia="zh-CN"/>
        </w:rPr>
        <w:t>精炼</w:t>
      </w:r>
      <w:r>
        <w:rPr>
          <w:rFonts w:hint="default" w:ascii="Times New Roman" w:hAnsi="Times New Roman" w:cs="Times New Roman"/>
          <w:b w:val="0"/>
          <w:bCs w:val="0"/>
          <w:color w:val="auto"/>
          <w:sz w:val="24"/>
          <w:lang w:eastAsia="zh-CN"/>
        </w:rPr>
        <w:t>烟气（含天然气燃烧废气）和铝渣处理</w:t>
      </w:r>
      <w:r>
        <w:rPr>
          <w:rFonts w:hint="eastAsia" w:ascii="Times New Roman" w:hAnsi="Times New Roman" w:cs="Times New Roman"/>
          <w:b w:val="0"/>
          <w:bCs w:val="0"/>
          <w:color w:val="auto"/>
          <w:sz w:val="24"/>
          <w:lang w:val="en-US" w:eastAsia="zh-CN"/>
        </w:rPr>
        <w:t>废气，熔炼、精炼烟气主要成分为</w:t>
      </w:r>
      <w:r>
        <w:rPr>
          <w:rFonts w:hint="eastAsia" w:ascii="Times New Roman" w:hAnsi="Times New Roman" w:cs="Times New Roman"/>
          <w:color w:val="auto"/>
          <w:szCs w:val="21"/>
          <w:lang w:val="en-US" w:eastAsia="zh-CN"/>
        </w:rPr>
        <w:t>颗粒物</w:t>
      </w:r>
      <w:r>
        <w:rPr>
          <w:rFonts w:hint="default" w:ascii="Times New Roman" w:hAnsi="Times New Roman" w:cs="Times New Roman"/>
          <w:color w:val="auto"/>
          <w:szCs w:val="21"/>
        </w:rPr>
        <w:t>、SO</w:t>
      </w:r>
      <w:r>
        <w:rPr>
          <w:rFonts w:hint="default" w:ascii="Times New Roman" w:hAnsi="Times New Roman" w:cs="Times New Roman"/>
          <w:color w:val="auto"/>
          <w:szCs w:val="21"/>
          <w:vertAlign w:val="subscript"/>
        </w:rPr>
        <w:t>2</w:t>
      </w:r>
      <w:r>
        <w:rPr>
          <w:rFonts w:hint="default" w:ascii="Times New Roman" w:hAnsi="Times New Roman" w:cs="Times New Roman"/>
          <w:color w:val="auto"/>
          <w:szCs w:val="21"/>
        </w:rPr>
        <w:t>、NO</w:t>
      </w:r>
      <w:r>
        <w:rPr>
          <w:rFonts w:hint="default" w:ascii="Times New Roman" w:hAnsi="Times New Roman" w:cs="Times New Roman"/>
          <w:color w:val="auto"/>
          <w:szCs w:val="21"/>
          <w:vertAlign w:val="subscript"/>
        </w:rPr>
        <w:t>X</w:t>
      </w:r>
      <w:r>
        <w:rPr>
          <w:rFonts w:hint="default" w:ascii="Times New Roman" w:hAnsi="Times New Roman" w:cs="Times New Roman"/>
          <w:color w:val="auto"/>
          <w:szCs w:val="21"/>
        </w:rPr>
        <w:t>、HCl、二噁英类</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铝渣处理废气主要成分为颗粒物。熔炼、精炼烟气经SNCR装置（为</w:t>
      </w:r>
      <w:r>
        <w:rPr>
          <w:rFonts w:hint="eastAsia"/>
          <w:color w:val="auto"/>
          <w:sz w:val="24"/>
          <w:szCs w:val="32"/>
          <w:lang w:val="en-US" w:eastAsia="zh-CN"/>
        </w:rPr>
        <w:t>安徽瑞瑟科金属材料有限公司接手该项目后新增的环保设备</w:t>
      </w:r>
      <w:r>
        <w:rPr>
          <w:rFonts w:hint="eastAsia" w:ascii="Times New Roman" w:hAnsi="Times New Roman" w:cs="Times New Roman"/>
          <w:color w:val="auto"/>
          <w:szCs w:val="21"/>
          <w:lang w:val="en-US" w:eastAsia="zh-CN"/>
        </w:rPr>
        <w:t>）+烟气急冷装置处理后与</w:t>
      </w:r>
      <w:r>
        <w:rPr>
          <w:rFonts w:hint="default" w:ascii="Times New Roman" w:hAnsi="Times New Roman" w:cs="Times New Roman"/>
          <w:b w:val="0"/>
          <w:bCs w:val="0"/>
          <w:color w:val="auto"/>
          <w:sz w:val="24"/>
          <w:lang w:eastAsia="zh-CN"/>
        </w:rPr>
        <w:t>铝渣处理</w:t>
      </w:r>
      <w:r>
        <w:rPr>
          <w:rFonts w:hint="eastAsia" w:ascii="Times New Roman" w:hAnsi="Times New Roman" w:cs="Times New Roman"/>
          <w:b w:val="0"/>
          <w:bCs w:val="0"/>
          <w:color w:val="auto"/>
          <w:sz w:val="24"/>
          <w:lang w:val="en-US" w:eastAsia="zh-CN"/>
        </w:rPr>
        <w:t>废气经活性炭喷粉+重力沉降除尘+布袋除尘器+碱喷淋装置处理后通过1根24.5m高的排气筒排放。</w:t>
      </w:r>
    </w:p>
    <w:p w14:paraId="4B508D4B">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jc w:val="center"/>
        <w:textAlignment w:val="auto"/>
        <w:rPr>
          <w:rFonts w:ascii="Times New Roman" w:hAnsi="Times New Roman"/>
          <w:b/>
          <w:bCs/>
          <w:color w:val="auto"/>
          <w:szCs w:val="22"/>
        </w:rPr>
      </w:pPr>
      <w:r>
        <w:rPr>
          <w:rFonts w:ascii="Times New Roman" w:hAnsi="Times New Roman"/>
          <w:color w:val="auto"/>
          <w:kern w:val="0"/>
        </w:rPr>
        <w:object>
          <v:shape id="_x0000_i1025" o:spt="75" type="#_x0000_t75" style="height:140.95pt;width:361.8pt;" o:ole="t" filled="f" o:preferrelative="t" stroked="f" coordsize="21600,21600">
            <v:path/>
            <v:fill on="f" focussize="0,0"/>
            <v:stroke on="f"/>
            <v:imagedata r:id="rId24" o:title=""/>
            <o:lock v:ext="edit" aspectratio="f"/>
            <w10:wrap type="none"/>
            <w10:anchorlock/>
          </v:shape>
          <o:OLEObject Type="Embed" ProgID="RFFlow4" ShapeID="_x0000_i1025" DrawAspect="Content" ObjectID="_1468075725" r:id="rId23">
            <o:LockedField>false</o:LockedField>
          </o:OLEObject>
        </w:object>
      </w:r>
    </w:p>
    <w:p w14:paraId="51E390DD">
      <w:pPr>
        <w:pStyle w:val="12"/>
        <w:tabs>
          <w:tab w:val="left" w:pos="420"/>
        </w:tabs>
        <w:spacing w:after="0" w:line="240" w:lineRule="auto"/>
        <w:ind w:left="0" w:leftChars="0"/>
        <w:jc w:val="center"/>
        <w:rPr>
          <w:rFonts w:hint="eastAsia"/>
          <w:b/>
          <w:bCs/>
          <w:color w:val="auto"/>
          <w:sz w:val="24"/>
          <w:szCs w:val="22"/>
        </w:rPr>
      </w:pPr>
      <w:r>
        <w:rPr>
          <w:rFonts w:hint="eastAsia"/>
          <w:b/>
          <w:bCs/>
          <w:color w:val="auto"/>
          <w:sz w:val="24"/>
          <w:szCs w:val="22"/>
        </w:rPr>
        <w:t>图3</w:t>
      </w:r>
      <w:r>
        <w:rPr>
          <w:rFonts w:hint="eastAsia"/>
          <w:b/>
          <w:bCs/>
          <w:color w:val="auto"/>
          <w:sz w:val="24"/>
          <w:szCs w:val="22"/>
          <w:lang w:val="en-US" w:eastAsia="zh-CN"/>
        </w:rPr>
        <w:t>-2</w:t>
      </w:r>
      <w:r>
        <w:rPr>
          <w:rFonts w:hint="eastAsia"/>
          <w:b/>
          <w:bCs/>
          <w:color w:val="auto"/>
          <w:sz w:val="24"/>
          <w:szCs w:val="22"/>
        </w:rPr>
        <w:t xml:space="preserve"> 1</w:t>
      </w:r>
      <w:r>
        <w:rPr>
          <w:b/>
          <w:bCs/>
          <w:color w:val="auto"/>
          <w:sz w:val="24"/>
          <w:szCs w:val="22"/>
        </w:rPr>
        <w:t>#排气筒废气收集、处理流程图</w:t>
      </w:r>
    </w:p>
    <w:p w14:paraId="5BA9AB55">
      <w:pPr>
        <w:keepNext w:val="0"/>
        <w:keepLines w:val="0"/>
        <w:pageBreakBefore w:val="0"/>
        <w:widowControl w:val="0"/>
        <w:kinsoku/>
        <w:wordWrap w:val="0"/>
        <w:overflowPunct/>
        <w:topLinePunct/>
        <w:autoSpaceDE/>
        <w:autoSpaceDN/>
        <w:bidi w:val="0"/>
        <w:adjustRightInd w:val="0"/>
        <w:snapToGrid w:val="0"/>
        <w:spacing w:line="360" w:lineRule="auto"/>
        <w:jc w:val="both"/>
        <w:textAlignment w:val="auto"/>
        <w:rPr>
          <w:rFonts w:hint="eastAsia"/>
          <w:color w:val="auto"/>
          <w:sz w:val="24"/>
          <w:szCs w:val="32"/>
          <w:lang w:val="en-US" w:eastAsia="zh-CN"/>
        </w:rPr>
      </w:pPr>
      <w:r>
        <w:rPr>
          <w:rFonts w:hint="eastAsia"/>
          <w:color w:val="auto"/>
          <w:sz w:val="24"/>
          <w:szCs w:val="32"/>
          <w:lang w:val="en-US" w:eastAsia="zh-CN"/>
        </w:rPr>
        <w:drawing>
          <wp:inline distT="0" distB="0" distL="114300" distR="114300">
            <wp:extent cx="6185535" cy="6569075"/>
            <wp:effectExtent l="0" t="0" r="5715" b="3175"/>
            <wp:docPr id="29" name="图片 2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
                    <pic:cNvPicPr>
                      <a:picLocks noChangeAspect="1"/>
                    </pic:cNvPicPr>
                  </pic:nvPicPr>
                  <pic:blipFill>
                    <a:blip r:embed="rId25"/>
                    <a:stretch>
                      <a:fillRect/>
                    </a:stretch>
                  </pic:blipFill>
                  <pic:spPr>
                    <a:xfrm>
                      <a:off x="0" y="0"/>
                      <a:ext cx="6185535" cy="6569075"/>
                    </a:xfrm>
                    <a:prstGeom prst="rect">
                      <a:avLst/>
                    </a:prstGeom>
                  </pic:spPr>
                </pic:pic>
              </a:graphicData>
            </a:graphic>
          </wp:inline>
        </w:drawing>
      </w:r>
    </w:p>
    <w:p w14:paraId="5F84F81C">
      <w:pPr>
        <w:keepNext w:val="0"/>
        <w:keepLines w:val="0"/>
        <w:pageBreakBefore w:val="0"/>
        <w:widowControl w:val="0"/>
        <w:kinsoku/>
        <w:wordWrap w:val="0"/>
        <w:overflowPunct/>
        <w:topLinePunct/>
        <w:autoSpaceDE/>
        <w:autoSpaceDN/>
        <w:bidi w:val="0"/>
        <w:adjustRightInd w:val="0"/>
        <w:snapToGrid w:val="0"/>
        <w:spacing w:line="360" w:lineRule="auto"/>
        <w:jc w:val="center"/>
        <w:textAlignment w:val="auto"/>
        <w:rPr>
          <w:rFonts w:hint="default"/>
          <w:b/>
          <w:bCs/>
          <w:color w:val="auto"/>
          <w:sz w:val="24"/>
          <w:szCs w:val="32"/>
          <w:lang w:val="en-US" w:eastAsia="zh-CN"/>
        </w:rPr>
      </w:pPr>
      <w:r>
        <w:rPr>
          <w:rFonts w:hint="eastAsia"/>
          <w:b/>
          <w:bCs/>
          <w:color w:val="auto"/>
          <w:sz w:val="24"/>
          <w:szCs w:val="32"/>
          <w:lang w:val="en-US" w:eastAsia="zh-CN"/>
        </w:rPr>
        <w:t>图3-3 项目DA001排气筒</w:t>
      </w:r>
    </w:p>
    <w:p w14:paraId="08381D0D">
      <w:pPr>
        <w:keepNext w:val="0"/>
        <w:keepLines w:val="0"/>
        <w:pageBreakBefore w:val="0"/>
        <w:widowControl w:val="0"/>
        <w:kinsoku/>
        <w:wordWrap w:val="0"/>
        <w:overflowPunct/>
        <w:topLinePunct/>
        <w:autoSpaceDE/>
        <w:autoSpaceDN/>
        <w:bidi w:val="0"/>
        <w:adjustRightInd w:val="0"/>
        <w:snapToGrid w:val="0"/>
        <w:spacing w:line="360" w:lineRule="auto"/>
        <w:ind w:firstLine="480" w:firstLineChars="200"/>
        <w:jc w:val="both"/>
        <w:textAlignment w:val="auto"/>
        <w:rPr>
          <w:rFonts w:hint="default" w:ascii="Times New Roman" w:hAnsi="Times New Roman" w:cs="Times New Roman"/>
          <w:b w:val="0"/>
          <w:bCs w:val="0"/>
          <w:color w:val="auto"/>
          <w:sz w:val="24"/>
          <w:lang w:val="en-US" w:eastAsia="zh-CN"/>
        </w:rPr>
      </w:pPr>
      <w:r>
        <w:rPr>
          <w:rFonts w:hint="eastAsia"/>
          <w:color w:val="auto"/>
          <w:sz w:val="24"/>
          <w:szCs w:val="32"/>
          <w:lang w:val="en-US" w:eastAsia="zh-CN"/>
        </w:rPr>
        <w:t>由于安徽瑞瑟科金属材料有限公司接手该项目后未取得排污许可证，目前未开展例行检测，故本次例行检测数据来源于</w:t>
      </w:r>
      <w:r>
        <w:rPr>
          <w:rFonts w:hint="eastAsia"/>
          <w:color w:val="auto"/>
          <w:kern w:val="24"/>
          <w:sz w:val="24"/>
          <w:lang w:val="en-US" w:eastAsia="zh-CN"/>
        </w:rPr>
        <w:t>安徽省裕康铝业有限公司经营该项目期间开展的例行监测数据，颗粒物、二氧化硫、氮氧化物数据采用安徽省裕康铝业有限公司经营该项目期间2024年8月1日~9月30日在线监测数据。</w:t>
      </w:r>
      <w:r>
        <w:rPr>
          <w:rFonts w:hint="default" w:ascii="Times New Roman" w:hAnsi="Times New Roman" w:cs="Times New Roman"/>
          <w:b w:val="0"/>
          <w:bCs w:val="0"/>
          <w:color w:val="auto"/>
          <w:sz w:val="24"/>
          <w:lang w:val="en-US" w:eastAsia="zh-CN"/>
        </w:rPr>
        <w:t>具体检测结果如下：</w:t>
      </w:r>
    </w:p>
    <w:p w14:paraId="49079B1E">
      <w:pPr>
        <w:wordWrap w:val="0"/>
        <w:topLinePunct/>
        <w:adjustRightInd w:val="0"/>
        <w:snapToGrid w:val="0"/>
        <w:spacing w:line="360" w:lineRule="auto"/>
        <w:jc w:val="center"/>
        <w:rPr>
          <w:b/>
          <w:bCs/>
          <w:color w:val="auto"/>
          <w:sz w:val="24"/>
          <w:szCs w:val="32"/>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778B597C">
      <w:pPr>
        <w:wordWrap w:val="0"/>
        <w:topLinePunct/>
        <w:adjustRightInd w:val="0"/>
        <w:snapToGrid w:val="0"/>
        <w:spacing w:line="360" w:lineRule="auto"/>
        <w:jc w:val="center"/>
        <w:rPr>
          <w:rFonts w:hint="eastAsia"/>
          <w:b/>
          <w:bCs/>
          <w:color w:val="auto"/>
          <w:sz w:val="24"/>
          <w:szCs w:val="32"/>
          <w:lang w:val="en-US" w:eastAsia="zh-CN"/>
        </w:rPr>
      </w:pPr>
      <w:r>
        <w:rPr>
          <w:b/>
          <w:bCs/>
          <w:color w:val="auto"/>
          <w:sz w:val="24"/>
          <w:szCs w:val="32"/>
        </w:rPr>
        <w:t>表3-</w:t>
      </w:r>
      <w:r>
        <w:rPr>
          <w:rFonts w:hint="eastAsia"/>
          <w:b/>
          <w:bCs/>
          <w:color w:val="auto"/>
          <w:sz w:val="24"/>
          <w:szCs w:val="32"/>
          <w:lang w:val="en-US" w:eastAsia="zh-CN"/>
        </w:rPr>
        <w:t>7 DA001排气筒颗粒物、二氧化硫、氮氧化物在线监测数据达标情况一览表</w:t>
      </w:r>
    </w:p>
    <w:tbl>
      <w:tblPr>
        <w:tblStyle w:val="121"/>
        <w:tblW w:w="498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2170"/>
        <w:gridCol w:w="2170"/>
        <w:gridCol w:w="2170"/>
        <w:gridCol w:w="2170"/>
        <w:gridCol w:w="2170"/>
        <w:gridCol w:w="2170"/>
      </w:tblGrid>
      <w:tr w14:paraId="58E274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Merge w:val="restart"/>
            <w:vAlign w:val="center"/>
          </w:tcPr>
          <w:p w14:paraId="57D70C5C">
            <w:pPr>
              <w:pStyle w:val="9"/>
              <w:spacing w:after="0"/>
              <w:jc w:val="center"/>
              <w:rPr>
                <w:b/>
                <w:bCs/>
                <w:color w:val="auto"/>
                <w:kern w:val="0"/>
                <w:szCs w:val="21"/>
              </w:rPr>
            </w:pPr>
            <w:r>
              <w:rPr>
                <w:rFonts w:hint="eastAsia"/>
                <w:b/>
                <w:bCs/>
                <w:color w:val="auto"/>
                <w:kern w:val="0"/>
                <w:szCs w:val="21"/>
              </w:rPr>
              <w:t>时间</w:t>
            </w:r>
          </w:p>
        </w:tc>
        <w:tc>
          <w:tcPr>
            <w:tcW w:w="1534" w:type="pct"/>
            <w:gridSpan w:val="2"/>
            <w:vAlign w:val="center"/>
          </w:tcPr>
          <w:p w14:paraId="49729C79">
            <w:pPr>
              <w:pStyle w:val="9"/>
              <w:spacing w:after="0"/>
              <w:jc w:val="center"/>
              <w:rPr>
                <w:b/>
                <w:bCs/>
                <w:color w:val="auto"/>
                <w:kern w:val="0"/>
                <w:szCs w:val="21"/>
              </w:rPr>
            </w:pPr>
            <w:r>
              <w:rPr>
                <w:rFonts w:hint="eastAsia"/>
                <w:b/>
                <w:bCs/>
                <w:color w:val="auto"/>
                <w:kern w:val="0"/>
                <w:szCs w:val="21"/>
              </w:rPr>
              <w:t>烟尘</w:t>
            </w:r>
          </w:p>
        </w:tc>
        <w:tc>
          <w:tcPr>
            <w:tcW w:w="1534" w:type="pct"/>
            <w:gridSpan w:val="2"/>
            <w:vAlign w:val="center"/>
          </w:tcPr>
          <w:p w14:paraId="076AF305">
            <w:pPr>
              <w:pStyle w:val="9"/>
              <w:spacing w:after="0"/>
              <w:jc w:val="center"/>
              <w:rPr>
                <w:b/>
                <w:bCs/>
                <w:color w:val="auto"/>
                <w:kern w:val="0"/>
                <w:szCs w:val="21"/>
              </w:rPr>
            </w:pPr>
            <w:r>
              <w:rPr>
                <w:rFonts w:hint="eastAsia"/>
                <w:b/>
                <w:bCs/>
                <w:color w:val="auto"/>
                <w:kern w:val="0"/>
                <w:szCs w:val="21"/>
              </w:rPr>
              <w:t>二氧化硫</w:t>
            </w:r>
          </w:p>
        </w:tc>
        <w:tc>
          <w:tcPr>
            <w:tcW w:w="1534" w:type="pct"/>
            <w:gridSpan w:val="2"/>
            <w:vAlign w:val="center"/>
          </w:tcPr>
          <w:p w14:paraId="04A134C5">
            <w:pPr>
              <w:pStyle w:val="9"/>
              <w:spacing w:after="0"/>
              <w:jc w:val="center"/>
              <w:rPr>
                <w:b/>
                <w:bCs/>
                <w:color w:val="auto"/>
                <w:kern w:val="0"/>
                <w:szCs w:val="21"/>
              </w:rPr>
            </w:pPr>
            <w:r>
              <w:rPr>
                <w:rFonts w:hint="eastAsia"/>
                <w:b/>
                <w:bCs/>
                <w:color w:val="auto"/>
                <w:kern w:val="0"/>
                <w:szCs w:val="21"/>
              </w:rPr>
              <w:t>氮氧化物</w:t>
            </w:r>
          </w:p>
        </w:tc>
      </w:tr>
      <w:tr w14:paraId="6E29E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97" w:type="pct"/>
            <w:vMerge w:val="continue"/>
            <w:vAlign w:val="center"/>
          </w:tcPr>
          <w:p w14:paraId="1F09BA72">
            <w:pPr>
              <w:pStyle w:val="9"/>
              <w:spacing w:after="0"/>
              <w:jc w:val="center"/>
              <w:rPr>
                <w:b/>
                <w:bCs/>
                <w:color w:val="auto"/>
                <w:kern w:val="0"/>
                <w:szCs w:val="21"/>
              </w:rPr>
            </w:pPr>
          </w:p>
        </w:tc>
        <w:tc>
          <w:tcPr>
            <w:tcW w:w="767" w:type="pct"/>
            <w:vAlign w:val="center"/>
          </w:tcPr>
          <w:p w14:paraId="23A05E16">
            <w:pPr>
              <w:pStyle w:val="9"/>
              <w:spacing w:after="0" w:line="240" w:lineRule="auto"/>
              <w:jc w:val="center"/>
              <w:rPr>
                <w:b/>
                <w:bCs/>
                <w:color w:val="auto"/>
                <w:kern w:val="0"/>
                <w:szCs w:val="21"/>
              </w:rPr>
            </w:pPr>
            <w:r>
              <w:rPr>
                <w:rFonts w:hint="eastAsia"/>
                <w:b/>
                <w:bCs/>
                <w:color w:val="auto"/>
                <w:kern w:val="0"/>
                <w:szCs w:val="21"/>
              </w:rPr>
              <w:t>浓度</w:t>
            </w:r>
            <w:r>
              <w:rPr>
                <w:b/>
                <w:bCs/>
                <w:color w:val="auto"/>
                <w:kern w:val="0"/>
                <w:szCs w:val="21"/>
              </w:rPr>
              <w:t>mg/m</w:t>
            </w:r>
            <w:r>
              <w:rPr>
                <w:b/>
                <w:bCs/>
                <w:color w:val="auto"/>
                <w:kern w:val="0"/>
                <w:szCs w:val="21"/>
                <w:vertAlign w:val="superscript"/>
              </w:rPr>
              <w:t>3</w:t>
            </w:r>
          </w:p>
        </w:tc>
        <w:tc>
          <w:tcPr>
            <w:tcW w:w="767" w:type="pct"/>
            <w:vAlign w:val="center"/>
          </w:tcPr>
          <w:p w14:paraId="6CF893D6">
            <w:pPr>
              <w:pStyle w:val="9"/>
              <w:spacing w:after="0" w:line="240" w:lineRule="auto"/>
              <w:jc w:val="center"/>
              <w:rPr>
                <w:b/>
                <w:bCs/>
                <w:color w:val="auto"/>
                <w:kern w:val="0"/>
                <w:szCs w:val="21"/>
              </w:rPr>
            </w:pPr>
            <w:r>
              <w:rPr>
                <w:rFonts w:hint="eastAsia"/>
                <w:b/>
                <w:bCs/>
                <w:color w:val="auto"/>
                <w:kern w:val="0"/>
                <w:szCs w:val="21"/>
              </w:rPr>
              <w:t>排放量k</w:t>
            </w:r>
            <w:r>
              <w:rPr>
                <w:b/>
                <w:bCs/>
                <w:color w:val="auto"/>
                <w:kern w:val="0"/>
                <w:szCs w:val="21"/>
              </w:rPr>
              <w:t>g/d</w:t>
            </w:r>
          </w:p>
        </w:tc>
        <w:tc>
          <w:tcPr>
            <w:tcW w:w="767" w:type="pct"/>
            <w:vAlign w:val="center"/>
          </w:tcPr>
          <w:p w14:paraId="02EFB41B">
            <w:pPr>
              <w:pStyle w:val="9"/>
              <w:spacing w:after="0" w:line="240" w:lineRule="auto"/>
              <w:jc w:val="center"/>
              <w:rPr>
                <w:b/>
                <w:bCs/>
                <w:color w:val="auto"/>
                <w:kern w:val="0"/>
                <w:szCs w:val="21"/>
              </w:rPr>
            </w:pPr>
            <w:r>
              <w:rPr>
                <w:rFonts w:hint="eastAsia"/>
                <w:b/>
                <w:bCs/>
                <w:color w:val="auto"/>
                <w:kern w:val="0"/>
                <w:szCs w:val="21"/>
              </w:rPr>
              <w:t>浓度</w:t>
            </w:r>
            <w:r>
              <w:rPr>
                <w:b/>
                <w:bCs/>
                <w:color w:val="auto"/>
                <w:kern w:val="0"/>
                <w:szCs w:val="21"/>
              </w:rPr>
              <w:t>mg/m</w:t>
            </w:r>
            <w:r>
              <w:rPr>
                <w:b/>
                <w:bCs/>
                <w:color w:val="auto"/>
                <w:kern w:val="0"/>
                <w:szCs w:val="21"/>
                <w:vertAlign w:val="superscript"/>
              </w:rPr>
              <w:t>3</w:t>
            </w:r>
          </w:p>
        </w:tc>
        <w:tc>
          <w:tcPr>
            <w:tcW w:w="767" w:type="pct"/>
            <w:vAlign w:val="center"/>
          </w:tcPr>
          <w:p w14:paraId="163B5A1A">
            <w:pPr>
              <w:pStyle w:val="9"/>
              <w:spacing w:after="0" w:line="240" w:lineRule="auto"/>
              <w:jc w:val="center"/>
              <w:rPr>
                <w:b/>
                <w:bCs/>
                <w:color w:val="auto"/>
                <w:kern w:val="0"/>
                <w:szCs w:val="21"/>
              </w:rPr>
            </w:pPr>
            <w:r>
              <w:rPr>
                <w:rFonts w:hint="eastAsia"/>
                <w:b/>
                <w:bCs/>
                <w:color w:val="auto"/>
                <w:kern w:val="0"/>
                <w:szCs w:val="21"/>
              </w:rPr>
              <w:t>排放量k</w:t>
            </w:r>
            <w:r>
              <w:rPr>
                <w:b/>
                <w:bCs/>
                <w:color w:val="auto"/>
                <w:kern w:val="0"/>
                <w:szCs w:val="21"/>
              </w:rPr>
              <w:t>g/d</w:t>
            </w:r>
          </w:p>
        </w:tc>
        <w:tc>
          <w:tcPr>
            <w:tcW w:w="767" w:type="pct"/>
            <w:vAlign w:val="center"/>
          </w:tcPr>
          <w:p w14:paraId="51C719F2">
            <w:pPr>
              <w:pStyle w:val="9"/>
              <w:spacing w:after="0" w:line="240" w:lineRule="auto"/>
              <w:jc w:val="center"/>
              <w:rPr>
                <w:b/>
                <w:bCs/>
                <w:color w:val="auto"/>
                <w:kern w:val="0"/>
                <w:szCs w:val="21"/>
              </w:rPr>
            </w:pPr>
            <w:r>
              <w:rPr>
                <w:rFonts w:hint="eastAsia"/>
                <w:b/>
                <w:bCs/>
                <w:color w:val="auto"/>
                <w:kern w:val="0"/>
                <w:szCs w:val="21"/>
              </w:rPr>
              <w:t>浓度</w:t>
            </w:r>
            <w:r>
              <w:rPr>
                <w:b/>
                <w:bCs/>
                <w:color w:val="auto"/>
                <w:kern w:val="0"/>
                <w:szCs w:val="21"/>
              </w:rPr>
              <w:t>mg/m</w:t>
            </w:r>
            <w:r>
              <w:rPr>
                <w:b/>
                <w:bCs/>
                <w:color w:val="auto"/>
                <w:kern w:val="0"/>
                <w:szCs w:val="21"/>
                <w:vertAlign w:val="superscript"/>
              </w:rPr>
              <w:t>3</w:t>
            </w:r>
          </w:p>
        </w:tc>
        <w:tc>
          <w:tcPr>
            <w:tcW w:w="767" w:type="pct"/>
            <w:vAlign w:val="center"/>
          </w:tcPr>
          <w:p w14:paraId="7F870D5E">
            <w:pPr>
              <w:pStyle w:val="9"/>
              <w:spacing w:after="0" w:line="240" w:lineRule="auto"/>
              <w:jc w:val="center"/>
              <w:rPr>
                <w:b/>
                <w:bCs/>
                <w:color w:val="auto"/>
                <w:kern w:val="0"/>
                <w:szCs w:val="21"/>
              </w:rPr>
            </w:pPr>
            <w:r>
              <w:rPr>
                <w:rFonts w:hint="eastAsia"/>
                <w:b/>
                <w:bCs/>
                <w:color w:val="auto"/>
                <w:kern w:val="0"/>
                <w:szCs w:val="21"/>
              </w:rPr>
              <w:t>排放量k</w:t>
            </w:r>
            <w:r>
              <w:rPr>
                <w:b/>
                <w:bCs/>
                <w:color w:val="auto"/>
                <w:kern w:val="0"/>
                <w:szCs w:val="21"/>
              </w:rPr>
              <w:t>g/d</w:t>
            </w:r>
          </w:p>
        </w:tc>
      </w:tr>
      <w:tr w14:paraId="605D77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7" w:type="pct"/>
            <w:vAlign w:val="center"/>
          </w:tcPr>
          <w:p w14:paraId="41DB805C">
            <w:pPr>
              <w:jc w:val="center"/>
              <w:rPr>
                <w:color w:val="auto"/>
                <w:kern w:val="0"/>
                <w:szCs w:val="21"/>
              </w:rPr>
            </w:pPr>
            <w:r>
              <w:rPr>
                <w:rFonts w:hint="eastAsia" w:cs="Times New Roman"/>
                <w:color w:val="auto"/>
                <w:lang w:val="en-US" w:eastAsia="zh-CN"/>
              </w:rPr>
              <w:t>8月1</w:t>
            </w:r>
            <w:r>
              <w:rPr>
                <w:rFonts w:hint="default" w:ascii="Times New Roman" w:hAnsi="Times New Roman" w:cs="Times New Roman"/>
                <w:color w:val="auto"/>
                <w:lang w:val="en-US" w:eastAsia="zh-CN"/>
              </w:rPr>
              <w:t>日</w:t>
            </w:r>
          </w:p>
        </w:tc>
        <w:tc>
          <w:tcPr>
            <w:tcW w:w="2170" w:type="dxa"/>
            <w:vAlign w:val="center"/>
          </w:tcPr>
          <w:p w14:paraId="4E545FF4">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4.834</w:t>
            </w:r>
          </w:p>
        </w:tc>
        <w:tc>
          <w:tcPr>
            <w:tcW w:w="2170" w:type="dxa"/>
            <w:shd w:val="clear" w:color="auto" w:fill="auto"/>
            <w:vAlign w:val="center"/>
          </w:tcPr>
          <w:p w14:paraId="17B2271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13.046</w:t>
            </w:r>
          </w:p>
        </w:tc>
        <w:tc>
          <w:tcPr>
            <w:tcW w:w="2170" w:type="dxa"/>
            <w:vAlign w:val="center"/>
          </w:tcPr>
          <w:p w14:paraId="59894978">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8.703</w:t>
            </w:r>
          </w:p>
        </w:tc>
        <w:tc>
          <w:tcPr>
            <w:tcW w:w="2170" w:type="dxa"/>
            <w:shd w:val="clear" w:color="auto" w:fill="auto"/>
            <w:vAlign w:val="center"/>
          </w:tcPr>
          <w:p w14:paraId="234891DD">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23.487</w:t>
            </w:r>
          </w:p>
        </w:tc>
        <w:tc>
          <w:tcPr>
            <w:tcW w:w="2170" w:type="dxa"/>
            <w:shd w:val="clear" w:color="auto" w:fill="auto"/>
            <w:vAlign w:val="center"/>
          </w:tcPr>
          <w:p w14:paraId="04DA941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12.515</w:t>
            </w:r>
          </w:p>
        </w:tc>
        <w:tc>
          <w:tcPr>
            <w:tcW w:w="2170" w:type="dxa"/>
            <w:shd w:val="clear" w:color="auto" w:fill="auto"/>
            <w:vAlign w:val="center"/>
          </w:tcPr>
          <w:p w14:paraId="0B322585">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33.775</w:t>
            </w:r>
          </w:p>
        </w:tc>
      </w:tr>
      <w:tr w14:paraId="7422C1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213B2FD">
            <w:pPr>
              <w:jc w:val="center"/>
              <w:rPr>
                <w:color w:val="auto"/>
                <w:kern w:val="0"/>
                <w:szCs w:val="21"/>
              </w:rPr>
            </w:pPr>
            <w:r>
              <w:rPr>
                <w:rFonts w:hint="eastAsia" w:cs="Times New Roman"/>
                <w:color w:val="auto"/>
                <w:lang w:val="en-US" w:eastAsia="zh-CN"/>
              </w:rPr>
              <w:t>8月2</w:t>
            </w:r>
            <w:r>
              <w:rPr>
                <w:rFonts w:hint="default" w:ascii="Times New Roman" w:hAnsi="Times New Roman" w:cs="Times New Roman"/>
                <w:color w:val="auto"/>
                <w:lang w:val="en-US" w:eastAsia="zh-CN"/>
              </w:rPr>
              <w:t>日</w:t>
            </w:r>
          </w:p>
        </w:tc>
        <w:tc>
          <w:tcPr>
            <w:tcW w:w="2170" w:type="dxa"/>
            <w:vAlign w:val="center"/>
          </w:tcPr>
          <w:p w14:paraId="504AA12F">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5.18</w:t>
            </w:r>
          </w:p>
        </w:tc>
        <w:tc>
          <w:tcPr>
            <w:tcW w:w="2170" w:type="dxa"/>
            <w:shd w:val="clear" w:color="auto" w:fill="auto"/>
            <w:vAlign w:val="center"/>
          </w:tcPr>
          <w:p w14:paraId="52C90B68">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13.331</w:t>
            </w:r>
          </w:p>
        </w:tc>
        <w:tc>
          <w:tcPr>
            <w:tcW w:w="2170" w:type="dxa"/>
            <w:vAlign w:val="center"/>
          </w:tcPr>
          <w:p w14:paraId="655E966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4.924</w:t>
            </w:r>
          </w:p>
        </w:tc>
        <w:tc>
          <w:tcPr>
            <w:tcW w:w="2170" w:type="dxa"/>
            <w:shd w:val="clear" w:color="auto" w:fill="auto"/>
            <w:vAlign w:val="center"/>
          </w:tcPr>
          <w:p w14:paraId="46592B3D">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12.672</w:t>
            </w:r>
          </w:p>
        </w:tc>
        <w:tc>
          <w:tcPr>
            <w:tcW w:w="2170" w:type="dxa"/>
            <w:shd w:val="clear" w:color="auto" w:fill="auto"/>
            <w:vAlign w:val="center"/>
          </w:tcPr>
          <w:p w14:paraId="70390A6B">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19.493</w:t>
            </w:r>
          </w:p>
        </w:tc>
        <w:tc>
          <w:tcPr>
            <w:tcW w:w="2170" w:type="dxa"/>
            <w:shd w:val="clear" w:color="auto" w:fill="auto"/>
            <w:vAlign w:val="center"/>
          </w:tcPr>
          <w:p w14:paraId="47464EEC">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50.167</w:t>
            </w:r>
          </w:p>
        </w:tc>
      </w:tr>
      <w:tr w14:paraId="7D3F60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E523D1D">
            <w:pPr>
              <w:jc w:val="center"/>
              <w:rPr>
                <w:color w:val="auto"/>
                <w:kern w:val="0"/>
                <w:szCs w:val="21"/>
              </w:rPr>
            </w:pPr>
            <w:r>
              <w:rPr>
                <w:rFonts w:hint="eastAsia" w:cs="Times New Roman"/>
                <w:color w:val="auto"/>
                <w:lang w:val="en-US" w:eastAsia="zh-CN"/>
              </w:rPr>
              <w:t>8月3</w:t>
            </w:r>
            <w:r>
              <w:rPr>
                <w:rFonts w:hint="default" w:ascii="Times New Roman" w:hAnsi="Times New Roman" w:cs="Times New Roman"/>
                <w:color w:val="auto"/>
                <w:lang w:val="en-US" w:eastAsia="zh-CN"/>
              </w:rPr>
              <w:t>日</w:t>
            </w:r>
          </w:p>
        </w:tc>
        <w:tc>
          <w:tcPr>
            <w:tcW w:w="2170" w:type="dxa"/>
            <w:vAlign w:val="center"/>
          </w:tcPr>
          <w:p w14:paraId="317D85BD">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5.163</w:t>
            </w:r>
          </w:p>
        </w:tc>
        <w:tc>
          <w:tcPr>
            <w:tcW w:w="2170" w:type="dxa"/>
            <w:shd w:val="clear" w:color="auto" w:fill="auto"/>
            <w:vAlign w:val="center"/>
          </w:tcPr>
          <w:p w14:paraId="11204832">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13.685</w:t>
            </w:r>
          </w:p>
        </w:tc>
        <w:tc>
          <w:tcPr>
            <w:tcW w:w="2170" w:type="dxa"/>
            <w:vAlign w:val="center"/>
          </w:tcPr>
          <w:p w14:paraId="4673ED09">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5.95</w:t>
            </w:r>
          </w:p>
        </w:tc>
        <w:tc>
          <w:tcPr>
            <w:tcW w:w="2170" w:type="dxa"/>
            <w:shd w:val="clear" w:color="auto" w:fill="auto"/>
            <w:vAlign w:val="center"/>
          </w:tcPr>
          <w:p w14:paraId="0B5B251B">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15.771</w:t>
            </w:r>
          </w:p>
        </w:tc>
        <w:tc>
          <w:tcPr>
            <w:tcW w:w="2170" w:type="dxa"/>
            <w:shd w:val="clear" w:color="auto" w:fill="auto"/>
            <w:vAlign w:val="center"/>
          </w:tcPr>
          <w:p w14:paraId="505D89E2">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19.426</w:t>
            </w:r>
          </w:p>
        </w:tc>
        <w:tc>
          <w:tcPr>
            <w:tcW w:w="2170" w:type="dxa"/>
            <w:shd w:val="clear" w:color="auto" w:fill="auto"/>
            <w:vAlign w:val="center"/>
          </w:tcPr>
          <w:p w14:paraId="7285F25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51.489</w:t>
            </w:r>
          </w:p>
        </w:tc>
      </w:tr>
      <w:tr w14:paraId="492682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E91CB3A">
            <w:pPr>
              <w:jc w:val="center"/>
              <w:rPr>
                <w:color w:val="auto"/>
                <w:kern w:val="0"/>
                <w:szCs w:val="21"/>
              </w:rPr>
            </w:pPr>
            <w:r>
              <w:rPr>
                <w:rFonts w:hint="eastAsia" w:cs="Times New Roman"/>
                <w:color w:val="auto"/>
                <w:lang w:val="en-US" w:eastAsia="zh-CN"/>
              </w:rPr>
              <w:t>8月4</w:t>
            </w:r>
            <w:r>
              <w:rPr>
                <w:rFonts w:hint="default" w:ascii="Times New Roman" w:hAnsi="Times New Roman" w:cs="Times New Roman"/>
                <w:color w:val="auto"/>
                <w:lang w:val="en-US" w:eastAsia="zh-CN"/>
              </w:rPr>
              <w:t>日</w:t>
            </w:r>
          </w:p>
        </w:tc>
        <w:tc>
          <w:tcPr>
            <w:tcW w:w="2170" w:type="dxa"/>
            <w:vAlign w:val="center"/>
          </w:tcPr>
          <w:p w14:paraId="3B45F1FF">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4.965</w:t>
            </w:r>
          </w:p>
        </w:tc>
        <w:tc>
          <w:tcPr>
            <w:tcW w:w="2170" w:type="dxa"/>
            <w:shd w:val="clear" w:color="auto" w:fill="auto"/>
            <w:vAlign w:val="center"/>
          </w:tcPr>
          <w:p w14:paraId="6A3293DD">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12.686</w:t>
            </w:r>
          </w:p>
        </w:tc>
        <w:tc>
          <w:tcPr>
            <w:tcW w:w="2170" w:type="dxa"/>
            <w:vAlign w:val="center"/>
          </w:tcPr>
          <w:p w14:paraId="4F7058CD">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5.159</w:t>
            </w:r>
          </w:p>
        </w:tc>
        <w:tc>
          <w:tcPr>
            <w:tcW w:w="2170" w:type="dxa"/>
            <w:shd w:val="clear" w:color="auto" w:fill="auto"/>
            <w:vAlign w:val="center"/>
          </w:tcPr>
          <w:p w14:paraId="47582E1A">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13.182</w:t>
            </w:r>
          </w:p>
        </w:tc>
        <w:tc>
          <w:tcPr>
            <w:tcW w:w="2170" w:type="dxa"/>
            <w:shd w:val="clear" w:color="auto" w:fill="auto"/>
            <w:vAlign w:val="center"/>
          </w:tcPr>
          <w:p w14:paraId="171B2521">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15.482</w:t>
            </w:r>
          </w:p>
        </w:tc>
        <w:tc>
          <w:tcPr>
            <w:tcW w:w="2170" w:type="dxa"/>
            <w:shd w:val="clear" w:color="auto" w:fill="auto"/>
            <w:vAlign w:val="center"/>
          </w:tcPr>
          <w:p w14:paraId="77902F2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39.558</w:t>
            </w:r>
          </w:p>
        </w:tc>
      </w:tr>
      <w:tr w14:paraId="07F644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3CA4B59">
            <w:pPr>
              <w:jc w:val="center"/>
              <w:rPr>
                <w:color w:val="auto"/>
                <w:kern w:val="0"/>
                <w:szCs w:val="21"/>
              </w:rPr>
            </w:pPr>
            <w:r>
              <w:rPr>
                <w:rFonts w:hint="eastAsia" w:cs="Times New Roman"/>
                <w:color w:val="auto"/>
                <w:lang w:val="en-US" w:eastAsia="zh-CN"/>
              </w:rPr>
              <w:t>8月5</w:t>
            </w:r>
            <w:r>
              <w:rPr>
                <w:rFonts w:hint="default" w:ascii="Times New Roman" w:hAnsi="Times New Roman" w:cs="Times New Roman"/>
                <w:color w:val="auto"/>
                <w:lang w:val="en-US" w:eastAsia="zh-CN"/>
              </w:rPr>
              <w:t>日</w:t>
            </w:r>
          </w:p>
        </w:tc>
        <w:tc>
          <w:tcPr>
            <w:tcW w:w="2170" w:type="dxa"/>
            <w:vAlign w:val="center"/>
          </w:tcPr>
          <w:p w14:paraId="715761A1">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5.517</w:t>
            </w:r>
          </w:p>
        </w:tc>
        <w:tc>
          <w:tcPr>
            <w:tcW w:w="2170" w:type="dxa"/>
            <w:shd w:val="clear" w:color="auto" w:fill="auto"/>
            <w:vAlign w:val="center"/>
          </w:tcPr>
          <w:p w14:paraId="3C48041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14.81</w:t>
            </w:r>
          </w:p>
        </w:tc>
        <w:tc>
          <w:tcPr>
            <w:tcW w:w="2170" w:type="dxa"/>
            <w:vAlign w:val="center"/>
          </w:tcPr>
          <w:p w14:paraId="45E5CC36">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15.727</w:t>
            </w:r>
          </w:p>
        </w:tc>
        <w:tc>
          <w:tcPr>
            <w:tcW w:w="2170" w:type="dxa"/>
            <w:shd w:val="clear" w:color="auto" w:fill="auto"/>
            <w:vAlign w:val="center"/>
          </w:tcPr>
          <w:p w14:paraId="693044E7">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42.223</w:t>
            </w:r>
          </w:p>
        </w:tc>
        <w:tc>
          <w:tcPr>
            <w:tcW w:w="2170" w:type="dxa"/>
            <w:shd w:val="clear" w:color="auto" w:fill="auto"/>
            <w:vAlign w:val="center"/>
          </w:tcPr>
          <w:p w14:paraId="5BA5B93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13.699</w:t>
            </w:r>
          </w:p>
        </w:tc>
        <w:tc>
          <w:tcPr>
            <w:tcW w:w="2170" w:type="dxa"/>
            <w:shd w:val="clear" w:color="auto" w:fill="auto"/>
            <w:vAlign w:val="center"/>
          </w:tcPr>
          <w:p w14:paraId="7A52855F">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36.777</w:t>
            </w:r>
          </w:p>
        </w:tc>
      </w:tr>
      <w:tr w14:paraId="337F3C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415B356">
            <w:pPr>
              <w:jc w:val="center"/>
              <w:rPr>
                <w:rFonts w:hint="eastAsia" w:cs="Times New Roman"/>
                <w:color w:val="auto"/>
                <w:lang w:val="en-US" w:eastAsia="zh-CN"/>
              </w:rPr>
            </w:pPr>
            <w:r>
              <w:rPr>
                <w:rFonts w:hint="eastAsia" w:cs="Times New Roman"/>
                <w:color w:val="auto"/>
                <w:lang w:val="en-US" w:eastAsia="zh-CN"/>
              </w:rPr>
              <w:t>8月6</w:t>
            </w:r>
            <w:r>
              <w:rPr>
                <w:rFonts w:hint="default" w:ascii="Times New Roman" w:hAnsi="Times New Roman" w:cs="Times New Roman"/>
                <w:color w:val="auto"/>
                <w:lang w:val="en-US" w:eastAsia="zh-CN"/>
              </w:rPr>
              <w:t>日</w:t>
            </w:r>
          </w:p>
        </w:tc>
        <w:tc>
          <w:tcPr>
            <w:tcW w:w="2170" w:type="dxa"/>
            <w:vAlign w:val="center"/>
          </w:tcPr>
          <w:p w14:paraId="4AFF91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3.839</w:t>
            </w:r>
          </w:p>
        </w:tc>
        <w:tc>
          <w:tcPr>
            <w:tcW w:w="2170" w:type="dxa"/>
            <w:shd w:val="clear" w:color="auto" w:fill="auto"/>
            <w:vAlign w:val="center"/>
          </w:tcPr>
          <w:p w14:paraId="445B6B7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0.835</w:t>
            </w:r>
          </w:p>
        </w:tc>
        <w:tc>
          <w:tcPr>
            <w:tcW w:w="2170" w:type="dxa"/>
            <w:vAlign w:val="center"/>
          </w:tcPr>
          <w:p w14:paraId="104E308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2.423</w:t>
            </w:r>
          </w:p>
        </w:tc>
        <w:tc>
          <w:tcPr>
            <w:tcW w:w="2170" w:type="dxa"/>
            <w:shd w:val="clear" w:color="auto" w:fill="auto"/>
            <w:vAlign w:val="center"/>
          </w:tcPr>
          <w:p w14:paraId="46C60F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0.527</w:t>
            </w:r>
          </w:p>
        </w:tc>
        <w:tc>
          <w:tcPr>
            <w:tcW w:w="2170" w:type="dxa"/>
            <w:shd w:val="clear" w:color="auto" w:fill="auto"/>
            <w:vAlign w:val="center"/>
          </w:tcPr>
          <w:p w14:paraId="574AAE2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1.148</w:t>
            </w:r>
          </w:p>
        </w:tc>
        <w:tc>
          <w:tcPr>
            <w:tcW w:w="2170" w:type="dxa"/>
            <w:shd w:val="clear" w:color="auto" w:fill="auto"/>
            <w:vAlign w:val="center"/>
          </w:tcPr>
          <w:p w14:paraId="673338B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0.25</w:t>
            </w:r>
          </w:p>
        </w:tc>
      </w:tr>
      <w:tr w14:paraId="6D9493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EA7CB24">
            <w:pPr>
              <w:jc w:val="center"/>
              <w:rPr>
                <w:rFonts w:hint="eastAsia" w:cs="Times New Roman"/>
                <w:color w:val="auto"/>
                <w:lang w:val="en-US" w:eastAsia="zh-CN"/>
              </w:rPr>
            </w:pPr>
            <w:r>
              <w:rPr>
                <w:rFonts w:hint="eastAsia" w:cs="Times New Roman"/>
                <w:color w:val="auto"/>
                <w:lang w:val="en-US" w:eastAsia="zh-CN"/>
              </w:rPr>
              <w:t>8月7</w:t>
            </w:r>
            <w:r>
              <w:rPr>
                <w:rFonts w:hint="default" w:ascii="Times New Roman" w:hAnsi="Times New Roman" w:cs="Times New Roman"/>
                <w:color w:val="auto"/>
                <w:lang w:val="en-US" w:eastAsia="zh-CN"/>
              </w:rPr>
              <w:t>日</w:t>
            </w:r>
          </w:p>
        </w:tc>
        <w:tc>
          <w:tcPr>
            <w:tcW w:w="2170" w:type="dxa"/>
            <w:vAlign w:val="center"/>
          </w:tcPr>
          <w:p w14:paraId="24E971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4.49</w:t>
            </w:r>
          </w:p>
        </w:tc>
        <w:tc>
          <w:tcPr>
            <w:tcW w:w="2170" w:type="dxa"/>
            <w:shd w:val="clear" w:color="auto" w:fill="auto"/>
            <w:vAlign w:val="center"/>
          </w:tcPr>
          <w:p w14:paraId="3D76209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4.845</w:t>
            </w:r>
          </w:p>
        </w:tc>
        <w:tc>
          <w:tcPr>
            <w:tcW w:w="2170" w:type="dxa"/>
            <w:vAlign w:val="center"/>
          </w:tcPr>
          <w:p w14:paraId="2DA8AF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6.931</w:t>
            </w:r>
          </w:p>
        </w:tc>
        <w:tc>
          <w:tcPr>
            <w:tcW w:w="2170" w:type="dxa"/>
            <w:shd w:val="clear" w:color="auto" w:fill="auto"/>
            <w:vAlign w:val="center"/>
          </w:tcPr>
          <w:p w14:paraId="0A902C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7.478</w:t>
            </w:r>
          </w:p>
        </w:tc>
        <w:tc>
          <w:tcPr>
            <w:tcW w:w="2170" w:type="dxa"/>
            <w:shd w:val="clear" w:color="auto" w:fill="auto"/>
            <w:vAlign w:val="center"/>
          </w:tcPr>
          <w:p w14:paraId="4C13267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10.205</w:t>
            </w:r>
          </w:p>
        </w:tc>
        <w:tc>
          <w:tcPr>
            <w:tcW w:w="2170" w:type="dxa"/>
            <w:shd w:val="clear" w:color="auto" w:fill="auto"/>
            <w:vAlign w:val="center"/>
          </w:tcPr>
          <w:p w14:paraId="55DF9D4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11.011</w:t>
            </w:r>
          </w:p>
        </w:tc>
      </w:tr>
      <w:tr w14:paraId="599C81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395A345">
            <w:pPr>
              <w:jc w:val="center"/>
              <w:rPr>
                <w:rFonts w:hint="eastAsia" w:cs="Times New Roman"/>
                <w:color w:val="auto"/>
                <w:lang w:val="en-US" w:eastAsia="zh-CN"/>
              </w:rPr>
            </w:pPr>
            <w:r>
              <w:rPr>
                <w:rFonts w:hint="eastAsia" w:cs="Times New Roman"/>
                <w:color w:val="auto"/>
                <w:lang w:val="en-US" w:eastAsia="zh-CN"/>
              </w:rPr>
              <w:t>8月8</w:t>
            </w:r>
            <w:r>
              <w:rPr>
                <w:rFonts w:hint="default" w:ascii="Times New Roman" w:hAnsi="Times New Roman" w:cs="Times New Roman"/>
                <w:color w:val="auto"/>
                <w:lang w:val="en-US" w:eastAsia="zh-CN"/>
              </w:rPr>
              <w:t>日</w:t>
            </w:r>
          </w:p>
        </w:tc>
        <w:tc>
          <w:tcPr>
            <w:tcW w:w="2170" w:type="dxa"/>
            <w:vAlign w:val="center"/>
          </w:tcPr>
          <w:p w14:paraId="0D3AC78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4.801</w:t>
            </w:r>
          </w:p>
        </w:tc>
        <w:tc>
          <w:tcPr>
            <w:tcW w:w="2170" w:type="dxa"/>
            <w:shd w:val="clear" w:color="auto" w:fill="auto"/>
            <w:vAlign w:val="center"/>
          </w:tcPr>
          <w:p w14:paraId="1EE35A8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12.954</w:t>
            </w:r>
          </w:p>
        </w:tc>
        <w:tc>
          <w:tcPr>
            <w:tcW w:w="2170" w:type="dxa"/>
            <w:vAlign w:val="center"/>
          </w:tcPr>
          <w:p w14:paraId="5BA1263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11.392</w:t>
            </w:r>
          </w:p>
        </w:tc>
        <w:tc>
          <w:tcPr>
            <w:tcW w:w="2170" w:type="dxa"/>
            <w:shd w:val="clear" w:color="auto" w:fill="auto"/>
            <w:vAlign w:val="center"/>
          </w:tcPr>
          <w:p w14:paraId="60CAD5B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30.737</w:t>
            </w:r>
          </w:p>
        </w:tc>
        <w:tc>
          <w:tcPr>
            <w:tcW w:w="2170" w:type="dxa"/>
            <w:shd w:val="clear" w:color="auto" w:fill="auto"/>
            <w:vAlign w:val="center"/>
          </w:tcPr>
          <w:p w14:paraId="02EB2A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19.751</w:t>
            </w:r>
          </w:p>
        </w:tc>
        <w:tc>
          <w:tcPr>
            <w:tcW w:w="2170" w:type="dxa"/>
            <w:shd w:val="clear" w:color="auto" w:fill="auto"/>
            <w:vAlign w:val="center"/>
          </w:tcPr>
          <w:p w14:paraId="28BA3BF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53.293</w:t>
            </w:r>
          </w:p>
        </w:tc>
      </w:tr>
      <w:tr w14:paraId="781BA5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DDA7D74">
            <w:pPr>
              <w:jc w:val="center"/>
              <w:rPr>
                <w:rFonts w:hint="eastAsia" w:cs="Times New Roman"/>
                <w:color w:val="auto"/>
                <w:lang w:val="en-US" w:eastAsia="zh-CN"/>
              </w:rPr>
            </w:pPr>
            <w:r>
              <w:rPr>
                <w:rFonts w:hint="eastAsia" w:cs="Times New Roman"/>
                <w:color w:val="auto"/>
                <w:lang w:val="en-US" w:eastAsia="zh-CN"/>
              </w:rPr>
              <w:t>8月9</w:t>
            </w:r>
            <w:r>
              <w:rPr>
                <w:rFonts w:hint="default" w:ascii="Times New Roman" w:hAnsi="Times New Roman" w:cs="Times New Roman"/>
                <w:color w:val="auto"/>
                <w:lang w:val="en-US" w:eastAsia="zh-CN"/>
              </w:rPr>
              <w:t>日</w:t>
            </w:r>
          </w:p>
        </w:tc>
        <w:tc>
          <w:tcPr>
            <w:tcW w:w="2170" w:type="dxa"/>
            <w:vAlign w:val="center"/>
          </w:tcPr>
          <w:p w14:paraId="345EC5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5.111</w:t>
            </w:r>
          </w:p>
        </w:tc>
        <w:tc>
          <w:tcPr>
            <w:tcW w:w="2170" w:type="dxa"/>
            <w:shd w:val="clear" w:color="auto" w:fill="auto"/>
            <w:vAlign w:val="center"/>
          </w:tcPr>
          <w:p w14:paraId="1CD923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13.844</w:t>
            </w:r>
          </w:p>
        </w:tc>
        <w:tc>
          <w:tcPr>
            <w:tcW w:w="2170" w:type="dxa"/>
            <w:vAlign w:val="center"/>
          </w:tcPr>
          <w:p w14:paraId="693EFB1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10.274</w:t>
            </w:r>
          </w:p>
        </w:tc>
        <w:tc>
          <w:tcPr>
            <w:tcW w:w="2170" w:type="dxa"/>
            <w:shd w:val="clear" w:color="auto" w:fill="auto"/>
            <w:vAlign w:val="center"/>
          </w:tcPr>
          <w:p w14:paraId="7ACA525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27.827</w:t>
            </w:r>
          </w:p>
        </w:tc>
        <w:tc>
          <w:tcPr>
            <w:tcW w:w="2170" w:type="dxa"/>
            <w:shd w:val="clear" w:color="auto" w:fill="auto"/>
            <w:vAlign w:val="center"/>
          </w:tcPr>
          <w:p w14:paraId="2066FD3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19.998</w:t>
            </w:r>
          </w:p>
        </w:tc>
        <w:tc>
          <w:tcPr>
            <w:tcW w:w="2170" w:type="dxa"/>
            <w:shd w:val="clear" w:color="auto" w:fill="auto"/>
            <w:vAlign w:val="center"/>
          </w:tcPr>
          <w:p w14:paraId="1A78FA9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54.166</w:t>
            </w:r>
          </w:p>
        </w:tc>
      </w:tr>
      <w:tr w14:paraId="62FCE9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0BBBF35">
            <w:pPr>
              <w:jc w:val="center"/>
              <w:rPr>
                <w:rFonts w:hint="eastAsia" w:cs="Times New Roman"/>
                <w:color w:val="auto"/>
                <w:lang w:val="en-US" w:eastAsia="zh-CN"/>
              </w:rPr>
            </w:pPr>
            <w:r>
              <w:rPr>
                <w:rFonts w:hint="eastAsia" w:cs="Times New Roman"/>
                <w:color w:val="auto"/>
                <w:lang w:val="en-US" w:eastAsia="zh-CN"/>
              </w:rPr>
              <w:t>8月10</w:t>
            </w:r>
            <w:r>
              <w:rPr>
                <w:rFonts w:hint="default" w:ascii="Times New Roman" w:hAnsi="Times New Roman" w:cs="Times New Roman"/>
                <w:color w:val="auto"/>
                <w:lang w:val="en-US" w:eastAsia="zh-CN"/>
              </w:rPr>
              <w:t>日</w:t>
            </w:r>
          </w:p>
        </w:tc>
        <w:tc>
          <w:tcPr>
            <w:tcW w:w="2170" w:type="dxa"/>
            <w:vAlign w:val="center"/>
          </w:tcPr>
          <w:p w14:paraId="36A8A7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5.404</w:t>
            </w:r>
          </w:p>
        </w:tc>
        <w:tc>
          <w:tcPr>
            <w:tcW w:w="2170" w:type="dxa"/>
            <w:shd w:val="clear" w:color="auto" w:fill="auto"/>
            <w:vAlign w:val="center"/>
          </w:tcPr>
          <w:p w14:paraId="28DEB7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14.232</w:t>
            </w:r>
          </w:p>
        </w:tc>
        <w:tc>
          <w:tcPr>
            <w:tcW w:w="2170" w:type="dxa"/>
            <w:vAlign w:val="center"/>
          </w:tcPr>
          <w:p w14:paraId="0FF9422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15.992</w:t>
            </w:r>
          </w:p>
        </w:tc>
        <w:tc>
          <w:tcPr>
            <w:tcW w:w="2170" w:type="dxa"/>
            <w:shd w:val="clear" w:color="auto" w:fill="auto"/>
            <w:vAlign w:val="center"/>
          </w:tcPr>
          <w:p w14:paraId="57CC78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42.114</w:t>
            </w:r>
          </w:p>
        </w:tc>
        <w:tc>
          <w:tcPr>
            <w:tcW w:w="2170" w:type="dxa"/>
            <w:shd w:val="clear" w:color="auto" w:fill="auto"/>
            <w:vAlign w:val="center"/>
          </w:tcPr>
          <w:p w14:paraId="694977F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21.574</w:t>
            </w:r>
          </w:p>
        </w:tc>
        <w:tc>
          <w:tcPr>
            <w:tcW w:w="2170" w:type="dxa"/>
            <w:shd w:val="clear" w:color="auto" w:fill="auto"/>
            <w:vAlign w:val="center"/>
          </w:tcPr>
          <w:p w14:paraId="5CD8A02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56.814</w:t>
            </w:r>
          </w:p>
        </w:tc>
      </w:tr>
      <w:tr w14:paraId="6473D1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1CDD2A3">
            <w:pPr>
              <w:jc w:val="center"/>
              <w:rPr>
                <w:rFonts w:hint="eastAsia" w:cs="Times New Roman"/>
                <w:color w:val="auto"/>
                <w:lang w:val="en-US" w:eastAsia="zh-CN"/>
              </w:rPr>
            </w:pPr>
            <w:r>
              <w:rPr>
                <w:rFonts w:hint="eastAsia" w:cs="Times New Roman"/>
                <w:color w:val="auto"/>
                <w:lang w:val="en-US" w:eastAsia="zh-CN"/>
              </w:rPr>
              <w:t>8月11</w:t>
            </w:r>
            <w:r>
              <w:rPr>
                <w:rFonts w:hint="default" w:ascii="Times New Roman" w:hAnsi="Times New Roman" w:cs="Times New Roman"/>
                <w:color w:val="auto"/>
                <w:lang w:val="en-US" w:eastAsia="zh-CN"/>
              </w:rPr>
              <w:t>日</w:t>
            </w:r>
          </w:p>
        </w:tc>
        <w:tc>
          <w:tcPr>
            <w:tcW w:w="2170" w:type="dxa"/>
            <w:vAlign w:val="center"/>
          </w:tcPr>
          <w:p w14:paraId="793E80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5.506</w:t>
            </w:r>
          </w:p>
        </w:tc>
        <w:tc>
          <w:tcPr>
            <w:tcW w:w="2170" w:type="dxa"/>
            <w:shd w:val="clear" w:color="auto" w:fill="auto"/>
            <w:vAlign w:val="center"/>
          </w:tcPr>
          <w:p w14:paraId="526489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15.321</w:t>
            </w:r>
          </w:p>
        </w:tc>
        <w:tc>
          <w:tcPr>
            <w:tcW w:w="2170" w:type="dxa"/>
            <w:vAlign w:val="center"/>
          </w:tcPr>
          <w:p w14:paraId="1B392A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15.903</w:t>
            </w:r>
          </w:p>
        </w:tc>
        <w:tc>
          <w:tcPr>
            <w:tcW w:w="2170" w:type="dxa"/>
            <w:shd w:val="clear" w:color="auto" w:fill="auto"/>
            <w:vAlign w:val="center"/>
          </w:tcPr>
          <w:p w14:paraId="18E3769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44.247</w:t>
            </w:r>
          </w:p>
        </w:tc>
        <w:tc>
          <w:tcPr>
            <w:tcW w:w="2170" w:type="dxa"/>
            <w:shd w:val="clear" w:color="auto" w:fill="auto"/>
            <w:vAlign w:val="center"/>
          </w:tcPr>
          <w:p w14:paraId="5642D1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20.002</w:t>
            </w:r>
          </w:p>
        </w:tc>
        <w:tc>
          <w:tcPr>
            <w:tcW w:w="2170" w:type="dxa"/>
            <w:shd w:val="clear" w:color="auto" w:fill="auto"/>
            <w:vAlign w:val="center"/>
          </w:tcPr>
          <w:p w14:paraId="378F05A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55.653</w:t>
            </w:r>
          </w:p>
        </w:tc>
      </w:tr>
      <w:tr w14:paraId="309DCD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763E1EB">
            <w:pPr>
              <w:jc w:val="center"/>
              <w:rPr>
                <w:rFonts w:hint="eastAsia" w:cs="Times New Roman"/>
                <w:color w:val="auto"/>
                <w:lang w:val="en-US" w:eastAsia="zh-CN"/>
              </w:rPr>
            </w:pPr>
            <w:r>
              <w:rPr>
                <w:rFonts w:hint="eastAsia" w:cs="Times New Roman"/>
                <w:color w:val="auto"/>
                <w:lang w:val="en-US" w:eastAsia="zh-CN"/>
              </w:rPr>
              <w:t>8月12</w:t>
            </w:r>
            <w:r>
              <w:rPr>
                <w:rFonts w:hint="default" w:ascii="Times New Roman" w:hAnsi="Times New Roman" w:cs="Times New Roman"/>
                <w:color w:val="auto"/>
                <w:lang w:val="en-US" w:eastAsia="zh-CN"/>
              </w:rPr>
              <w:t>日</w:t>
            </w:r>
          </w:p>
        </w:tc>
        <w:tc>
          <w:tcPr>
            <w:tcW w:w="2170" w:type="dxa"/>
            <w:vAlign w:val="center"/>
          </w:tcPr>
          <w:p w14:paraId="4D4F0F6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5.95</w:t>
            </w:r>
          </w:p>
        </w:tc>
        <w:tc>
          <w:tcPr>
            <w:tcW w:w="2170" w:type="dxa"/>
            <w:shd w:val="clear" w:color="auto" w:fill="auto"/>
            <w:vAlign w:val="center"/>
          </w:tcPr>
          <w:p w14:paraId="3098D6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16.879</w:t>
            </w:r>
          </w:p>
        </w:tc>
        <w:tc>
          <w:tcPr>
            <w:tcW w:w="2170" w:type="dxa"/>
            <w:vAlign w:val="center"/>
          </w:tcPr>
          <w:p w14:paraId="2EF572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11.007</w:t>
            </w:r>
          </w:p>
        </w:tc>
        <w:tc>
          <w:tcPr>
            <w:tcW w:w="2170" w:type="dxa"/>
            <w:shd w:val="clear" w:color="auto" w:fill="auto"/>
            <w:vAlign w:val="center"/>
          </w:tcPr>
          <w:p w14:paraId="68BFFCD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31.221</w:t>
            </w:r>
          </w:p>
        </w:tc>
        <w:tc>
          <w:tcPr>
            <w:tcW w:w="2170" w:type="dxa"/>
            <w:shd w:val="clear" w:color="auto" w:fill="auto"/>
            <w:vAlign w:val="center"/>
          </w:tcPr>
          <w:p w14:paraId="7E9B15B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18.718</w:t>
            </w:r>
          </w:p>
        </w:tc>
        <w:tc>
          <w:tcPr>
            <w:tcW w:w="2170" w:type="dxa"/>
            <w:shd w:val="clear" w:color="auto" w:fill="auto"/>
            <w:vAlign w:val="center"/>
          </w:tcPr>
          <w:p w14:paraId="7B212D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53.095</w:t>
            </w:r>
          </w:p>
        </w:tc>
      </w:tr>
      <w:tr w14:paraId="30F015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7E8A0AE">
            <w:pPr>
              <w:jc w:val="center"/>
              <w:rPr>
                <w:rFonts w:hint="eastAsia" w:cs="Times New Roman"/>
                <w:color w:val="auto"/>
                <w:lang w:val="en-US" w:eastAsia="zh-CN"/>
              </w:rPr>
            </w:pPr>
            <w:r>
              <w:rPr>
                <w:rFonts w:hint="eastAsia" w:cs="Times New Roman"/>
                <w:color w:val="auto"/>
                <w:lang w:val="en-US" w:eastAsia="zh-CN"/>
              </w:rPr>
              <w:t>8月13</w:t>
            </w:r>
            <w:r>
              <w:rPr>
                <w:rFonts w:hint="default" w:ascii="Times New Roman" w:hAnsi="Times New Roman" w:cs="Times New Roman"/>
                <w:color w:val="auto"/>
                <w:lang w:val="en-US" w:eastAsia="zh-CN"/>
              </w:rPr>
              <w:t>日</w:t>
            </w:r>
          </w:p>
        </w:tc>
        <w:tc>
          <w:tcPr>
            <w:tcW w:w="2170" w:type="dxa"/>
            <w:vAlign w:val="center"/>
          </w:tcPr>
          <w:p w14:paraId="0B46525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5.877</w:t>
            </w:r>
          </w:p>
        </w:tc>
        <w:tc>
          <w:tcPr>
            <w:tcW w:w="2170" w:type="dxa"/>
            <w:shd w:val="clear" w:color="auto" w:fill="auto"/>
            <w:vAlign w:val="center"/>
          </w:tcPr>
          <w:p w14:paraId="65699A2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16.328</w:t>
            </w:r>
          </w:p>
        </w:tc>
        <w:tc>
          <w:tcPr>
            <w:tcW w:w="2170" w:type="dxa"/>
            <w:vAlign w:val="center"/>
          </w:tcPr>
          <w:p w14:paraId="38EBA25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8.05</w:t>
            </w:r>
          </w:p>
        </w:tc>
        <w:tc>
          <w:tcPr>
            <w:tcW w:w="2170" w:type="dxa"/>
            <w:shd w:val="clear" w:color="auto" w:fill="auto"/>
            <w:vAlign w:val="center"/>
          </w:tcPr>
          <w:p w14:paraId="00EC855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22.366</w:t>
            </w:r>
          </w:p>
        </w:tc>
        <w:tc>
          <w:tcPr>
            <w:tcW w:w="2170" w:type="dxa"/>
            <w:shd w:val="clear" w:color="auto" w:fill="auto"/>
            <w:vAlign w:val="center"/>
          </w:tcPr>
          <w:p w14:paraId="456C1BE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29.216</w:t>
            </w:r>
          </w:p>
        </w:tc>
        <w:tc>
          <w:tcPr>
            <w:tcW w:w="2170" w:type="dxa"/>
            <w:shd w:val="clear" w:color="auto" w:fill="auto"/>
            <w:vAlign w:val="center"/>
          </w:tcPr>
          <w:p w14:paraId="0D91752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81.174</w:t>
            </w:r>
          </w:p>
        </w:tc>
      </w:tr>
      <w:tr w14:paraId="1A60CC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13D736B">
            <w:pPr>
              <w:jc w:val="center"/>
              <w:rPr>
                <w:rFonts w:hint="eastAsia" w:cs="Times New Roman"/>
                <w:color w:val="auto"/>
                <w:lang w:val="en-US" w:eastAsia="zh-CN"/>
              </w:rPr>
            </w:pPr>
            <w:r>
              <w:rPr>
                <w:rFonts w:hint="eastAsia" w:cs="Times New Roman"/>
                <w:color w:val="auto"/>
                <w:lang w:val="en-US" w:eastAsia="zh-CN"/>
              </w:rPr>
              <w:t>8月14</w:t>
            </w:r>
            <w:r>
              <w:rPr>
                <w:rFonts w:hint="default" w:ascii="Times New Roman" w:hAnsi="Times New Roman" w:cs="Times New Roman"/>
                <w:color w:val="auto"/>
                <w:lang w:val="en-US" w:eastAsia="zh-CN"/>
              </w:rPr>
              <w:t>日</w:t>
            </w:r>
          </w:p>
        </w:tc>
        <w:tc>
          <w:tcPr>
            <w:tcW w:w="2170" w:type="dxa"/>
            <w:vAlign w:val="center"/>
          </w:tcPr>
          <w:p w14:paraId="42A04B5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6.959</w:t>
            </w:r>
          </w:p>
        </w:tc>
        <w:tc>
          <w:tcPr>
            <w:tcW w:w="2170" w:type="dxa"/>
            <w:shd w:val="clear" w:color="auto" w:fill="auto"/>
            <w:vAlign w:val="center"/>
          </w:tcPr>
          <w:p w14:paraId="23766F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16.99</w:t>
            </w:r>
          </w:p>
        </w:tc>
        <w:tc>
          <w:tcPr>
            <w:tcW w:w="2170" w:type="dxa"/>
            <w:vAlign w:val="center"/>
          </w:tcPr>
          <w:p w14:paraId="37C2E04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6.707</w:t>
            </w:r>
          </w:p>
        </w:tc>
        <w:tc>
          <w:tcPr>
            <w:tcW w:w="2170" w:type="dxa"/>
            <w:shd w:val="clear" w:color="auto" w:fill="auto"/>
            <w:vAlign w:val="center"/>
          </w:tcPr>
          <w:p w14:paraId="5916E9C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16.376</w:t>
            </w:r>
          </w:p>
        </w:tc>
        <w:tc>
          <w:tcPr>
            <w:tcW w:w="2170" w:type="dxa"/>
            <w:shd w:val="clear" w:color="auto" w:fill="auto"/>
            <w:vAlign w:val="center"/>
          </w:tcPr>
          <w:p w14:paraId="57BBC41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23.398</w:t>
            </w:r>
          </w:p>
        </w:tc>
        <w:tc>
          <w:tcPr>
            <w:tcW w:w="2170" w:type="dxa"/>
            <w:shd w:val="clear" w:color="auto" w:fill="auto"/>
            <w:vAlign w:val="center"/>
          </w:tcPr>
          <w:p w14:paraId="0F20A0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57.125</w:t>
            </w:r>
          </w:p>
        </w:tc>
      </w:tr>
      <w:tr w14:paraId="051520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014A15A">
            <w:pPr>
              <w:jc w:val="center"/>
              <w:rPr>
                <w:rFonts w:hint="eastAsia" w:cs="Times New Roman"/>
                <w:color w:val="auto"/>
                <w:lang w:val="en-US" w:eastAsia="zh-CN"/>
              </w:rPr>
            </w:pPr>
            <w:r>
              <w:rPr>
                <w:rFonts w:hint="eastAsia" w:cs="Times New Roman"/>
                <w:color w:val="auto"/>
                <w:lang w:val="en-US" w:eastAsia="zh-CN"/>
              </w:rPr>
              <w:t>8月15</w:t>
            </w:r>
            <w:r>
              <w:rPr>
                <w:rFonts w:hint="default" w:ascii="Times New Roman" w:hAnsi="Times New Roman" w:cs="Times New Roman"/>
                <w:color w:val="auto"/>
                <w:lang w:val="en-US" w:eastAsia="zh-CN"/>
              </w:rPr>
              <w:t>日</w:t>
            </w:r>
          </w:p>
        </w:tc>
        <w:tc>
          <w:tcPr>
            <w:tcW w:w="2170" w:type="dxa"/>
            <w:vAlign w:val="center"/>
          </w:tcPr>
          <w:p w14:paraId="3409951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6.827</w:t>
            </w:r>
          </w:p>
        </w:tc>
        <w:tc>
          <w:tcPr>
            <w:tcW w:w="2170" w:type="dxa"/>
            <w:shd w:val="clear" w:color="auto" w:fill="auto"/>
            <w:vAlign w:val="center"/>
          </w:tcPr>
          <w:p w14:paraId="0E3B02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17.447</w:t>
            </w:r>
          </w:p>
        </w:tc>
        <w:tc>
          <w:tcPr>
            <w:tcW w:w="2170" w:type="dxa"/>
            <w:vAlign w:val="center"/>
          </w:tcPr>
          <w:p w14:paraId="4A9D5F1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6.328</w:t>
            </w:r>
          </w:p>
        </w:tc>
        <w:tc>
          <w:tcPr>
            <w:tcW w:w="2170" w:type="dxa"/>
            <w:shd w:val="clear" w:color="auto" w:fill="auto"/>
            <w:vAlign w:val="center"/>
          </w:tcPr>
          <w:p w14:paraId="4562519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16.171</w:t>
            </w:r>
          </w:p>
        </w:tc>
        <w:tc>
          <w:tcPr>
            <w:tcW w:w="2170" w:type="dxa"/>
            <w:shd w:val="clear" w:color="auto" w:fill="auto"/>
            <w:vAlign w:val="center"/>
          </w:tcPr>
          <w:p w14:paraId="6CF415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22.789</w:t>
            </w:r>
          </w:p>
        </w:tc>
        <w:tc>
          <w:tcPr>
            <w:tcW w:w="2170" w:type="dxa"/>
            <w:shd w:val="clear" w:color="auto" w:fill="auto"/>
            <w:vAlign w:val="center"/>
          </w:tcPr>
          <w:p w14:paraId="456A8C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58.24</w:t>
            </w:r>
          </w:p>
        </w:tc>
      </w:tr>
      <w:tr w14:paraId="258723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08B1F15">
            <w:pPr>
              <w:jc w:val="center"/>
              <w:rPr>
                <w:rFonts w:hint="eastAsia" w:cs="Times New Roman"/>
                <w:color w:val="auto"/>
                <w:lang w:val="en-US" w:eastAsia="zh-CN"/>
              </w:rPr>
            </w:pPr>
            <w:r>
              <w:rPr>
                <w:rFonts w:hint="eastAsia" w:cs="Times New Roman"/>
                <w:color w:val="auto"/>
                <w:lang w:val="en-US" w:eastAsia="zh-CN"/>
              </w:rPr>
              <w:t>8月16</w:t>
            </w:r>
            <w:r>
              <w:rPr>
                <w:rFonts w:hint="default" w:ascii="Times New Roman" w:hAnsi="Times New Roman" w:cs="Times New Roman"/>
                <w:color w:val="auto"/>
                <w:lang w:val="en-US" w:eastAsia="zh-CN"/>
              </w:rPr>
              <w:t>日</w:t>
            </w:r>
          </w:p>
        </w:tc>
        <w:tc>
          <w:tcPr>
            <w:tcW w:w="2170" w:type="dxa"/>
            <w:vAlign w:val="center"/>
          </w:tcPr>
          <w:p w14:paraId="20ABFB9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6.11</w:t>
            </w:r>
          </w:p>
        </w:tc>
        <w:tc>
          <w:tcPr>
            <w:tcW w:w="2170" w:type="dxa"/>
            <w:shd w:val="clear" w:color="auto" w:fill="auto"/>
            <w:vAlign w:val="center"/>
          </w:tcPr>
          <w:p w14:paraId="657C611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16.136</w:t>
            </w:r>
          </w:p>
        </w:tc>
        <w:tc>
          <w:tcPr>
            <w:tcW w:w="2170" w:type="dxa"/>
            <w:vAlign w:val="center"/>
          </w:tcPr>
          <w:p w14:paraId="7A65630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8.047</w:t>
            </w:r>
          </w:p>
        </w:tc>
        <w:tc>
          <w:tcPr>
            <w:tcW w:w="2170" w:type="dxa"/>
            <w:shd w:val="clear" w:color="auto" w:fill="auto"/>
            <w:vAlign w:val="center"/>
          </w:tcPr>
          <w:p w14:paraId="4569339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21.251</w:t>
            </w:r>
          </w:p>
        </w:tc>
        <w:tc>
          <w:tcPr>
            <w:tcW w:w="2170" w:type="dxa"/>
            <w:shd w:val="clear" w:color="auto" w:fill="auto"/>
            <w:vAlign w:val="center"/>
          </w:tcPr>
          <w:p w14:paraId="47A4AA6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24.75</w:t>
            </w:r>
          </w:p>
        </w:tc>
        <w:tc>
          <w:tcPr>
            <w:tcW w:w="2170" w:type="dxa"/>
            <w:shd w:val="clear" w:color="auto" w:fill="auto"/>
            <w:vAlign w:val="center"/>
          </w:tcPr>
          <w:p w14:paraId="75BE29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65.36</w:t>
            </w:r>
          </w:p>
        </w:tc>
      </w:tr>
      <w:tr w14:paraId="30E110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DE91D98">
            <w:pPr>
              <w:jc w:val="center"/>
              <w:rPr>
                <w:rFonts w:hint="eastAsia" w:cs="Times New Roman"/>
                <w:color w:val="auto"/>
                <w:lang w:val="en-US" w:eastAsia="zh-CN"/>
              </w:rPr>
            </w:pPr>
            <w:r>
              <w:rPr>
                <w:rFonts w:hint="eastAsia" w:cs="Times New Roman"/>
                <w:color w:val="auto"/>
                <w:lang w:val="en-US" w:eastAsia="zh-CN"/>
              </w:rPr>
              <w:t>8月17</w:t>
            </w:r>
            <w:r>
              <w:rPr>
                <w:rFonts w:hint="default" w:ascii="Times New Roman" w:hAnsi="Times New Roman" w:cs="Times New Roman"/>
                <w:color w:val="auto"/>
                <w:lang w:val="en-US" w:eastAsia="zh-CN"/>
              </w:rPr>
              <w:t>日</w:t>
            </w:r>
          </w:p>
        </w:tc>
        <w:tc>
          <w:tcPr>
            <w:tcW w:w="2170" w:type="dxa"/>
            <w:vAlign w:val="center"/>
          </w:tcPr>
          <w:p w14:paraId="5763CB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6.079</w:t>
            </w:r>
          </w:p>
        </w:tc>
        <w:tc>
          <w:tcPr>
            <w:tcW w:w="2170" w:type="dxa"/>
            <w:shd w:val="clear" w:color="auto" w:fill="auto"/>
            <w:vAlign w:val="center"/>
          </w:tcPr>
          <w:p w14:paraId="3B14B66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15.878</w:t>
            </w:r>
          </w:p>
        </w:tc>
        <w:tc>
          <w:tcPr>
            <w:tcW w:w="2170" w:type="dxa"/>
            <w:vAlign w:val="center"/>
          </w:tcPr>
          <w:p w14:paraId="0F868C3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8.482</w:t>
            </w:r>
          </w:p>
        </w:tc>
        <w:tc>
          <w:tcPr>
            <w:tcW w:w="2170" w:type="dxa"/>
            <w:shd w:val="clear" w:color="auto" w:fill="auto"/>
            <w:vAlign w:val="center"/>
          </w:tcPr>
          <w:p w14:paraId="4EF6F03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22.153</w:t>
            </w:r>
          </w:p>
        </w:tc>
        <w:tc>
          <w:tcPr>
            <w:tcW w:w="2170" w:type="dxa"/>
            <w:shd w:val="clear" w:color="auto" w:fill="auto"/>
            <w:vAlign w:val="center"/>
          </w:tcPr>
          <w:p w14:paraId="27C292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29.007</w:t>
            </w:r>
          </w:p>
        </w:tc>
        <w:tc>
          <w:tcPr>
            <w:tcW w:w="2170" w:type="dxa"/>
            <w:shd w:val="clear" w:color="auto" w:fill="auto"/>
            <w:vAlign w:val="center"/>
          </w:tcPr>
          <w:p w14:paraId="700AE80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75.759</w:t>
            </w:r>
          </w:p>
        </w:tc>
      </w:tr>
      <w:tr w14:paraId="12AF09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3932072">
            <w:pPr>
              <w:jc w:val="center"/>
              <w:rPr>
                <w:rFonts w:hint="eastAsia" w:cs="Times New Roman"/>
                <w:color w:val="auto"/>
                <w:lang w:val="en-US" w:eastAsia="zh-CN"/>
              </w:rPr>
            </w:pPr>
            <w:r>
              <w:rPr>
                <w:rFonts w:hint="eastAsia" w:cs="Times New Roman"/>
                <w:color w:val="auto"/>
                <w:lang w:val="en-US" w:eastAsia="zh-CN"/>
              </w:rPr>
              <w:t>8月18</w:t>
            </w:r>
            <w:r>
              <w:rPr>
                <w:rFonts w:hint="default" w:ascii="Times New Roman" w:hAnsi="Times New Roman" w:cs="Times New Roman"/>
                <w:color w:val="auto"/>
                <w:lang w:val="en-US" w:eastAsia="zh-CN"/>
              </w:rPr>
              <w:t>日</w:t>
            </w:r>
          </w:p>
        </w:tc>
        <w:tc>
          <w:tcPr>
            <w:tcW w:w="2170" w:type="dxa"/>
            <w:vAlign w:val="center"/>
          </w:tcPr>
          <w:p w14:paraId="076F455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5.975</w:t>
            </w:r>
          </w:p>
        </w:tc>
        <w:tc>
          <w:tcPr>
            <w:tcW w:w="2170" w:type="dxa"/>
            <w:shd w:val="clear" w:color="auto" w:fill="auto"/>
            <w:vAlign w:val="center"/>
          </w:tcPr>
          <w:p w14:paraId="73BF58B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16.172</w:t>
            </w:r>
          </w:p>
        </w:tc>
        <w:tc>
          <w:tcPr>
            <w:tcW w:w="2170" w:type="dxa"/>
            <w:vAlign w:val="center"/>
          </w:tcPr>
          <w:p w14:paraId="245FC7C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7.314</w:t>
            </w:r>
          </w:p>
        </w:tc>
        <w:tc>
          <w:tcPr>
            <w:tcW w:w="2170" w:type="dxa"/>
            <w:shd w:val="clear" w:color="auto" w:fill="auto"/>
            <w:vAlign w:val="center"/>
          </w:tcPr>
          <w:p w14:paraId="38D743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19.795</w:t>
            </w:r>
          </w:p>
        </w:tc>
        <w:tc>
          <w:tcPr>
            <w:tcW w:w="2170" w:type="dxa"/>
            <w:shd w:val="clear" w:color="auto" w:fill="auto"/>
            <w:vAlign w:val="center"/>
          </w:tcPr>
          <w:p w14:paraId="6D84EF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34.69</w:t>
            </w:r>
          </w:p>
        </w:tc>
        <w:tc>
          <w:tcPr>
            <w:tcW w:w="2170" w:type="dxa"/>
            <w:shd w:val="clear" w:color="auto" w:fill="auto"/>
            <w:vAlign w:val="center"/>
          </w:tcPr>
          <w:p w14:paraId="7C763E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93.887</w:t>
            </w:r>
          </w:p>
        </w:tc>
      </w:tr>
      <w:tr w14:paraId="2DAE56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0E8C06F">
            <w:pPr>
              <w:jc w:val="center"/>
              <w:rPr>
                <w:rFonts w:hint="eastAsia" w:cs="Times New Roman"/>
                <w:color w:val="auto"/>
                <w:lang w:val="en-US" w:eastAsia="zh-CN"/>
              </w:rPr>
            </w:pPr>
            <w:r>
              <w:rPr>
                <w:rFonts w:hint="eastAsia" w:cs="Times New Roman"/>
                <w:color w:val="auto"/>
                <w:lang w:val="en-US" w:eastAsia="zh-CN"/>
              </w:rPr>
              <w:t>8月19</w:t>
            </w:r>
            <w:r>
              <w:rPr>
                <w:rFonts w:hint="default" w:ascii="Times New Roman" w:hAnsi="Times New Roman" w:cs="Times New Roman"/>
                <w:color w:val="auto"/>
                <w:lang w:val="en-US" w:eastAsia="zh-CN"/>
              </w:rPr>
              <w:t>日</w:t>
            </w:r>
          </w:p>
        </w:tc>
        <w:tc>
          <w:tcPr>
            <w:tcW w:w="2170" w:type="dxa"/>
            <w:vAlign w:val="center"/>
          </w:tcPr>
          <w:p w14:paraId="52A0BC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5.397</w:t>
            </w:r>
          </w:p>
        </w:tc>
        <w:tc>
          <w:tcPr>
            <w:tcW w:w="2170" w:type="dxa"/>
            <w:shd w:val="clear" w:color="auto" w:fill="auto"/>
            <w:vAlign w:val="center"/>
          </w:tcPr>
          <w:p w14:paraId="05A25E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1.47</w:t>
            </w:r>
          </w:p>
        </w:tc>
        <w:tc>
          <w:tcPr>
            <w:tcW w:w="2170" w:type="dxa"/>
            <w:vAlign w:val="center"/>
          </w:tcPr>
          <w:p w14:paraId="22D062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1.591</w:t>
            </w:r>
          </w:p>
        </w:tc>
        <w:tc>
          <w:tcPr>
            <w:tcW w:w="2170" w:type="dxa"/>
            <w:shd w:val="clear" w:color="auto" w:fill="auto"/>
            <w:vAlign w:val="center"/>
          </w:tcPr>
          <w:p w14:paraId="3C7989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0.433</w:t>
            </w:r>
          </w:p>
        </w:tc>
        <w:tc>
          <w:tcPr>
            <w:tcW w:w="2170" w:type="dxa"/>
            <w:shd w:val="clear" w:color="auto" w:fill="auto"/>
            <w:vAlign w:val="center"/>
          </w:tcPr>
          <w:p w14:paraId="50723B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7.397</w:t>
            </w:r>
          </w:p>
        </w:tc>
        <w:tc>
          <w:tcPr>
            <w:tcW w:w="2170" w:type="dxa"/>
            <w:shd w:val="clear" w:color="auto" w:fill="auto"/>
            <w:vAlign w:val="center"/>
          </w:tcPr>
          <w:p w14:paraId="3D179D5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2.015</w:t>
            </w:r>
          </w:p>
        </w:tc>
      </w:tr>
      <w:tr w14:paraId="691454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DE6A9C7">
            <w:pPr>
              <w:jc w:val="center"/>
              <w:rPr>
                <w:rFonts w:hint="eastAsia" w:cs="Times New Roman"/>
                <w:color w:val="auto"/>
                <w:lang w:val="en-US" w:eastAsia="zh-CN"/>
              </w:rPr>
            </w:pPr>
            <w:r>
              <w:rPr>
                <w:rFonts w:hint="eastAsia" w:cs="Times New Roman"/>
                <w:color w:val="auto"/>
                <w:lang w:val="en-US" w:eastAsia="zh-CN"/>
              </w:rPr>
              <w:t>8月20</w:t>
            </w:r>
            <w:r>
              <w:rPr>
                <w:rFonts w:hint="default" w:ascii="Times New Roman" w:hAnsi="Times New Roman" w:cs="Times New Roman"/>
                <w:color w:val="auto"/>
                <w:lang w:val="en-US" w:eastAsia="zh-CN"/>
              </w:rPr>
              <w:t>日</w:t>
            </w:r>
          </w:p>
        </w:tc>
        <w:tc>
          <w:tcPr>
            <w:tcW w:w="2170" w:type="dxa"/>
            <w:vAlign w:val="center"/>
          </w:tcPr>
          <w:p w14:paraId="289DCEE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5.06</w:t>
            </w:r>
          </w:p>
        </w:tc>
        <w:tc>
          <w:tcPr>
            <w:tcW w:w="2170" w:type="dxa"/>
            <w:shd w:val="clear" w:color="auto" w:fill="auto"/>
            <w:vAlign w:val="center"/>
          </w:tcPr>
          <w:p w14:paraId="0D5C47F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3.073</w:t>
            </w:r>
          </w:p>
        </w:tc>
        <w:tc>
          <w:tcPr>
            <w:tcW w:w="2170" w:type="dxa"/>
            <w:vAlign w:val="center"/>
          </w:tcPr>
          <w:p w14:paraId="5792BCD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0.687</w:t>
            </w:r>
          </w:p>
        </w:tc>
        <w:tc>
          <w:tcPr>
            <w:tcW w:w="2170" w:type="dxa"/>
            <w:shd w:val="clear" w:color="auto" w:fill="auto"/>
            <w:vAlign w:val="center"/>
          </w:tcPr>
          <w:p w14:paraId="3188F6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0.417</w:t>
            </w:r>
          </w:p>
        </w:tc>
        <w:tc>
          <w:tcPr>
            <w:tcW w:w="2170" w:type="dxa"/>
            <w:shd w:val="clear" w:color="auto" w:fill="auto"/>
            <w:vAlign w:val="center"/>
          </w:tcPr>
          <w:p w14:paraId="77CCC6F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13.4</w:t>
            </w:r>
          </w:p>
        </w:tc>
        <w:tc>
          <w:tcPr>
            <w:tcW w:w="2170" w:type="dxa"/>
            <w:shd w:val="clear" w:color="auto" w:fill="auto"/>
            <w:vAlign w:val="center"/>
          </w:tcPr>
          <w:p w14:paraId="0905E44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8.138</w:t>
            </w:r>
          </w:p>
        </w:tc>
      </w:tr>
      <w:tr w14:paraId="6E2DA9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68ADFFB">
            <w:pPr>
              <w:jc w:val="center"/>
              <w:rPr>
                <w:rFonts w:hint="eastAsia" w:cs="Times New Roman"/>
                <w:color w:val="auto"/>
                <w:lang w:val="en-US" w:eastAsia="zh-CN"/>
              </w:rPr>
            </w:pPr>
            <w:r>
              <w:rPr>
                <w:rFonts w:hint="eastAsia" w:cs="Times New Roman"/>
                <w:color w:val="auto"/>
                <w:lang w:val="en-US" w:eastAsia="zh-CN"/>
              </w:rPr>
              <w:t>8月21</w:t>
            </w:r>
            <w:r>
              <w:rPr>
                <w:rFonts w:hint="default" w:ascii="Times New Roman" w:hAnsi="Times New Roman" w:cs="Times New Roman"/>
                <w:color w:val="auto"/>
                <w:lang w:val="en-US" w:eastAsia="zh-CN"/>
              </w:rPr>
              <w:t>日</w:t>
            </w:r>
          </w:p>
        </w:tc>
        <w:tc>
          <w:tcPr>
            <w:tcW w:w="2170" w:type="dxa"/>
            <w:vAlign w:val="center"/>
          </w:tcPr>
          <w:p w14:paraId="195666E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5.573</w:t>
            </w:r>
          </w:p>
        </w:tc>
        <w:tc>
          <w:tcPr>
            <w:tcW w:w="2170" w:type="dxa"/>
            <w:shd w:val="clear" w:color="auto" w:fill="auto"/>
            <w:vAlign w:val="center"/>
          </w:tcPr>
          <w:p w14:paraId="7F9519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14.751</w:t>
            </w:r>
          </w:p>
        </w:tc>
        <w:tc>
          <w:tcPr>
            <w:tcW w:w="2170" w:type="dxa"/>
            <w:vAlign w:val="center"/>
          </w:tcPr>
          <w:p w14:paraId="256358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w:t>
            </w:r>
          </w:p>
        </w:tc>
        <w:tc>
          <w:tcPr>
            <w:tcW w:w="2170" w:type="dxa"/>
            <w:shd w:val="clear" w:color="auto" w:fill="auto"/>
            <w:vAlign w:val="center"/>
          </w:tcPr>
          <w:p w14:paraId="0CBC958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14.03</w:t>
            </w:r>
          </w:p>
        </w:tc>
        <w:tc>
          <w:tcPr>
            <w:tcW w:w="2170" w:type="dxa"/>
            <w:shd w:val="clear" w:color="auto" w:fill="auto"/>
            <w:vAlign w:val="center"/>
          </w:tcPr>
          <w:p w14:paraId="12ADCBB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26.435</w:t>
            </w:r>
          </w:p>
        </w:tc>
        <w:tc>
          <w:tcPr>
            <w:tcW w:w="2170" w:type="dxa"/>
            <w:shd w:val="clear" w:color="auto" w:fill="auto"/>
            <w:vAlign w:val="center"/>
          </w:tcPr>
          <w:p w14:paraId="2DF558F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69.972</w:t>
            </w:r>
          </w:p>
        </w:tc>
      </w:tr>
      <w:tr w14:paraId="15DA1C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75B03E9">
            <w:pPr>
              <w:jc w:val="center"/>
              <w:rPr>
                <w:rFonts w:hint="eastAsia" w:cs="Times New Roman"/>
                <w:color w:val="auto"/>
                <w:lang w:val="en-US" w:eastAsia="zh-CN"/>
              </w:rPr>
            </w:pPr>
            <w:r>
              <w:rPr>
                <w:rFonts w:hint="eastAsia" w:cs="Times New Roman"/>
                <w:color w:val="auto"/>
                <w:lang w:val="en-US" w:eastAsia="zh-CN"/>
              </w:rPr>
              <w:t>8月22</w:t>
            </w:r>
            <w:r>
              <w:rPr>
                <w:rFonts w:hint="default" w:ascii="Times New Roman" w:hAnsi="Times New Roman" w:cs="Times New Roman"/>
                <w:color w:val="auto"/>
                <w:lang w:val="en-US" w:eastAsia="zh-CN"/>
              </w:rPr>
              <w:t>日</w:t>
            </w:r>
          </w:p>
        </w:tc>
        <w:tc>
          <w:tcPr>
            <w:tcW w:w="2170" w:type="dxa"/>
            <w:vAlign w:val="center"/>
          </w:tcPr>
          <w:p w14:paraId="524DEB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5.628</w:t>
            </w:r>
          </w:p>
        </w:tc>
        <w:tc>
          <w:tcPr>
            <w:tcW w:w="2170" w:type="dxa"/>
            <w:shd w:val="clear" w:color="auto" w:fill="auto"/>
            <w:vAlign w:val="center"/>
          </w:tcPr>
          <w:p w14:paraId="61635B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16.074</w:t>
            </w:r>
          </w:p>
        </w:tc>
        <w:tc>
          <w:tcPr>
            <w:tcW w:w="2170" w:type="dxa"/>
            <w:vAlign w:val="center"/>
          </w:tcPr>
          <w:p w14:paraId="6AE93AC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8.535</w:t>
            </w:r>
          </w:p>
        </w:tc>
        <w:tc>
          <w:tcPr>
            <w:tcW w:w="2170" w:type="dxa"/>
            <w:shd w:val="clear" w:color="auto" w:fill="auto"/>
            <w:vAlign w:val="center"/>
          </w:tcPr>
          <w:p w14:paraId="3F0BB3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24.375</w:t>
            </w:r>
          </w:p>
        </w:tc>
        <w:tc>
          <w:tcPr>
            <w:tcW w:w="2170" w:type="dxa"/>
            <w:shd w:val="clear" w:color="auto" w:fill="auto"/>
            <w:vAlign w:val="center"/>
          </w:tcPr>
          <w:p w14:paraId="4A24A73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23.81</w:t>
            </w:r>
          </w:p>
        </w:tc>
        <w:tc>
          <w:tcPr>
            <w:tcW w:w="2170" w:type="dxa"/>
            <w:shd w:val="clear" w:color="auto" w:fill="auto"/>
            <w:vAlign w:val="center"/>
          </w:tcPr>
          <w:p w14:paraId="340046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67.998</w:t>
            </w:r>
          </w:p>
        </w:tc>
      </w:tr>
      <w:tr w14:paraId="154C33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1416C1C">
            <w:pPr>
              <w:jc w:val="center"/>
              <w:rPr>
                <w:rFonts w:hint="eastAsia" w:cs="Times New Roman"/>
                <w:color w:val="auto"/>
                <w:lang w:val="en-US" w:eastAsia="zh-CN"/>
              </w:rPr>
            </w:pPr>
            <w:r>
              <w:rPr>
                <w:rFonts w:hint="eastAsia" w:cs="Times New Roman"/>
                <w:color w:val="auto"/>
                <w:lang w:val="en-US" w:eastAsia="zh-CN"/>
              </w:rPr>
              <w:t>8月23</w:t>
            </w:r>
            <w:r>
              <w:rPr>
                <w:rFonts w:hint="default" w:ascii="Times New Roman" w:hAnsi="Times New Roman" w:cs="Times New Roman"/>
                <w:color w:val="auto"/>
                <w:lang w:val="en-US" w:eastAsia="zh-CN"/>
              </w:rPr>
              <w:t>日</w:t>
            </w:r>
          </w:p>
        </w:tc>
        <w:tc>
          <w:tcPr>
            <w:tcW w:w="2170" w:type="dxa"/>
            <w:vAlign w:val="center"/>
          </w:tcPr>
          <w:p w14:paraId="582887A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6.249</w:t>
            </w:r>
          </w:p>
        </w:tc>
        <w:tc>
          <w:tcPr>
            <w:tcW w:w="2170" w:type="dxa"/>
            <w:shd w:val="clear" w:color="auto" w:fill="auto"/>
            <w:vAlign w:val="center"/>
          </w:tcPr>
          <w:p w14:paraId="7C0E0BC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16.221</w:t>
            </w:r>
          </w:p>
        </w:tc>
        <w:tc>
          <w:tcPr>
            <w:tcW w:w="2170" w:type="dxa"/>
            <w:vAlign w:val="center"/>
          </w:tcPr>
          <w:p w14:paraId="1D626D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11.061</w:t>
            </w:r>
          </w:p>
        </w:tc>
        <w:tc>
          <w:tcPr>
            <w:tcW w:w="2170" w:type="dxa"/>
            <w:shd w:val="clear" w:color="auto" w:fill="auto"/>
            <w:vAlign w:val="center"/>
          </w:tcPr>
          <w:p w14:paraId="1353352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28.712</w:t>
            </w:r>
          </w:p>
        </w:tc>
        <w:tc>
          <w:tcPr>
            <w:tcW w:w="2170" w:type="dxa"/>
            <w:shd w:val="clear" w:color="auto" w:fill="auto"/>
            <w:vAlign w:val="center"/>
          </w:tcPr>
          <w:p w14:paraId="2ACB5E8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33.678</w:t>
            </w:r>
          </w:p>
        </w:tc>
        <w:tc>
          <w:tcPr>
            <w:tcW w:w="2170" w:type="dxa"/>
            <w:shd w:val="clear" w:color="auto" w:fill="auto"/>
            <w:vAlign w:val="center"/>
          </w:tcPr>
          <w:p w14:paraId="0D0B7A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87.419</w:t>
            </w:r>
          </w:p>
        </w:tc>
      </w:tr>
      <w:tr w14:paraId="6D74ED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3887621">
            <w:pPr>
              <w:jc w:val="center"/>
              <w:rPr>
                <w:rFonts w:hint="eastAsia" w:cs="Times New Roman"/>
                <w:color w:val="auto"/>
                <w:lang w:val="en-US" w:eastAsia="zh-CN"/>
              </w:rPr>
            </w:pPr>
            <w:r>
              <w:rPr>
                <w:rFonts w:hint="eastAsia" w:cs="Times New Roman"/>
                <w:color w:val="auto"/>
                <w:lang w:val="en-US" w:eastAsia="zh-CN"/>
              </w:rPr>
              <w:t>8月24</w:t>
            </w:r>
            <w:r>
              <w:rPr>
                <w:rFonts w:hint="default" w:ascii="Times New Roman" w:hAnsi="Times New Roman" w:cs="Times New Roman"/>
                <w:color w:val="auto"/>
                <w:lang w:val="en-US" w:eastAsia="zh-CN"/>
              </w:rPr>
              <w:t>日</w:t>
            </w:r>
          </w:p>
        </w:tc>
        <w:tc>
          <w:tcPr>
            <w:tcW w:w="2170" w:type="dxa"/>
            <w:vAlign w:val="center"/>
          </w:tcPr>
          <w:p w14:paraId="472A10D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6.137</w:t>
            </w:r>
          </w:p>
        </w:tc>
        <w:tc>
          <w:tcPr>
            <w:tcW w:w="2170" w:type="dxa"/>
            <w:shd w:val="clear" w:color="auto" w:fill="auto"/>
            <w:vAlign w:val="center"/>
          </w:tcPr>
          <w:p w14:paraId="2041D78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16.215</w:t>
            </w:r>
          </w:p>
        </w:tc>
        <w:tc>
          <w:tcPr>
            <w:tcW w:w="2170" w:type="dxa"/>
            <w:vAlign w:val="center"/>
          </w:tcPr>
          <w:p w14:paraId="15ACC43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13.485</w:t>
            </w:r>
          </w:p>
        </w:tc>
        <w:tc>
          <w:tcPr>
            <w:tcW w:w="2170" w:type="dxa"/>
            <w:shd w:val="clear" w:color="auto" w:fill="auto"/>
            <w:vAlign w:val="center"/>
          </w:tcPr>
          <w:p w14:paraId="16C1194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35.628</w:t>
            </w:r>
          </w:p>
        </w:tc>
        <w:tc>
          <w:tcPr>
            <w:tcW w:w="2170" w:type="dxa"/>
            <w:shd w:val="clear" w:color="auto" w:fill="auto"/>
            <w:vAlign w:val="center"/>
          </w:tcPr>
          <w:p w14:paraId="18410CC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21.887</w:t>
            </w:r>
          </w:p>
        </w:tc>
        <w:tc>
          <w:tcPr>
            <w:tcW w:w="2170" w:type="dxa"/>
            <w:shd w:val="clear" w:color="auto" w:fill="auto"/>
            <w:vAlign w:val="center"/>
          </w:tcPr>
          <w:p w14:paraId="3CC1819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57.825</w:t>
            </w:r>
          </w:p>
        </w:tc>
      </w:tr>
      <w:tr w14:paraId="233912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D4724D0">
            <w:pPr>
              <w:jc w:val="center"/>
              <w:rPr>
                <w:rFonts w:hint="eastAsia" w:cs="Times New Roman"/>
                <w:color w:val="auto"/>
                <w:lang w:val="en-US" w:eastAsia="zh-CN"/>
              </w:rPr>
            </w:pPr>
            <w:r>
              <w:rPr>
                <w:rFonts w:hint="eastAsia" w:cs="Times New Roman"/>
                <w:color w:val="auto"/>
                <w:lang w:val="en-US" w:eastAsia="zh-CN"/>
              </w:rPr>
              <w:t>8月24</w:t>
            </w:r>
            <w:r>
              <w:rPr>
                <w:rFonts w:hint="default" w:ascii="Times New Roman" w:hAnsi="Times New Roman" w:cs="Times New Roman"/>
                <w:color w:val="auto"/>
                <w:lang w:val="en-US" w:eastAsia="zh-CN"/>
              </w:rPr>
              <w:t>日</w:t>
            </w:r>
          </w:p>
        </w:tc>
        <w:tc>
          <w:tcPr>
            <w:tcW w:w="2170" w:type="dxa"/>
            <w:vAlign w:val="center"/>
          </w:tcPr>
          <w:p w14:paraId="75039DA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5.772</w:t>
            </w:r>
          </w:p>
        </w:tc>
        <w:tc>
          <w:tcPr>
            <w:tcW w:w="2170" w:type="dxa"/>
            <w:shd w:val="clear" w:color="auto" w:fill="auto"/>
            <w:vAlign w:val="center"/>
          </w:tcPr>
          <w:p w14:paraId="3429581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16.511</w:t>
            </w:r>
          </w:p>
        </w:tc>
        <w:tc>
          <w:tcPr>
            <w:tcW w:w="2170" w:type="dxa"/>
            <w:vAlign w:val="center"/>
          </w:tcPr>
          <w:p w14:paraId="748CAC6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9.365</w:t>
            </w:r>
          </w:p>
        </w:tc>
        <w:tc>
          <w:tcPr>
            <w:tcW w:w="2170" w:type="dxa"/>
            <w:shd w:val="clear" w:color="auto" w:fill="auto"/>
            <w:vAlign w:val="center"/>
          </w:tcPr>
          <w:p w14:paraId="5BB67D6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26.792</w:t>
            </w:r>
          </w:p>
        </w:tc>
        <w:tc>
          <w:tcPr>
            <w:tcW w:w="2170" w:type="dxa"/>
            <w:shd w:val="clear" w:color="auto" w:fill="auto"/>
            <w:vAlign w:val="center"/>
          </w:tcPr>
          <w:p w14:paraId="570A904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19.901</w:t>
            </w:r>
          </w:p>
        </w:tc>
        <w:tc>
          <w:tcPr>
            <w:tcW w:w="2170" w:type="dxa"/>
            <w:shd w:val="clear" w:color="auto" w:fill="auto"/>
            <w:vAlign w:val="center"/>
          </w:tcPr>
          <w:p w14:paraId="35A6191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56.931</w:t>
            </w:r>
          </w:p>
        </w:tc>
      </w:tr>
      <w:tr w14:paraId="20C77D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0AF098A">
            <w:pPr>
              <w:jc w:val="center"/>
              <w:rPr>
                <w:rFonts w:hint="eastAsia" w:cs="Times New Roman"/>
                <w:color w:val="auto"/>
                <w:lang w:val="en-US" w:eastAsia="zh-CN"/>
              </w:rPr>
            </w:pPr>
            <w:r>
              <w:rPr>
                <w:rFonts w:hint="eastAsia" w:cs="Times New Roman"/>
                <w:color w:val="auto"/>
                <w:lang w:val="en-US" w:eastAsia="zh-CN"/>
              </w:rPr>
              <w:t>8月26</w:t>
            </w:r>
            <w:r>
              <w:rPr>
                <w:rFonts w:hint="default" w:ascii="Times New Roman" w:hAnsi="Times New Roman" w:cs="Times New Roman"/>
                <w:color w:val="auto"/>
                <w:lang w:val="en-US" w:eastAsia="zh-CN"/>
              </w:rPr>
              <w:t>日</w:t>
            </w:r>
          </w:p>
        </w:tc>
        <w:tc>
          <w:tcPr>
            <w:tcW w:w="2170" w:type="dxa"/>
            <w:vAlign w:val="center"/>
          </w:tcPr>
          <w:p w14:paraId="7FD9BD2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6.308</w:t>
            </w:r>
          </w:p>
        </w:tc>
        <w:tc>
          <w:tcPr>
            <w:tcW w:w="2170" w:type="dxa"/>
            <w:shd w:val="clear" w:color="auto" w:fill="auto"/>
            <w:vAlign w:val="center"/>
          </w:tcPr>
          <w:p w14:paraId="0604302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17.576</w:t>
            </w:r>
          </w:p>
        </w:tc>
        <w:tc>
          <w:tcPr>
            <w:tcW w:w="2170" w:type="dxa"/>
            <w:vAlign w:val="center"/>
          </w:tcPr>
          <w:p w14:paraId="2D9BB80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10.024</w:t>
            </w:r>
          </w:p>
        </w:tc>
        <w:tc>
          <w:tcPr>
            <w:tcW w:w="2170" w:type="dxa"/>
            <w:shd w:val="clear" w:color="auto" w:fill="auto"/>
            <w:vAlign w:val="center"/>
          </w:tcPr>
          <w:p w14:paraId="75FDE15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27.93</w:t>
            </w:r>
          </w:p>
        </w:tc>
        <w:tc>
          <w:tcPr>
            <w:tcW w:w="2170" w:type="dxa"/>
            <w:shd w:val="clear" w:color="auto" w:fill="auto"/>
            <w:vAlign w:val="center"/>
          </w:tcPr>
          <w:p w14:paraId="7DBE38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17.645</w:t>
            </w:r>
          </w:p>
        </w:tc>
        <w:tc>
          <w:tcPr>
            <w:tcW w:w="2170" w:type="dxa"/>
            <w:shd w:val="clear" w:color="auto" w:fill="auto"/>
            <w:vAlign w:val="center"/>
          </w:tcPr>
          <w:p w14:paraId="6A86C6B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49.164</w:t>
            </w:r>
          </w:p>
        </w:tc>
      </w:tr>
      <w:tr w14:paraId="099A82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7C4D073">
            <w:pPr>
              <w:jc w:val="center"/>
              <w:rPr>
                <w:rFonts w:hint="eastAsia" w:cs="Times New Roman"/>
                <w:color w:val="auto"/>
                <w:lang w:val="en-US" w:eastAsia="zh-CN"/>
              </w:rPr>
            </w:pPr>
            <w:r>
              <w:rPr>
                <w:rFonts w:hint="eastAsia" w:cs="Times New Roman"/>
                <w:color w:val="auto"/>
                <w:lang w:val="en-US" w:eastAsia="zh-CN"/>
              </w:rPr>
              <w:t>8月27</w:t>
            </w:r>
            <w:r>
              <w:rPr>
                <w:rFonts w:hint="default" w:ascii="Times New Roman" w:hAnsi="Times New Roman" w:cs="Times New Roman"/>
                <w:color w:val="auto"/>
                <w:lang w:val="en-US" w:eastAsia="zh-CN"/>
              </w:rPr>
              <w:t>日</w:t>
            </w:r>
          </w:p>
        </w:tc>
        <w:tc>
          <w:tcPr>
            <w:tcW w:w="2170" w:type="dxa"/>
            <w:vAlign w:val="center"/>
          </w:tcPr>
          <w:p w14:paraId="3D766C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6.317</w:t>
            </w:r>
          </w:p>
        </w:tc>
        <w:tc>
          <w:tcPr>
            <w:tcW w:w="2170" w:type="dxa"/>
            <w:shd w:val="clear" w:color="auto" w:fill="auto"/>
            <w:vAlign w:val="center"/>
          </w:tcPr>
          <w:p w14:paraId="4AF029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16.384</w:t>
            </w:r>
          </w:p>
        </w:tc>
        <w:tc>
          <w:tcPr>
            <w:tcW w:w="2170" w:type="dxa"/>
            <w:vAlign w:val="center"/>
          </w:tcPr>
          <w:p w14:paraId="30B97F4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15.822</w:t>
            </w:r>
          </w:p>
        </w:tc>
        <w:tc>
          <w:tcPr>
            <w:tcW w:w="2170" w:type="dxa"/>
            <w:shd w:val="clear" w:color="auto" w:fill="auto"/>
            <w:vAlign w:val="center"/>
          </w:tcPr>
          <w:p w14:paraId="5C51AC6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41.039</w:t>
            </w:r>
          </w:p>
        </w:tc>
        <w:tc>
          <w:tcPr>
            <w:tcW w:w="2170" w:type="dxa"/>
            <w:shd w:val="clear" w:color="auto" w:fill="auto"/>
            <w:vAlign w:val="center"/>
          </w:tcPr>
          <w:p w14:paraId="187371D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31.085</w:t>
            </w:r>
          </w:p>
        </w:tc>
        <w:tc>
          <w:tcPr>
            <w:tcW w:w="2170" w:type="dxa"/>
            <w:shd w:val="clear" w:color="auto" w:fill="auto"/>
            <w:vAlign w:val="center"/>
          </w:tcPr>
          <w:p w14:paraId="2FAFA65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80.63</w:t>
            </w:r>
          </w:p>
        </w:tc>
      </w:tr>
      <w:tr w14:paraId="3D035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E1B922B">
            <w:pPr>
              <w:jc w:val="center"/>
              <w:rPr>
                <w:rFonts w:hint="eastAsia" w:cs="Times New Roman"/>
                <w:color w:val="auto"/>
                <w:lang w:val="en-US" w:eastAsia="zh-CN"/>
              </w:rPr>
            </w:pPr>
            <w:r>
              <w:rPr>
                <w:rFonts w:hint="eastAsia" w:cs="Times New Roman"/>
                <w:color w:val="auto"/>
                <w:lang w:val="en-US" w:eastAsia="zh-CN"/>
              </w:rPr>
              <w:t>8月28</w:t>
            </w:r>
            <w:r>
              <w:rPr>
                <w:rFonts w:hint="default" w:ascii="Times New Roman" w:hAnsi="Times New Roman" w:cs="Times New Roman"/>
                <w:color w:val="auto"/>
                <w:lang w:val="en-US" w:eastAsia="zh-CN"/>
              </w:rPr>
              <w:t>日</w:t>
            </w:r>
          </w:p>
        </w:tc>
        <w:tc>
          <w:tcPr>
            <w:tcW w:w="2170" w:type="dxa"/>
            <w:vAlign w:val="center"/>
          </w:tcPr>
          <w:p w14:paraId="0C2CC0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4.293</w:t>
            </w:r>
          </w:p>
        </w:tc>
        <w:tc>
          <w:tcPr>
            <w:tcW w:w="2170" w:type="dxa"/>
            <w:shd w:val="clear" w:color="auto" w:fill="auto"/>
            <w:vAlign w:val="center"/>
          </w:tcPr>
          <w:p w14:paraId="54AA18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8.114</w:t>
            </w:r>
          </w:p>
        </w:tc>
        <w:tc>
          <w:tcPr>
            <w:tcW w:w="2170" w:type="dxa"/>
            <w:vAlign w:val="center"/>
          </w:tcPr>
          <w:p w14:paraId="120ECFD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9.081</w:t>
            </w:r>
          </w:p>
        </w:tc>
        <w:tc>
          <w:tcPr>
            <w:tcW w:w="2170" w:type="dxa"/>
            <w:shd w:val="clear" w:color="auto" w:fill="auto"/>
            <w:vAlign w:val="center"/>
          </w:tcPr>
          <w:p w14:paraId="1AE390A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17.162</w:t>
            </w:r>
          </w:p>
        </w:tc>
        <w:tc>
          <w:tcPr>
            <w:tcW w:w="2170" w:type="dxa"/>
            <w:shd w:val="clear" w:color="auto" w:fill="auto"/>
            <w:vAlign w:val="center"/>
          </w:tcPr>
          <w:p w14:paraId="585A109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19.937</w:t>
            </w:r>
          </w:p>
        </w:tc>
        <w:tc>
          <w:tcPr>
            <w:tcW w:w="2170" w:type="dxa"/>
            <w:shd w:val="clear" w:color="auto" w:fill="auto"/>
            <w:vAlign w:val="center"/>
          </w:tcPr>
          <w:p w14:paraId="154914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37.68</w:t>
            </w:r>
          </w:p>
        </w:tc>
      </w:tr>
      <w:tr w14:paraId="211964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DFBD888">
            <w:pPr>
              <w:jc w:val="center"/>
              <w:rPr>
                <w:rFonts w:hint="eastAsia" w:cs="Times New Roman"/>
                <w:color w:val="auto"/>
                <w:lang w:val="en-US" w:eastAsia="zh-CN"/>
              </w:rPr>
            </w:pPr>
            <w:r>
              <w:rPr>
                <w:rFonts w:hint="eastAsia" w:cs="Times New Roman"/>
                <w:color w:val="auto"/>
                <w:lang w:val="en-US" w:eastAsia="zh-CN"/>
              </w:rPr>
              <w:t>8月29</w:t>
            </w:r>
            <w:r>
              <w:rPr>
                <w:rFonts w:hint="default" w:ascii="Times New Roman" w:hAnsi="Times New Roman" w:cs="Times New Roman"/>
                <w:color w:val="auto"/>
                <w:lang w:val="en-US" w:eastAsia="zh-CN"/>
              </w:rPr>
              <w:t>日</w:t>
            </w:r>
          </w:p>
        </w:tc>
        <w:tc>
          <w:tcPr>
            <w:tcW w:w="2170" w:type="dxa"/>
            <w:vAlign w:val="center"/>
          </w:tcPr>
          <w:p w14:paraId="7B0BB9D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4.757</w:t>
            </w:r>
          </w:p>
        </w:tc>
        <w:tc>
          <w:tcPr>
            <w:tcW w:w="2170" w:type="dxa"/>
            <w:shd w:val="clear" w:color="auto" w:fill="auto"/>
            <w:vAlign w:val="center"/>
          </w:tcPr>
          <w:p w14:paraId="18D6646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10.729</w:t>
            </w:r>
          </w:p>
        </w:tc>
        <w:tc>
          <w:tcPr>
            <w:tcW w:w="2170" w:type="dxa"/>
            <w:vAlign w:val="center"/>
          </w:tcPr>
          <w:p w14:paraId="039235D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11.105</w:t>
            </w:r>
          </w:p>
        </w:tc>
        <w:tc>
          <w:tcPr>
            <w:tcW w:w="2170" w:type="dxa"/>
            <w:shd w:val="clear" w:color="auto" w:fill="auto"/>
            <w:vAlign w:val="center"/>
          </w:tcPr>
          <w:p w14:paraId="15CB65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25.049</w:t>
            </w:r>
          </w:p>
        </w:tc>
        <w:tc>
          <w:tcPr>
            <w:tcW w:w="2170" w:type="dxa"/>
            <w:shd w:val="clear" w:color="auto" w:fill="auto"/>
            <w:vAlign w:val="center"/>
          </w:tcPr>
          <w:p w14:paraId="769B1C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29.428</w:t>
            </w:r>
          </w:p>
        </w:tc>
        <w:tc>
          <w:tcPr>
            <w:tcW w:w="2170" w:type="dxa"/>
            <w:shd w:val="clear" w:color="auto" w:fill="auto"/>
            <w:vAlign w:val="center"/>
          </w:tcPr>
          <w:p w14:paraId="19EFBA3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66.38</w:t>
            </w:r>
          </w:p>
        </w:tc>
      </w:tr>
      <w:tr w14:paraId="178C4B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4C514D7">
            <w:pPr>
              <w:jc w:val="center"/>
              <w:rPr>
                <w:rFonts w:hint="eastAsia" w:cs="Times New Roman"/>
                <w:color w:val="auto"/>
                <w:lang w:val="en-US" w:eastAsia="zh-CN"/>
              </w:rPr>
            </w:pPr>
            <w:r>
              <w:rPr>
                <w:rFonts w:hint="eastAsia" w:cs="Times New Roman"/>
                <w:color w:val="auto"/>
                <w:lang w:val="en-US" w:eastAsia="zh-CN"/>
              </w:rPr>
              <w:t>8月30</w:t>
            </w:r>
            <w:r>
              <w:rPr>
                <w:rFonts w:hint="default" w:ascii="Times New Roman" w:hAnsi="Times New Roman" w:cs="Times New Roman"/>
                <w:color w:val="auto"/>
                <w:lang w:val="en-US" w:eastAsia="zh-CN"/>
              </w:rPr>
              <w:t>日</w:t>
            </w:r>
          </w:p>
        </w:tc>
        <w:tc>
          <w:tcPr>
            <w:tcW w:w="2170" w:type="dxa"/>
            <w:vAlign w:val="center"/>
          </w:tcPr>
          <w:p w14:paraId="4340A0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4.372</w:t>
            </w:r>
          </w:p>
        </w:tc>
        <w:tc>
          <w:tcPr>
            <w:tcW w:w="2170" w:type="dxa"/>
            <w:shd w:val="clear" w:color="auto" w:fill="auto"/>
            <w:vAlign w:val="center"/>
          </w:tcPr>
          <w:p w14:paraId="4B3AB3B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11.822</w:t>
            </w:r>
          </w:p>
        </w:tc>
        <w:tc>
          <w:tcPr>
            <w:tcW w:w="2170" w:type="dxa"/>
            <w:vAlign w:val="center"/>
          </w:tcPr>
          <w:p w14:paraId="7A2BAE3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3.402</w:t>
            </w:r>
          </w:p>
        </w:tc>
        <w:tc>
          <w:tcPr>
            <w:tcW w:w="2170" w:type="dxa"/>
            <w:shd w:val="clear" w:color="auto" w:fill="auto"/>
            <w:vAlign w:val="center"/>
          </w:tcPr>
          <w:p w14:paraId="01B497B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9.199</w:t>
            </w:r>
          </w:p>
        </w:tc>
        <w:tc>
          <w:tcPr>
            <w:tcW w:w="2170" w:type="dxa"/>
            <w:shd w:val="clear" w:color="auto" w:fill="auto"/>
            <w:vAlign w:val="center"/>
          </w:tcPr>
          <w:p w14:paraId="2D1BF7D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27.352</w:t>
            </w:r>
          </w:p>
        </w:tc>
        <w:tc>
          <w:tcPr>
            <w:tcW w:w="2170" w:type="dxa"/>
            <w:shd w:val="clear" w:color="auto" w:fill="auto"/>
            <w:vAlign w:val="center"/>
          </w:tcPr>
          <w:p w14:paraId="2A35D82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73.966</w:t>
            </w:r>
          </w:p>
        </w:tc>
      </w:tr>
      <w:tr w14:paraId="275AA0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66CBCA1">
            <w:pPr>
              <w:jc w:val="center"/>
              <w:rPr>
                <w:rFonts w:hint="eastAsia" w:cs="Times New Roman"/>
                <w:color w:val="auto"/>
                <w:lang w:val="en-US" w:eastAsia="zh-CN"/>
              </w:rPr>
            </w:pPr>
            <w:r>
              <w:rPr>
                <w:rFonts w:hint="eastAsia" w:cs="Times New Roman"/>
                <w:color w:val="auto"/>
                <w:lang w:val="en-US" w:eastAsia="zh-CN"/>
              </w:rPr>
              <w:t>8月31</w:t>
            </w:r>
            <w:r>
              <w:rPr>
                <w:rFonts w:hint="default" w:ascii="Times New Roman" w:hAnsi="Times New Roman" w:cs="Times New Roman"/>
                <w:color w:val="auto"/>
                <w:lang w:val="en-US" w:eastAsia="zh-CN"/>
              </w:rPr>
              <w:t>日</w:t>
            </w:r>
          </w:p>
        </w:tc>
        <w:tc>
          <w:tcPr>
            <w:tcW w:w="2170" w:type="dxa"/>
            <w:vAlign w:val="center"/>
          </w:tcPr>
          <w:p w14:paraId="1EA848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4.809</w:t>
            </w:r>
          </w:p>
        </w:tc>
        <w:tc>
          <w:tcPr>
            <w:tcW w:w="2170" w:type="dxa"/>
            <w:shd w:val="clear" w:color="auto" w:fill="auto"/>
            <w:vAlign w:val="center"/>
          </w:tcPr>
          <w:p w14:paraId="5FD352F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11.997</w:t>
            </w:r>
          </w:p>
        </w:tc>
        <w:tc>
          <w:tcPr>
            <w:tcW w:w="2170" w:type="dxa"/>
            <w:vAlign w:val="center"/>
          </w:tcPr>
          <w:p w14:paraId="64C38D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3.124</w:t>
            </w:r>
          </w:p>
        </w:tc>
        <w:tc>
          <w:tcPr>
            <w:tcW w:w="2170" w:type="dxa"/>
            <w:shd w:val="clear" w:color="auto" w:fill="auto"/>
            <w:vAlign w:val="center"/>
          </w:tcPr>
          <w:p w14:paraId="6C46EC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7.794</w:t>
            </w:r>
          </w:p>
        </w:tc>
        <w:tc>
          <w:tcPr>
            <w:tcW w:w="2170" w:type="dxa"/>
            <w:shd w:val="clear" w:color="auto" w:fill="auto"/>
            <w:vAlign w:val="center"/>
          </w:tcPr>
          <w:p w14:paraId="71090A3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22.271</w:t>
            </w:r>
          </w:p>
        </w:tc>
        <w:tc>
          <w:tcPr>
            <w:tcW w:w="2170" w:type="dxa"/>
            <w:shd w:val="clear" w:color="auto" w:fill="auto"/>
            <w:vAlign w:val="center"/>
          </w:tcPr>
          <w:p w14:paraId="341A60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55.563</w:t>
            </w:r>
          </w:p>
        </w:tc>
      </w:tr>
      <w:tr w14:paraId="5BE374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0BC2FB8">
            <w:pPr>
              <w:jc w:val="center"/>
              <w:rPr>
                <w:rFonts w:hint="default" w:cs="Times New Roman"/>
                <w:color w:val="auto"/>
                <w:lang w:val="en-US" w:eastAsia="zh-CN"/>
              </w:rPr>
            </w:pPr>
            <w:r>
              <w:rPr>
                <w:rFonts w:hint="eastAsia" w:cs="Times New Roman"/>
                <w:color w:val="auto"/>
                <w:lang w:val="en-US" w:eastAsia="zh-CN"/>
              </w:rPr>
              <w:t>平均值</w:t>
            </w:r>
          </w:p>
        </w:tc>
        <w:tc>
          <w:tcPr>
            <w:tcW w:w="2170" w:type="dxa"/>
            <w:vAlign w:val="center"/>
          </w:tcPr>
          <w:p w14:paraId="0C35F3E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5.459</w:t>
            </w:r>
          </w:p>
        </w:tc>
        <w:tc>
          <w:tcPr>
            <w:tcW w:w="2170" w:type="dxa"/>
            <w:shd w:val="clear" w:color="auto" w:fill="auto"/>
            <w:vAlign w:val="center"/>
          </w:tcPr>
          <w:p w14:paraId="372E134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767" w:type="pct"/>
            <w:vAlign w:val="center"/>
          </w:tcPr>
          <w:p w14:paraId="210A3B5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8.448</w:t>
            </w:r>
          </w:p>
        </w:tc>
        <w:tc>
          <w:tcPr>
            <w:tcW w:w="767" w:type="pct"/>
            <w:shd w:val="clear" w:color="auto" w:fill="auto"/>
            <w:vAlign w:val="center"/>
          </w:tcPr>
          <w:p w14:paraId="275F67F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color w:val="auto"/>
                <w:kern w:val="0"/>
                <w:szCs w:val="21"/>
              </w:rPr>
              <w:t>/</w:t>
            </w:r>
          </w:p>
        </w:tc>
        <w:tc>
          <w:tcPr>
            <w:tcW w:w="767" w:type="pct"/>
            <w:shd w:val="clear" w:color="auto" w:fill="auto"/>
            <w:vAlign w:val="center"/>
          </w:tcPr>
          <w:p w14:paraId="551374C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20.97</w:t>
            </w:r>
          </w:p>
        </w:tc>
        <w:tc>
          <w:tcPr>
            <w:tcW w:w="767" w:type="pct"/>
            <w:shd w:val="clear" w:color="auto" w:fill="auto"/>
            <w:vAlign w:val="center"/>
          </w:tcPr>
          <w:p w14:paraId="175582A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color w:val="auto"/>
                <w:kern w:val="0"/>
                <w:szCs w:val="21"/>
              </w:rPr>
              <w:t>/</w:t>
            </w:r>
          </w:p>
        </w:tc>
      </w:tr>
      <w:tr w14:paraId="62D00C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29A36A3">
            <w:pPr>
              <w:jc w:val="center"/>
              <w:rPr>
                <w:rFonts w:hint="default" w:cs="Times New Roman"/>
                <w:color w:val="auto"/>
                <w:lang w:val="en-US" w:eastAsia="zh-CN"/>
              </w:rPr>
            </w:pPr>
            <w:r>
              <w:rPr>
                <w:rFonts w:hint="eastAsia" w:cs="Times New Roman"/>
                <w:color w:val="auto"/>
                <w:lang w:val="en-US" w:eastAsia="zh-CN"/>
              </w:rPr>
              <w:t>9月1日</w:t>
            </w:r>
          </w:p>
        </w:tc>
        <w:tc>
          <w:tcPr>
            <w:tcW w:w="2170" w:type="dxa"/>
            <w:vAlign w:val="center"/>
          </w:tcPr>
          <w:p w14:paraId="4B6F34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5.315</w:t>
            </w:r>
          </w:p>
        </w:tc>
        <w:tc>
          <w:tcPr>
            <w:tcW w:w="2170" w:type="dxa"/>
            <w:shd w:val="clear" w:color="auto" w:fill="auto"/>
            <w:vAlign w:val="center"/>
          </w:tcPr>
          <w:p w14:paraId="33D2CD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10.732</w:t>
            </w:r>
          </w:p>
        </w:tc>
        <w:tc>
          <w:tcPr>
            <w:tcW w:w="2170" w:type="dxa"/>
            <w:vAlign w:val="center"/>
          </w:tcPr>
          <w:p w14:paraId="1129E28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2.713</w:t>
            </w:r>
          </w:p>
        </w:tc>
        <w:tc>
          <w:tcPr>
            <w:tcW w:w="2170" w:type="dxa"/>
            <w:shd w:val="clear" w:color="auto" w:fill="auto"/>
            <w:vAlign w:val="center"/>
          </w:tcPr>
          <w:p w14:paraId="2E2DA49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5.478</w:t>
            </w:r>
          </w:p>
        </w:tc>
        <w:tc>
          <w:tcPr>
            <w:tcW w:w="2170" w:type="dxa"/>
            <w:shd w:val="clear" w:color="auto" w:fill="auto"/>
            <w:vAlign w:val="center"/>
          </w:tcPr>
          <w:p w14:paraId="35982A0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30.466</w:t>
            </w:r>
          </w:p>
        </w:tc>
        <w:tc>
          <w:tcPr>
            <w:tcW w:w="2170" w:type="dxa"/>
            <w:shd w:val="clear" w:color="auto" w:fill="auto"/>
            <w:vAlign w:val="center"/>
          </w:tcPr>
          <w:p w14:paraId="1F29BCBF">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61.522</w:t>
            </w:r>
          </w:p>
        </w:tc>
      </w:tr>
      <w:tr w14:paraId="2649CA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342D784">
            <w:pPr>
              <w:jc w:val="center"/>
              <w:rPr>
                <w:rFonts w:hint="eastAsia" w:cs="Times New Roman"/>
                <w:color w:val="auto"/>
                <w:lang w:val="en-US" w:eastAsia="zh-CN"/>
              </w:rPr>
            </w:pPr>
            <w:r>
              <w:rPr>
                <w:rFonts w:hint="eastAsia" w:cs="Times New Roman"/>
                <w:color w:val="auto"/>
                <w:lang w:val="en-US" w:eastAsia="zh-CN"/>
              </w:rPr>
              <w:t>9月2日</w:t>
            </w:r>
          </w:p>
        </w:tc>
        <w:tc>
          <w:tcPr>
            <w:tcW w:w="2170" w:type="dxa"/>
            <w:vAlign w:val="center"/>
          </w:tcPr>
          <w:p w14:paraId="4AF0DA4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6.283</w:t>
            </w:r>
          </w:p>
        </w:tc>
        <w:tc>
          <w:tcPr>
            <w:tcW w:w="2170" w:type="dxa"/>
            <w:shd w:val="clear" w:color="auto" w:fill="auto"/>
            <w:vAlign w:val="center"/>
          </w:tcPr>
          <w:p w14:paraId="5018ED2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18.359</w:t>
            </w:r>
          </w:p>
        </w:tc>
        <w:tc>
          <w:tcPr>
            <w:tcW w:w="2170" w:type="dxa"/>
            <w:vAlign w:val="center"/>
          </w:tcPr>
          <w:p w14:paraId="3425B2E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6.265</w:t>
            </w:r>
          </w:p>
        </w:tc>
        <w:tc>
          <w:tcPr>
            <w:tcW w:w="2170" w:type="dxa"/>
            <w:shd w:val="clear" w:color="auto" w:fill="auto"/>
            <w:vAlign w:val="center"/>
          </w:tcPr>
          <w:p w14:paraId="2C6D677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18.306</w:t>
            </w:r>
          </w:p>
        </w:tc>
        <w:tc>
          <w:tcPr>
            <w:tcW w:w="2170" w:type="dxa"/>
            <w:shd w:val="clear" w:color="auto" w:fill="auto"/>
            <w:vAlign w:val="center"/>
          </w:tcPr>
          <w:p w14:paraId="71282C6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14.855</w:t>
            </w:r>
          </w:p>
        </w:tc>
        <w:tc>
          <w:tcPr>
            <w:tcW w:w="2170" w:type="dxa"/>
            <w:shd w:val="clear" w:color="auto" w:fill="auto"/>
            <w:vAlign w:val="center"/>
          </w:tcPr>
          <w:p w14:paraId="62DB9646">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43.406</w:t>
            </w:r>
          </w:p>
        </w:tc>
      </w:tr>
      <w:tr w14:paraId="1C31C0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AA7EAF4">
            <w:pPr>
              <w:jc w:val="center"/>
              <w:rPr>
                <w:rFonts w:hint="eastAsia" w:cs="Times New Roman"/>
                <w:color w:val="auto"/>
                <w:lang w:val="en-US" w:eastAsia="zh-CN"/>
              </w:rPr>
            </w:pPr>
            <w:r>
              <w:rPr>
                <w:rFonts w:hint="eastAsia" w:cs="Times New Roman"/>
                <w:color w:val="auto"/>
                <w:lang w:val="en-US" w:eastAsia="zh-CN"/>
              </w:rPr>
              <w:t>9月3日</w:t>
            </w:r>
          </w:p>
        </w:tc>
        <w:tc>
          <w:tcPr>
            <w:tcW w:w="2170" w:type="dxa"/>
            <w:vAlign w:val="center"/>
          </w:tcPr>
          <w:p w14:paraId="2CFE87E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7.481</w:t>
            </w:r>
          </w:p>
        </w:tc>
        <w:tc>
          <w:tcPr>
            <w:tcW w:w="2170" w:type="dxa"/>
            <w:shd w:val="clear" w:color="auto" w:fill="auto"/>
            <w:vAlign w:val="center"/>
          </w:tcPr>
          <w:p w14:paraId="48D555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22.94</w:t>
            </w:r>
          </w:p>
        </w:tc>
        <w:tc>
          <w:tcPr>
            <w:tcW w:w="2170" w:type="dxa"/>
            <w:vAlign w:val="center"/>
          </w:tcPr>
          <w:p w14:paraId="6328BA8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1.286</w:t>
            </w:r>
          </w:p>
        </w:tc>
        <w:tc>
          <w:tcPr>
            <w:tcW w:w="2170" w:type="dxa"/>
            <w:shd w:val="clear" w:color="auto" w:fill="auto"/>
            <w:vAlign w:val="center"/>
          </w:tcPr>
          <w:p w14:paraId="56D1F61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3.942</w:t>
            </w:r>
          </w:p>
        </w:tc>
        <w:tc>
          <w:tcPr>
            <w:tcW w:w="2170" w:type="dxa"/>
            <w:shd w:val="clear" w:color="auto" w:fill="auto"/>
            <w:vAlign w:val="center"/>
          </w:tcPr>
          <w:p w14:paraId="1EC8689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0.095</w:t>
            </w:r>
          </w:p>
        </w:tc>
        <w:tc>
          <w:tcPr>
            <w:tcW w:w="2170" w:type="dxa"/>
            <w:shd w:val="clear" w:color="auto" w:fill="auto"/>
            <w:vAlign w:val="center"/>
          </w:tcPr>
          <w:p w14:paraId="1DD1E90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0.291</w:t>
            </w:r>
          </w:p>
        </w:tc>
      </w:tr>
      <w:tr w14:paraId="368765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DADB112">
            <w:pPr>
              <w:jc w:val="center"/>
              <w:rPr>
                <w:rFonts w:hint="eastAsia" w:cs="Times New Roman"/>
                <w:color w:val="auto"/>
                <w:lang w:val="en-US" w:eastAsia="zh-CN"/>
              </w:rPr>
            </w:pPr>
            <w:r>
              <w:rPr>
                <w:rFonts w:hint="eastAsia" w:cs="Times New Roman"/>
                <w:color w:val="auto"/>
                <w:lang w:val="en-US" w:eastAsia="zh-CN"/>
              </w:rPr>
              <w:t>9月4日</w:t>
            </w:r>
          </w:p>
        </w:tc>
        <w:tc>
          <w:tcPr>
            <w:tcW w:w="2170" w:type="dxa"/>
            <w:vAlign w:val="center"/>
          </w:tcPr>
          <w:p w14:paraId="45A612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7.993</w:t>
            </w:r>
          </w:p>
        </w:tc>
        <w:tc>
          <w:tcPr>
            <w:tcW w:w="2170" w:type="dxa"/>
            <w:shd w:val="clear" w:color="auto" w:fill="auto"/>
            <w:vAlign w:val="center"/>
          </w:tcPr>
          <w:p w14:paraId="1ADADAC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23.682</w:t>
            </w:r>
          </w:p>
        </w:tc>
        <w:tc>
          <w:tcPr>
            <w:tcW w:w="2170" w:type="dxa"/>
            <w:vAlign w:val="center"/>
          </w:tcPr>
          <w:p w14:paraId="55E1DD4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4.606</w:t>
            </w:r>
          </w:p>
        </w:tc>
        <w:tc>
          <w:tcPr>
            <w:tcW w:w="2170" w:type="dxa"/>
            <w:shd w:val="clear" w:color="auto" w:fill="auto"/>
            <w:vAlign w:val="center"/>
          </w:tcPr>
          <w:p w14:paraId="1E5E210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13.649</w:t>
            </w:r>
          </w:p>
        </w:tc>
        <w:tc>
          <w:tcPr>
            <w:tcW w:w="2170" w:type="dxa"/>
            <w:shd w:val="clear" w:color="auto" w:fill="auto"/>
            <w:vAlign w:val="center"/>
          </w:tcPr>
          <w:p w14:paraId="5C6E8F2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9.341</w:t>
            </w:r>
          </w:p>
        </w:tc>
        <w:tc>
          <w:tcPr>
            <w:tcW w:w="2170" w:type="dxa"/>
            <w:shd w:val="clear" w:color="auto" w:fill="auto"/>
            <w:vAlign w:val="center"/>
          </w:tcPr>
          <w:p w14:paraId="5FFBE33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27.676</w:t>
            </w:r>
          </w:p>
        </w:tc>
      </w:tr>
      <w:tr w14:paraId="177A70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3661F27">
            <w:pPr>
              <w:jc w:val="center"/>
              <w:rPr>
                <w:rFonts w:hint="eastAsia" w:cs="Times New Roman"/>
                <w:color w:val="auto"/>
                <w:lang w:val="en-US" w:eastAsia="zh-CN"/>
              </w:rPr>
            </w:pPr>
            <w:r>
              <w:rPr>
                <w:rFonts w:hint="eastAsia" w:cs="Times New Roman"/>
                <w:color w:val="auto"/>
                <w:lang w:val="en-US" w:eastAsia="zh-CN"/>
              </w:rPr>
              <w:t>9月5日</w:t>
            </w:r>
          </w:p>
        </w:tc>
        <w:tc>
          <w:tcPr>
            <w:tcW w:w="2170" w:type="dxa"/>
            <w:vAlign w:val="center"/>
          </w:tcPr>
          <w:p w14:paraId="08BFCE8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8.819</w:t>
            </w:r>
          </w:p>
        </w:tc>
        <w:tc>
          <w:tcPr>
            <w:tcW w:w="2170" w:type="dxa"/>
            <w:shd w:val="clear" w:color="auto" w:fill="auto"/>
            <w:vAlign w:val="center"/>
          </w:tcPr>
          <w:p w14:paraId="18291F6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25.407</w:t>
            </w:r>
          </w:p>
        </w:tc>
        <w:tc>
          <w:tcPr>
            <w:tcW w:w="2170" w:type="dxa"/>
            <w:vAlign w:val="center"/>
          </w:tcPr>
          <w:p w14:paraId="2C26216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11.41</w:t>
            </w:r>
          </w:p>
        </w:tc>
        <w:tc>
          <w:tcPr>
            <w:tcW w:w="2170" w:type="dxa"/>
            <w:shd w:val="clear" w:color="auto" w:fill="auto"/>
            <w:vAlign w:val="center"/>
          </w:tcPr>
          <w:p w14:paraId="7700997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32.874</w:t>
            </w:r>
          </w:p>
        </w:tc>
        <w:tc>
          <w:tcPr>
            <w:tcW w:w="2170" w:type="dxa"/>
            <w:shd w:val="clear" w:color="auto" w:fill="auto"/>
            <w:vAlign w:val="center"/>
          </w:tcPr>
          <w:p w14:paraId="1C766F8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14.53</w:t>
            </w:r>
          </w:p>
        </w:tc>
        <w:tc>
          <w:tcPr>
            <w:tcW w:w="2170" w:type="dxa"/>
            <w:shd w:val="clear" w:color="auto" w:fill="auto"/>
            <w:vAlign w:val="center"/>
          </w:tcPr>
          <w:p w14:paraId="4C49AEC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41.864</w:t>
            </w:r>
          </w:p>
        </w:tc>
      </w:tr>
      <w:tr w14:paraId="71306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C28EEDF">
            <w:pPr>
              <w:jc w:val="center"/>
              <w:rPr>
                <w:rFonts w:hint="eastAsia" w:cs="Times New Roman"/>
                <w:color w:val="auto"/>
                <w:lang w:val="en-US" w:eastAsia="zh-CN"/>
              </w:rPr>
            </w:pPr>
            <w:r>
              <w:rPr>
                <w:rFonts w:hint="eastAsia" w:cs="Times New Roman"/>
                <w:color w:val="auto"/>
                <w:lang w:val="en-US" w:eastAsia="zh-CN"/>
              </w:rPr>
              <w:t>9月6日</w:t>
            </w:r>
          </w:p>
        </w:tc>
        <w:tc>
          <w:tcPr>
            <w:tcW w:w="2170" w:type="dxa"/>
            <w:vAlign w:val="center"/>
          </w:tcPr>
          <w:p w14:paraId="614C3E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6.424</w:t>
            </w:r>
          </w:p>
        </w:tc>
        <w:tc>
          <w:tcPr>
            <w:tcW w:w="2170" w:type="dxa"/>
            <w:shd w:val="clear" w:color="auto" w:fill="auto"/>
            <w:vAlign w:val="center"/>
          </w:tcPr>
          <w:p w14:paraId="7314D72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20.063</w:t>
            </w:r>
          </w:p>
        </w:tc>
        <w:tc>
          <w:tcPr>
            <w:tcW w:w="2170" w:type="dxa"/>
            <w:vAlign w:val="center"/>
          </w:tcPr>
          <w:p w14:paraId="7E9EDA0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7.188</w:t>
            </w:r>
          </w:p>
        </w:tc>
        <w:tc>
          <w:tcPr>
            <w:tcW w:w="2170" w:type="dxa"/>
            <w:shd w:val="clear" w:color="auto" w:fill="auto"/>
            <w:vAlign w:val="center"/>
          </w:tcPr>
          <w:p w14:paraId="513E5A6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22.448</w:t>
            </w:r>
          </w:p>
        </w:tc>
        <w:tc>
          <w:tcPr>
            <w:tcW w:w="2170" w:type="dxa"/>
            <w:shd w:val="clear" w:color="auto" w:fill="auto"/>
            <w:vAlign w:val="center"/>
          </w:tcPr>
          <w:p w14:paraId="36AD92D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15.252</w:t>
            </w:r>
          </w:p>
        </w:tc>
        <w:tc>
          <w:tcPr>
            <w:tcW w:w="2170" w:type="dxa"/>
            <w:shd w:val="clear" w:color="auto" w:fill="auto"/>
            <w:vAlign w:val="center"/>
          </w:tcPr>
          <w:p w14:paraId="33618FB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47.637</w:t>
            </w:r>
          </w:p>
        </w:tc>
      </w:tr>
      <w:tr w14:paraId="621181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050DC4A">
            <w:pPr>
              <w:jc w:val="center"/>
              <w:rPr>
                <w:rFonts w:hint="eastAsia" w:cs="Times New Roman"/>
                <w:color w:val="auto"/>
                <w:lang w:val="en-US" w:eastAsia="zh-CN"/>
              </w:rPr>
            </w:pPr>
            <w:r>
              <w:rPr>
                <w:rFonts w:hint="eastAsia" w:cs="Times New Roman"/>
                <w:color w:val="auto"/>
                <w:lang w:val="en-US" w:eastAsia="zh-CN"/>
              </w:rPr>
              <w:t>9月7日</w:t>
            </w:r>
          </w:p>
        </w:tc>
        <w:tc>
          <w:tcPr>
            <w:tcW w:w="2170" w:type="dxa"/>
            <w:vAlign w:val="center"/>
          </w:tcPr>
          <w:p w14:paraId="1C7D93F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5.33</w:t>
            </w:r>
          </w:p>
        </w:tc>
        <w:tc>
          <w:tcPr>
            <w:tcW w:w="2170" w:type="dxa"/>
            <w:shd w:val="clear" w:color="auto" w:fill="auto"/>
            <w:vAlign w:val="center"/>
          </w:tcPr>
          <w:p w14:paraId="0386DE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13.357</w:t>
            </w:r>
          </w:p>
        </w:tc>
        <w:tc>
          <w:tcPr>
            <w:tcW w:w="2170" w:type="dxa"/>
            <w:vAlign w:val="center"/>
          </w:tcPr>
          <w:p w14:paraId="0DAE539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8.127</w:t>
            </w:r>
          </w:p>
        </w:tc>
        <w:tc>
          <w:tcPr>
            <w:tcW w:w="2170" w:type="dxa"/>
            <w:shd w:val="clear" w:color="auto" w:fill="auto"/>
            <w:vAlign w:val="center"/>
          </w:tcPr>
          <w:p w14:paraId="0305AA0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20.367</w:t>
            </w:r>
          </w:p>
        </w:tc>
        <w:tc>
          <w:tcPr>
            <w:tcW w:w="2170" w:type="dxa"/>
            <w:shd w:val="clear" w:color="auto" w:fill="auto"/>
            <w:vAlign w:val="center"/>
          </w:tcPr>
          <w:p w14:paraId="2BECD9F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21.852</w:t>
            </w:r>
          </w:p>
        </w:tc>
        <w:tc>
          <w:tcPr>
            <w:tcW w:w="2170" w:type="dxa"/>
            <w:shd w:val="clear" w:color="auto" w:fill="auto"/>
            <w:vAlign w:val="center"/>
          </w:tcPr>
          <w:p w14:paraId="5A7DF71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54.765</w:t>
            </w:r>
          </w:p>
        </w:tc>
      </w:tr>
      <w:tr w14:paraId="2A068F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E67FC86">
            <w:pPr>
              <w:jc w:val="center"/>
              <w:rPr>
                <w:rFonts w:hint="eastAsia" w:cs="Times New Roman"/>
                <w:color w:val="auto"/>
                <w:lang w:val="en-US" w:eastAsia="zh-CN"/>
              </w:rPr>
            </w:pPr>
            <w:r>
              <w:rPr>
                <w:rFonts w:hint="eastAsia" w:cs="Times New Roman"/>
                <w:color w:val="auto"/>
                <w:lang w:val="en-US" w:eastAsia="zh-CN"/>
              </w:rPr>
              <w:t>9月8日</w:t>
            </w:r>
          </w:p>
        </w:tc>
        <w:tc>
          <w:tcPr>
            <w:tcW w:w="2170" w:type="dxa"/>
            <w:vAlign w:val="center"/>
          </w:tcPr>
          <w:p w14:paraId="457F33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6.032</w:t>
            </w:r>
          </w:p>
        </w:tc>
        <w:tc>
          <w:tcPr>
            <w:tcW w:w="2170" w:type="dxa"/>
            <w:shd w:val="clear" w:color="auto" w:fill="auto"/>
            <w:vAlign w:val="center"/>
          </w:tcPr>
          <w:p w14:paraId="49BFB16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16.622</w:t>
            </w:r>
          </w:p>
        </w:tc>
        <w:tc>
          <w:tcPr>
            <w:tcW w:w="2170" w:type="dxa"/>
            <w:vAlign w:val="center"/>
          </w:tcPr>
          <w:p w14:paraId="7AF8A68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9.84</w:t>
            </w:r>
          </w:p>
        </w:tc>
        <w:tc>
          <w:tcPr>
            <w:tcW w:w="2170" w:type="dxa"/>
            <w:shd w:val="clear" w:color="auto" w:fill="auto"/>
            <w:vAlign w:val="center"/>
          </w:tcPr>
          <w:p w14:paraId="5CFE8967">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27.118</w:t>
            </w:r>
          </w:p>
        </w:tc>
        <w:tc>
          <w:tcPr>
            <w:tcW w:w="2170" w:type="dxa"/>
            <w:shd w:val="clear" w:color="auto" w:fill="auto"/>
            <w:vAlign w:val="center"/>
          </w:tcPr>
          <w:p w14:paraId="0ADB9AF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15.452</w:t>
            </w:r>
          </w:p>
        </w:tc>
        <w:tc>
          <w:tcPr>
            <w:tcW w:w="2170" w:type="dxa"/>
            <w:shd w:val="clear" w:color="auto" w:fill="auto"/>
            <w:vAlign w:val="center"/>
          </w:tcPr>
          <w:p w14:paraId="78CF902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42.581</w:t>
            </w:r>
          </w:p>
        </w:tc>
      </w:tr>
      <w:tr w14:paraId="44A994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C68E4BE">
            <w:pPr>
              <w:jc w:val="center"/>
              <w:rPr>
                <w:rFonts w:hint="eastAsia" w:cs="Times New Roman"/>
                <w:color w:val="auto"/>
                <w:lang w:val="en-US" w:eastAsia="zh-CN"/>
              </w:rPr>
            </w:pPr>
            <w:r>
              <w:rPr>
                <w:rFonts w:hint="eastAsia" w:cs="Times New Roman"/>
                <w:color w:val="auto"/>
                <w:lang w:val="en-US" w:eastAsia="zh-CN"/>
              </w:rPr>
              <w:t>9月9日</w:t>
            </w:r>
          </w:p>
        </w:tc>
        <w:tc>
          <w:tcPr>
            <w:tcW w:w="2170" w:type="dxa"/>
            <w:vAlign w:val="center"/>
          </w:tcPr>
          <w:p w14:paraId="49D723C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6.917</w:t>
            </w:r>
          </w:p>
        </w:tc>
        <w:tc>
          <w:tcPr>
            <w:tcW w:w="2170" w:type="dxa"/>
            <w:shd w:val="clear" w:color="auto" w:fill="auto"/>
            <w:vAlign w:val="center"/>
          </w:tcPr>
          <w:p w14:paraId="4DE4359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17.647</w:t>
            </w:r>
          </w:p>
        </w:tc>
        <w:tc>
          <w:tcPr>
            <w:tcW w:w="2170" w:type="dxa"/>
            <w:vAlign w:val="center"/>
          </w:tcPr>
          <w:p w14:paraId="7245FBF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12.16</w:t>
            </w:r>
          </w:p>
        </w:tc>
        <w:tc>
          <w:tcPr>
            <w:tcW w:w="2170" w:type="dxa"/>
            <w:shd w:val="clear" w:color="auto" w:fill="auto"/>
            <w:vAlign w:val="center"/>
          </w:tcPr>
          <w:p w14:paraId="7D42983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31.023</w:t>
            </w:r>
          </w:p>
        </w:tc>
        <w:tc>
          <w:tcPr>
            <w:tcW w:w="2170" w:type="dxa"/>
            <w:shd w:val="clear" w:color="auto" w:fill="auto"/>
            <w:vAlign w:val="center"/>
          </w:tcPr>
          <w:p w14:paraId="7C2A320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19.953</w:t>
            </w:r>
          </w:p>
        </w:tc>
        <w:tc>
          <w:tcPr>
            <w:tcW w:w="2170" w:type="dxa"/>
            <w:shd w:val="clear" w:color="auto" w:fill="auto"/>
            <w:vAlign w:val="center"/>
          </w:tcPr>
          <w:p w14:paraId="1D5BD3B7">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50.906</w:t>
            </w:r>
          </w:p>
        </w:tc>
      </w:tr>
      <w:tr w14:paraId="156112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D456B06">
            <w:pPr>
              <w:jc w:val="center"/>
              <w:rPr>
                <w:rFonts w:hint="eastAsia" w:cs="Times New Roman"/>
                <w:color w:val="auto"/>
                <w:lang w:val="en-US" w:eastAsia="zh-CN"/>
              </w:rPr>
            </w:pPr>
            <w:r>
              <w:rPr>
                <w:rFonts w:hint="eastAsia" w:cs="Times New Roman"/>
                <w:color w:val="auto"/>
                <w:lang w:val="en-US" w:eastAsia="zh-CN"/>
              </w:rPr>
              <w:t>9月10日</w:t>
            </w:r>
          </w:p>
        </w:tc>
        <w:tc>
          <w:tcPr>
            <w:tcW w:w="2170" w:type="dxa"/>
            <w:vAlign w:val="center"/>
          </w:tcPr>
          <w:p w14:paraId="1837038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5.854</w:t>
            </w:r>
          </w:p>
        </w:tc>
        <w:tc>
          <w:tcPr>
            <w:tcW w:w="2170" w:type="dxa"/>
            <w:shd w:val="clear" w:color="auto" w:fill="auto"/>
            <w:vAlign w:val="center"/>
          </w:tcPr>
          <w:p w14:paraId="32752F4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16.498</w:t>
            </w:r>
          </w:p>
        </w:tc>
        <w:tc>
          <w:tcPr>
            <w:tcW w:w="2170" w:type="dxa"/>
            <w:vAlign w:val="center"/>
          </w:tcPr>
          <w:p w14:paraId="1139103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8.854</w:t>
            </w:r>
          </w:p>
        </w:tc>
        <w:tc>
          <w:tcPr>
            <w:tcW w:w="2170" w:type="dxa"/>
            <w:shd w:val="clear" w:color="auto" w:fill="auto"/>
            <w:vAlign w:val="center"/>
          </w:tcPr>
          <w:p w14:paraId="66AC9B2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24.95</w:t>
            </w:r>
          </w:p>
        </w:tc>
        <w:tc>
          <w:tcPr>
            <w:tcW w:w="2170" w:type="dxa"/>
            <w:shd w:val="clear" w:color="auto" w:fill="auto"/>
            <w:vAlign w:val="center"/>
          </w:tcPr>
          <w:p w14:paraId="3ED01BA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22.383</w:t>
            </w:r>
          </w:p>
        </w:tc>
        <w:tc>
          <w:tcPr>
            <w:tcW w:w="2170" w:type="dxa"/>
            <w:shd w:val="clear" w:color="auto" w:fill="auto"/>
            <w:vAlign w:val="center"/>
          </w:tcPr>
          <w:p w14:paraId="5967D7D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63.075</w:t>
            </w:r>
          </w:p>
        </w:tc>
      </w:tr>
      <w:tr w14:paraId="37DE4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74B8D2F">
            <w:pPr>
              <w:jc w:val="center"/>
              <w:rPr>
                <w:rFonts w:hint="eastAsia" w:cs="Times New Roman"/>
                <w:color w:val="auto"/>
                <w:lang w:val="en-US" w:eastAsia="zh-CN"/>
              </w:rPr>
            </w:pPr>
            <w:r>
              <w:rPr>
                <w:rFonts w:hint="eastAsia" w:cs="Times New Roman"/>
                <w:color w:val="auto"/>
                <w:lang w:val="en-US" w:eastAsia="zh-CN"/>
              </w:rPr>
              <w:t>9月11日</w:t>
            </w:r>
          </w:p>
        </w:tc>
        <w:tc>
          <w:tcPr>
            <w:tcW w:w="2170" w:type="dxa"/>
            <w:vAlign w:val="center"/>
          </w:tcPr>
          <w:p w14:paraId="2CBD0E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7.575</w:t>
            </w:r>
          </w:p>
        </w:tc>
        <w:tc>
          <w:tcPr>
            <w:tcW w:w="2170" w:type="dxa"/>
            <w:shd w:val="clear" w:color="auto" w:fill="auto"/>
            <w:vAlign w:val="center"/>
          </w:tcPr>
          <w:p w14:paraId="3AE12C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24.128</w:t>
            </w:r>
          </w:p>
        </w:tc>
        <w:tc>
          <w:tcPr>
            <w:tcW w:w="2170" w:type="dxa"/>
            <w:vAlign w:val="center"/>
          </w:tcPr>
          <w:p w14:paraId="10692F0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4.89</w:t>
            </w:r>
          </w:p>
        </w:tc>
        <w:tc>
          <w:tcPr>
            <w:tcW w:w="2170" w:type="dxa"/>
            <w:shd w:val="clear" w:color="auto" w:fill="auto"/>
            <w:vAlign w:val="center"/>
          </w:tcPr>
          <w:p w14:paraId="6B37339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15.575</w:t>
            </w:r>
          </w:p>
        </w:tc>
        <w:tc>
          <w:tcPr>
            <w:tcW w:w="2170" w:type="dxa"/>
            <w:shd w:val="clear" w:color="auto" w:fill="auto"/>
            <w:vAlign w:val="center"/>
          </w:tcPr>
          <w:p w14:paraId="5C3346D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17.006</w:t>
            </w:r>
          </w:p>
        </w:tc>
        <w:tc>
          <w:tcPr>
            <w:tcW w:w="2170" w:type="dxa"/>
            <w:shd w:val="clear" w:color="auto" w:fill="auto"/>
            <w:vAlign w:val="center"/>
          </w:tcPr>
          <w:p w14:paraId="0584782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54.168</w:t>
            </w:r>
          </w:p>
        </w:tc>
      </w:tr>
      <w:tr w14:paraId="18E225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1CC09D4">
            <w:pPr>
              <w:jc w:val="center"/>
              <w:rPr>
                <w:rFonts w:hint="eastAsia" w:cs="Times New Roman"/>
                <w:color w:val="auto"/>
                <w:lang w:val="en-US" w:eastAsia="zh-CN"/>
              </w:rPr>
            </w:pPr>
            <w:r>
              <w:rPr>
                <w:rFonts w:hint="eastAsia" w:cs="Times New Roman"/>
                <w:color w:val="auto"/>
                <w:lang w:val="en-US" w:eastAsia="zh-CN"/>
              </w:rPr>
              <w:t>9月12日</w:t>
            </w:r>
          </w:p>
        </w:tc>
        <w:tc>
          <w:tcPr>
            <w:tcW w:w="2170" w:type="dxa"/>
            <w:vAlign w:val="center"/>
          </w:tcPr>
          <w:p w14:paraId="5CE3251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9.005</w:t>
            </w:r>
          </w:p>
        </w:tc>
        <w:tc>
          <w:tcPr>
            <w:tcW w:w="2170" w:type="dxa"/>
            <w:shd w:val="clear" w:color="auto" w:fill="auto"/>
            <w:vAlign w:val="center"/>
          </w:tcPr>
          <w:p w14:paraId="79A563F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20.797</w:t>
            </w:r>
          </w:p>
        </w:tc>
        <w:tc>
          <w:tcPr>
            <w:tcW w:w="2170" w:type="dxa"/>
            <w:vAlign w:val="center"/>
          </w:tcPr>
          <w:p w14:paraId="6F796BFF">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3.738</w:t>
            </w:r>
          </w:p>
        </w:tc>
        <w:tc>
          <w:tcPr>
            <w:tcW w:w="2170" w:type="dxa"/>
            <w:shd w:val="clear" w:color="auto" w:fill="auto"/>
            <w:vAlign w:val="center"/>
          </w:tcPr>
          <w:p w14:paraId="3DE1C76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8.633</w:t>
            </w:r>
          </w:p>
        </w:tc>
        <w:tc>
          <w:tcPr>
            <w:tcW w:w="2170" w:type="dxa"/>
            <w:shd w:val="clear" w:color="auto" w:fill="auto"/>
            <w:vAlign w:val="center"/>
          </w:tcPr>
          <w:p w14:paraId="4A806F4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17.761</w:t>
            </w:r>
          </w:p>
        </w:tc>
        <w:tc>
          <w:tcPr>
            <w:tcW w:w="2170" w:type="dxa"/>
            <w:shd w:val="clear" w:color="auto" w:fill="auto"/>
            <w:vAlign w:val="center"/>
          </w:tcPr>
          <w:p w14:paraId="048AA81F">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41.021</w:t>
            </w:r>
          </w:p>
        </w:tc>
      </w:tr>
      <w:tr w14:paraId="34C16B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09EEA46">
            <w:pPr>
              <w:jc w:val="center"/>
              <w:rPr>
                <w:rFonts w:hint="eastAsia" w:cs="Times New Roman"/>
                <w:color w:val="auto"/>
                <w:lang w:val="en-US" w:eastAsia="zh-CN"/>
              </w:rPr>
            </w:pPr>
            <w:r>
              <w:rPr>
                <w:rFonts w:hint="eastAsia" w:cs="Times New Roman"/>
                <w:color w:val="auto"/>
                <w:lang w:val="en-US" w:eastAsia="zh-CN"/>
              </w:rPr>
              <w:t>9月13日</w:t>
            </w:r>
          </w:p>
        </w:tc>
        <w:tc>
          <w:tcPr>
            <w:tcW w:w="2170" w:type="dxa"/>
            <w:vAlign w:val="center"/>
          </w:tcPr>
          <w:p w14:paraId="5BC21F1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7.34</w:t>
            </w:r>
          </w:p>
        </w:tc>
        <w:tc>
          <w:tcPr>
            <w:tcW w:w="2170" w:type="dxa"/>
            <w:shd w:val="clear" w:color="auto" w:fill="auto"/>
            <w:vAlign w:val="center"/>
          </w:tcPr>
          <w:p w14:paraId="4B063A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19.62</w:t>
            </w:r>
          </w:p>
        </w:tc>
        <w:tc>
          <w:tcPr>
            <w:tcW w:w="2170" w:type="dxa"/>
            <w:vAlign w:val="center"/>
          </w:tcPr>
          <w:p w14:paraId="12CCD28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3.368</w:t>
            </w:r>
          </w:p>
        </w:tc>
        <w:tc>
          <w:tcPr>
            <w:tcW w:w="2170" w:type="dxa"/>
            <w:shd w:val="clear" w:color="auto" w:fill="auto"/>
            <w:vAlign w:val="center"/>
          </w:tcPr>
          <w:p w14:paraId="07AEA41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9.002</w:t>
            </w:r>
          </w:p>
        </w:tc>
        <w:tc>
          <w:tcPr>
            <w:tcW w:w="2170" w:type="dxa"/>
            <w:shd w:val="clear" w:color="auto" w:fill="auto"/>
            <w:vAlign w:val="center"/>
          </w:tcPr>
          <w:p w14:paraId="6397D874">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29.471</w:t>
            </w:r>
          </w:p>
        </w:tc>
        <w:tc>
          <w:tcPr>
            <w:tcW w:w="2170" w:type="dxa"/>
            <w:shd w:val="clear" w:color="auto" w:fill="auto"/>
            <w:vAlign w:val="center"/>
          </w:tcPr>
          <w:p w14:paraId="1DF5092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78.781</w:t>
            </w:r>
          </w:p>
        </w:tc>
      </w:tr>
      <w:tr w14:paraId="14AF2F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ABBC453">
            <w:pPr>
              <w:jc w:val="center"/>
              <w:rPr>
                <w:rFonts w:hint="eastAsia" w:cs="Times New Roman"/>
                <w:color w:val="auto"/>
                <w:lang w:val="en-US" w:eastAsia="zh-CN"/>
              </w:rPr>
            </w:pPr>
            <w:r>
              <w:rPr>
                <w:rFonts w:hint="eastAsia" w:cs="Times New Roman"/>
                <w:color w:val="auto"/>
                <w:lang w:val="en-US" w:eastAsia="zh-CN"/>
              </w:rPr>
              <w:t>9月14日</w:t>
            </w:r>
          </w:p>
        </w:tc>
        <w:tc>
          <w:tcPr>
            <w:tcW w:w="2170" w:type="dxa"/>
            <w:vAlign w:val="center"/>
          </w:tcPr>
          <w:p w14:paraId="5186D2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6.632</w:t>
            </w:r>
          </w:p>
        </w:tc>
        <w:tc>
          <w:tcPr>
            <w:tcW w:w="2170" w:type="dxa"/>
            <w:shd w:val="clear" w:color="auto" w:fill="auto"/>
            <w:vAlign w:val="center"/>
          </w:tcPr>
          <w:p w14:paraId="21E2CE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19.089</w:t>
            </w:r>
          </w:p>
        </w:tc>
        <w:tc>
          <w:tcPr>
            <w:tcW w:w="2170" w:type="dxa"/>
            <w:vAlign w:val="center"/>
          </w:tcPr>
          <w:p w14:paraId="7A56D0C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8.603</w:t>
            </w:r>
          </w:p>
        </w:tc>
        <w:tc>
          <w:tcPr>
            <w:tcW w:w="2170" w:type="dxa"/>
            <w:shd w:val="clear" w:color="auto" w:fill="auto"/>
            <w:vAlign w:val="center"/>
          </w:tcPr>
          <w:p w14:paraId="554282A3">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24.764</w:t>
            </w:r>
          </w:p>
        </w:tc>
        <w:tc>
          <w:tcPr>
            <w:tcW w:w="2170" w:type="dxa"/>
            <w:shd w:val="clear" w:color="auto" w:fill="auto"/>
            <w:vAlign w:val="center"/>
          </w:tcPr>
          <w:p w14:paraId="07EF2B4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22.793</w:t>
            </w:r>
          </w:p>
        </w:tc>
        <w:tc>
          <w:tcPr>
            <w:tcW w:w="2170" w:type="dxa"/>
            <w:shd w:val="clear" w:color="auto" w:fill="auto"/>
            <w:vAlign w:val="center"/>
          </w:tcPr>
          <w:p w14:paraId="77A8066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65.609</w:t>
            </w:r>
          </w:p>
        </w:tc>
      </w:tr>
      <w:tr w14:paraId="1E0023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7F5F380">
            <w:pPr>
              <w:jc w:val="center"/>
              <w:rPr>
                <w:rFonts w:hint="eastAsia" w:cs="Times New Roman"/>
                <w:color w:val="auto"/>
                <w:lang w:val="en-US" w:eastAsia="zh-CN"/>
              </w:rPr>
            </w:pPr>
            <w:r>
              <w:rPr>
                <w:rFonts w:hint="eastAsia" w:cs="Times New Roman"/>
                <w:color w:val="auto"/>
                <w:lang w:val="en-US" w:eastAsia="zh-CN"/>
              </w:rPr>
              <w:t>9月15日</w:t>
            </w:r>
          </w:p>
        </w:tc>
        <w:tc>
          <w:tcPr>
            <w:tcW w:w="2170" w:type="dxa"/>
            <w:vAlign w:val="center"/>
          </w:tcPr>
          <w:p w14:paraId="75EB0CB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7.297</w:t>
            </w:r>
          </w:p>
        </w:tc>
        <w:tc>
          <w:tcPr>
            <w:tcW w:w="2170" w:type="dxa"/>
            <w:shd w:val="clear" w:color="auto" w:fill="auto"/>
            <w:vAlign w:val="center"/>
          </w:tcPr>
          <w:p w14:paraId="4A807F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21.065</w:t>
            </w:r>
          </w:p>
        </w:tc>
        <w:tc>
          <w:tcPr>
            <w:tcW w:w="2170" w:type="dxa"/>
            <w:vAlign w:val="center"/>
          </w:tcPr>
          <w:p w14:paraId="6DD304B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5.479</w:t>
            </w:r>
          </w:p>
        </w:tc>
        <w:tc>
          <w:tcPr>
            <w:tcW w:w="2170" w:type="dxa"/>
            <w:shd w:val="clear" w:color="auto" w:fill="auto"/>
            <w:vAlign w:val="center"/>
          </w:tcPr>
          <w:p w14:paraId="322777C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15.818</w:t>
            </w:r>
          </w:p>
        </w:tc>
        <w:tc>
          <w:tcPr>
            <w:tcW w:w="2170" w:type="dxa"/>
            <w:shd w:val="clear" w:color="auto" w:fill="auto"/>
            <w:vAlign w:val="center"/>
          </w:tcPr>
          <w:p w14:paraId="6FE3952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23.595</w:t>
            </w:r>
          </w:p>
        </w:tc>
        <w:tc>
          <w:tcPr>
            <w:tcW w:w="2170" w:type="dxa"/>
            <w:shd w:val="clear" w:color="auto" w:fill="auto"/>
            <w:vAlign w:val="center"/>
          </w:tcPr>
          <w:p w14:paraId="350F8A1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68.114</w:t>
            </w:r>
          </w:p>
        </w:tc>
      </w:tr>
      <w:tr w14:paraId="04E676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673DCD1">
            <w:pPr>
              <w:jc w:val="center"/>
              <w:rPr>
                <w:rFonts w:hint="eastAsia" w:cs="Times New Roman"/>
                <w:color w:val="auto"/>
                <w:lang w:val="en-US" w:eastAsia="zh-CN"/>
              </w:rPr>
            </w:pPr>
            <w:r>
              <w:rPr>
                <w:rFonts w:hint="eastAsia" w:cs="Times New Roman"/>
                <w:color w:val="auto"/>
                <w:lang w:val="en-US" w:eastAsia="zh-CN"/>
              </w:rPr>
              <w:t>9月16日</w:t>
            </w:r>
          </w:p>
        </w:tc>
        <w:tc>
          <w:tcPr>
            <w:tcW w:w="2170" w:type="dxa"/>
            <w:vAlign w:val="center"/>
          </w:tcPr>
          <w:p w14:paraId="3F3C0ED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6.568</w:t>
            </w:r>
          </w:p>
        </w:tc>
        <w:tc>
          <w:tcPr>
            <w:tcW w:w="2170" w:type="dxa"/>
            <w:shd w:val="clear" w:color="auto" w:fill="auto"/>
            <w:vAlign w:val="center"/>
          </w:tcPr>
          <w:p w14:paraId="5F24D87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19.988</w:t>
            </w:r>
          </w:p>
        </w:tc>
        <w:tc>
          <w:tcPr>
            <w:tcW w:w="2170" w:type="dxa"/>
            <w:vAlign w:val="center"/>
          </w:tcPr>
          <w:p w14:paraId="05D7B98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8.693</w:t>
            </w:r>
          </w:p>
        </w:tc>
        <w:tc>
          <w:tcPr>
            <w:tcW w:w="2170" w:type="dxa"/>
            <w:shd w:val="clear" w:color="auto" w:fill="auto"/>
            <w:vAlign w:val="center"/>
          </w:tcPr>
          <w:p w14:paraId="338B527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26.454</w:t>
            </w:r>
          </w:p>
        </w:tc>
        <w:tc>
          <w:tcPr>
            <w:tcW w:w="2170" w:type="dxa"/>
            <w:shd w:val="clear" w:color="auto" w:fill="auto"/>
            <w:vAlign w:val="center"/>
          </w:tcPr>
          <w:p w14:paraId="47E0FD4B">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17.423</w:t>
            </w:r>
          </w:p>
        </w:tc>
        <w:tc>
          <w:tcPr>
            <w:tcW w:w="2170" w:type="dxa"/>
            <w:shd w:val="clear" w:color="auto" w:fill="auto"/>
            <w:vAlign w:val="center"/>
          </w:tcPr>
          <w:p w14:paraId="4CE1438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53.021</w:t>
            </w:r>
          </w:p>
        </w:tc>
      </w:tr>
      <w:tr w14:paraId="285099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A38CE2E">
            <w:pPr>
              <w:jc w:val="center"/>
              <w:rPr>
                <w:rFonts w:hint="eastAsia" w:cs="Times New Roman"/>
                <w:color w:val="auto"/>
                <w:lang w:val="en-US" w:eastAsia="zh-CN"/>
              </w:rPr>
            </w:pPr>
            <w:r>
              <w:rPr>
                <w:rFonts w:hint="eastAsia" w:cs="Times New Roman"/>
                <w:color w:val="auto"/>
                <w:lang w:val="en-US" w:eastAsia="zh-CN"/>
              </w:rPr>
              <w:t>9月17日</w:t>
            </w:r>
          </w:p>
        </w:tc>
        <w:tc>
          <w:tcPr>
            <w:tcW w:w="2170" w:type="dxa"/>
            <w:vAlign w:val="center"/>
          </w:tcPr>
          <w:p w14:paraId="49C70A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6.331</w:t>
            </w:r>
          </w:p>
        </w:tc>
        <w:tc>
          <w:tcPr>
            <w:tcW w:w="2170" w:type="dxa"/>
            <w:shd w:val="clear" w:color="auto" w:fill="auto"/>
            <w:vAlign w:val="center"/>
          </w:tcPr>
          <w:p w14:paraId="58B7DA4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3.642</w:t>
            </w:r>
          </w:p>
        </w:tc>
        <w:tc>
          <w:tcPr>
            <w:tcW w:w="2170" w:type="dxa"/>
            <w:vAlign w:val="center"/>
          </w:tcPr>
          <w:p w14:paraId="03414DB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1.663</w:t>
            </w:r>
          </w:p>
        </w:tc>
        <w:tc>
          <w:tcPr>
            <w:tcW w:w="2170" w:type="dxa"/>
            <w:shd w:val="clear" w:color="auto" w:fill="auto"/>
            <w:vAlign w:val="center"/>
          </w:tcPr>
          <w:p w14:paraId="470F40AB">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0.956</w:t>
            </w:r>
          </w:p>
        </w:tc>
        <w:tc>
          <w:tcPr>
            <w:tcW w:w="2170" w:type="dxa"/>
            <w:shd w:val="clear" w:color="auto" w:fill="auto"/>
            <w:vAlign w:val="center"/>
          </w:tcPr>
          <w:p w14:paraId="3000E0CB">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0.007</w:t>
            </w:r>
          </w:p>
        </w:tc>
        <w:tc>
          <w:tcPr>
            <w:tcW w:w="2170" w:type="dxa"/>
            <w:shd w:val="clear" w:color="auto" w:fill="auto"/>
            <w:vAlign w:val="center"/>
          </w:tcPr>
          <w:p w14:paraId="4AB818AF">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0.004</w:t>
            </w:r>
          </w:p>
        </w:tc>
      </w:tr>
      <w:tr w14:paraId="70EC30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9221749">
            <w:pPr>
              <w:jc w:val="center"/>
              <w:rPr>
                <w:rFonts w:hint="eastAsia" w:cs="Times New Roman"/>
                <w:color w:val="auto"/>
                <w:lang w:val="en-US" w:eastAsia="zh-CN"/>
              </w:rPr>
            </w:pPr>
            <w:r>
              <w:rPr>
                <w:rFonts w:hint="eastAsia" w:cs="Times New Roman"/>
                <w:color w:val="auto"/>
                <w:lang w:val="en-US" w:eastAsia="zh-CN"/>
              </w:rPr>
              <w:t>9月18日</w:t>
            </w:r>
          </w:p>
        </w:tc>
        <w:tc>
          <w:tcPr>
            <w:tcW w:w="2170" w:type="dxa"/>
            <w:vAlign w:val="center"/>
          </w:tcPr>
          <w:p w14:paraId="4458D5D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7.516</w:t>
            </w:r>
          </w:p>
        </w:tc>
        <w:tc>
          <w:tcPr>
            <w:tcW w:w="2170" w:type="dxa"/>
            <w:shd w:val="clear" w:color="auto" w:fill="auto"/>
            <w:vAlign w:val="center"/>
          </w:tcPr>
          <w:p w14:paraId="13E4D5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7.041</w:t>
            </w:r>
          </w:p>
        </w:tc>
        <w:tc>
          <w:tcPr>
            <w:tcW w:w="2170" w:type="dxa"/>
            <w:vAlign w:val="center"/>
          </w:tcPr>
          <w:p w14:paraId="7D37BD3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2.339</w:t>
            </w:r>
          </w:p>
        </w:tc>
        <w:tc>
          <w:tcPr>
            <w:tcW w:w="2170" w:type="dxa"/>
            <w:shd w:val="clear" w:color="auto" w:fill="auto"/>
            <w:vAlign w:val="center"/>
          </w:tcPr>
          <w:p w14:paraId="7D27AEA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2.191</w:t>
            </w:r>
          </w:p>
        </w:tc>
        <w:tc>
          <w:tcPr>
            <w:tcW w:w="2170" w:type="dxa"/>
            <w:shd w:val="clear" w:color="auto" w:fill="auto"/>
            <w:vAlign w:val="center"/>
          </w:tcPr>
          <w:p w14:paraId="6A6ADB6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6.729</w:t>
            </w:r>
          </w:p>
        </w:tc>
        <w:tc>
          <w:tcPr>
            <w:tcW w:w="2170" w:type="dxa"/>
            <w:shd w:val="clear" w:color="auto" w:fill="auto"/>
            <w:vAlign w:val="center"/>
          </w:tcPr>
          <w:p w14:paraId="73DAC44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6.304</w:t>
            </w:r>
          </w:p>
        </w:tc>
      </w:tr>
      <w:tr w14:paraId="7A8A83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669731A">
            <w:pPr>
              <w:jc w:val="center"/>
              <w:rPr>
                <w:rFonts w:hint="eastAsia" w:cs="Times New Roman"/>
                <w:color w:val="auto"/>
                <w:lang w:val="en-US" w:eastAsia="zh-CN"/>
              </w:rPr>
            </w:pPr>
            <w:r>
              <w:rPr>
                <w:rFonts w:hint="eastAsia" w:cs="Times New Roman"/>
                <w:color w:val="auto"/>
                <w:lang w:val="en-US" w:eastAsia="zh-CN"/>
              </w:rPr>
              <w:t>9月19日</w:t>
            </w:r>
          </w:p>
        </w:tc>
        <w:tc>
          <w:tcPr>
            <w:tcW w:w="2170" w:type="dxa"/>
            <w:vAlign w:val="center"/>
          </w:tcPr>
          <w:p w14:paraId="0B68E3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6.681</w:t>
            </w:r>
          </w:p>
        </w:tc>
        <w:tc>
          <w:tcPr>
            <w:tcW w:w="2170" w:type="dxa"/>
            <w:shd w:val="clear" w:color="auto" w:fill="auto"/>
            <w:vAlign w:val="center"/>
          </w:tcPr>
          <w:p w14:paraId="77F09A5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18.035</w:t>
            </w:r>
          </w:p>
        </w:tc>
        <w:tc>
          <w:tcPr>
            <w:tcW w:w="2170" w:type="dxa"/>
            <w:vAlign w:val="center"/>
          </w:tcPr>
          <w:p w14:paraId="01DFDBC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4.871</w:t>
            </w:r>
          </w:p>
        </w:tc>
        <w:tc>
          <w:tcPr>
            <w:tcW w:w="2170" w:type="dxa"/>
            <w:shd w:val="clear" w:color="auto" w:fill="auto"/>
            <w:vAlign w:val="center"/>
          </w:tcPr>
          <w:p w14:paraId="01032B9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13.147</w:t>
            </w:r>
          </w:p>
        </w:tc>
        <w:tc>
          <w:tcPr>
            <w:tcW w:w="2170" w:type="dxa"/>
            <w:shd w:val="clear" w:color="auto" w:fill="auto"/>
            <w:vAlign w:val="center"/>
          </w:tcPr>
          <w:p w14:paraId="12442EA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14.322</w:t>
            </w:r>
          </w:p>
        </w:tc>
        <w:tc>
          <w:tcPr>
            <w:tcW w:w="2170" w:type="dxa"/>
            <w:shd w:val="clear" w:color="auto" w:fill="auto"/>
            <w:vAlign w:val="center"/>
          </w:tcPr>
          <w:p w14:paraId="2C3C95E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38.658</w:t>
            </w:r>
          </w:p>
        </w:tc>
      </w:tr>
      <w:tr w14:paraId="46A80B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098CAF4">
            <w:pPr>
              <w:jc w:val="center"/>
              <w:rPr>
                <w:rFonts w:hint="eastAsia" w:cs="Times New Roman"/>
                <w:color w:val="auto"/>
                <w:lang w:val="en-US" w:eastAsia="zh-CN"/>
              </w:rPr>
            </w:pPr>
            <w:r>
              <w:rPr>
                <w:rFonts w:hint="eastAsia" w:cs="Times New Roman"/>
                <w:color w:val="auto"/>
                <w:lang w:val="en-US" w:eastAsia="zh-CN"/>
              </w:rPr>
              <w:t>9月20日</w:t>
            </w:r>
          </w:p>
        </w:tc>
        <w:tc>
          <w:tcPr>
            <w:tcW w:w="2170" w:type="dxa"/>
            <w:vAlign w:val="center"/>
          </w:tcPr>
          <w:p w14:paraId="22B7A7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6.437</w:t>
            </w:r>
          </w:p>
        </w:tc>
        <w:tc>
          <w:tcPr>
            <w:tcW w:w="2170" w:type="dxa"/>
            <w:shd w:val="clear" w:color="auto" w:fill="auto"/>
            <w:vAlign w:val="center"/>
          </w:tcPr>
          <w:p w14:paraId="6F28BED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16.447</w:t>
            </w:r>
          </w:p>
        </w:tc>
        <w:tc>
          <w:tcPr>
            <w:tcW w:w="2170" w:type="dxa"/>
            <w:vAlign w:val="center"/>
          </w:tcPr>
          <w:p w14:paraId="4F512DB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7.169</w:t>
            </w:r>
          </w:p>
        </w:tc>
        <w:tc>
          <w:tcPr>
            <w:tcW w:w="2170" w:type="dxa"/>
            <w:shd w:val="clear" w:color="auto" w:fill="auto"/>
            <w:vAlign w:val="center"/>
          </w:tcPr>
          <w:p w14:paraId="1F0EF9F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18.316</w:t>
            </w:r>
          </w:p>
        </w:tc>
        <w:tc>
          <w:tcPr>
            <w:tcW w:w="2170" w:type="dxa"/>
            <w:shd w:val="clear" w:color="auto" w:fill="auto"/>
            <w:vAlign w:val="center"/>
          </w:tcPr>
          <w:p w14:paraId="1C0FBCD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19.408</w:t>
            </w:r>
          </w:p>
        </w:tc>
        <w:tc>
          <w:tcPr>
            <w:tcW w:w="2170" w:type="dxa"/>
            <w:shd w:val="clear" w:color="auto" w:fill="auto"/>
            <w:vAlign w:val="center"/>
          </w:tcPr>
          <w:p w14:paraId="16D9C2E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49.586</w:t>
            </w:r>
          </w:p>
        </w:tc>
      </w:tr>
      <w:tr w14:paraId="137C5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B00E151">
            <w:pPr>
              <w:jc w:val="center"/>
              <w:rPr>
                <w:rFonts w:hint="eastAsia" w:cs="Times New Roman"/>
                <w:color w:val="auto"/>
                <w:lang w:val="en-US" w:eastAsia="zh-CN"/>
              </w:rPr>
            </w:pPr>
            <w:r>
              <w:rPr>
                <w:rFonts w:hint="eastAsia" w:cs="Times New Roman"/>
                <w:color w:val="auto"/>
                <w:lang w:val="en-US" w:eastAsia="zh-CN"/>
              </w:rPr>
              <w:t>9月21日</w:t>
            </w:r>
          </w:p>
        </w:tc>
        <w:tc>
          <w:tcPr>
            <w:tcW w:w="2170" w:type="dxa"/>
            <w:vAlign w:val="center"/>
          </w:tcPr>
          <w:p w14:paraId="793632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6.386</w:t>
            </w:r>
          </w:p>
        </w:tc>
        <w:tc>
          <w:tcPr>
            <w:tcW w:w="2170" w:type="dxa"/>
            <w:shd w:val="clear" w:color="auto" w:fill="auto"/>
            <w:vAlign w:val="center"/>
          </w:tcPr>
          <w:p w14:paraId="5A2C697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5.082</w:t>
            </w:r>
          </w:p>
        </w:tc>
        <w:tc>
          <w:tcPr>
            <w:tcW w:w="2170" w:type="dxa"/>
            <w:vAlign w:val="center"/>
          </w:tcPr>
          <w:p w14:paraId="5C3669E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0.406</w:t>
            </w:r>
          </w:p>
        </w:tc>
        <w:tc>
          <w:tcPr>
            <w:tcW w:w="2170" w:type="dxa"/>
            <w:shd w:val="clear" w:color="auto" w:fill="auto"/>
            <w:vAlign w:val="center"/>
          </w:tcPr>
          <w:p w14:paraId="6B0D135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0.323</w:t>
            </w:r>
          </w:p>
        </w:tc>
        <w:tc>
          <w:tcPr>
            <w:tcW w:w="2170" w:type="dxa"/>
            <w:shd w:val="clear" w:color="auto" w:fill="auto"/>
            <w:vAlign w:val="center"/>
          </w:tcPr>
          <w:p w14:paraId="455979B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21.723</w:t>
            </w:r>
          </w:p>
        </w:tc>
        <w:tc>
          <w:tcPr>
            <w:tcW w:w="2170" w:type="dxa"/>
            <w:shd w:val="clear" w:color="auto" w:fill="auto"/>
            <w:vAlign w:val="center"/>
          </w:tcPr>
          <w:p w14:paraId="3485E707">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17.288</w:t>
            </w:r>
          </w:p>
        </w:tc>
      </w:tr>
      <w:tr w14:paraId="0BF6E2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F0F389A">
            <w:pPr>
              <w:jc w:val="center"/>
              <w:rPr>
                <w:rFonts w:hint="eastAsia" w:cs="Times New Roman"/>
                <w:color w:val="auto"/>
                <w:lang w:val="en-US" w:eastAsia="zh-CN"/>
              </w:rPr>
            </w:pPr>
            <w:r>
              <w:rPr>
                <w:rFonts w:hint="eastAsia" w:cs="Times New Roman"/>
                <w:color w:val="auto"/>
                <w:lang w:val="en-US" w:eastAsia="zh-CN"/>
              </w:rPr>
              <w:t>9月22日</w:t>
            </w:r>
          </w:p>
        </w:tc>
        <w:tc>
          <w:tcPr>
            <w:tcW w:w="2170" w:type="dxa"/>
            <w:vAlign w:val="center"/>
          </w:tcPr>
          <w:p w14:paraId="08B0861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6.614</w:t>
            </w:r>
          </w:p>
        </w:tc>
        <w:tc>
          <w:tcPr>
            <w:tcW w:w="2170" w:type="dxa"/>
            <w:shd w:val="clear" w:color="auto" w:fill="auto"/>
            <w:vAlign w:val="center"/>
          </w:tcPr>
          <w:p w14:paraId="384370C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18.242</w:t>
            </w:r>
          </w:p>
        </w:tc>
        <w:tc>
          <w:tcPr>
            <w:tcW w:w="2170" w:type="dxa"/>
            <w:vAlign w:val="center"/>
          </w:tcPr>
          <w:p w14:paraId="0E84ECF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7.449</w:t>
            </w:r>
          </w:p>
        </w:tc>
        <w:tc>
          <w:tcPr>
            <w:tcW w:w="2170" w:type="dxa"/>
            <w:shd w:val="clear" w:color="auto" w:fill="auto"/>
            <w:vAlign w:val="center"/>
          </w:tcPr>
          <w:p w14:paraId="6CE73C6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20.546</w:t>
            </w:r>
          </w:p>
        </w:tc>
        <w:tc>
          <w:tcPr>
            <w:tcW w:w="2170" w:type="dxa"/>
            <w:shd w:val="clear" w:color="auto" w:fill="auto"/>
            <w:vAlign w:val="center"/>
          </w:tcPr>
          <w:p w14:paraId="1CC86F4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31.016</w:t>
            </w:r>
          </w:p>
        </w:tc>
        <w:tc>
          <w:tcPr>
            <w:tcW w:w="2170" w:type="dxa"/>
            <w:shd w:val="clear" w:color="auto" w:fill="auto"/>
            <w:vAlign w:val="center"/>
          </w:tcPr>
          <w:p w14:paraId="38ACEE26">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85.551</w:t>
            </w:r>
          </w:p>
        </w:tc>
      </w:tr>
      <w:tr w14:paraId="25B1DF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7B71842">
            <w:pPr>
              <w:jc w:val="center"/>
              <w:rPr>
                <w:rFonts w:hint="eastAsia" w:cs="Times New Roman"/>
                <w:color w:val="auto"/>
                <w:lang w:val="en-US" w:eastAsia="zh-CN"/>
              </w:rPr>
            </w:pPr>
            <w:r>
              <w:rPr>
                <w:rFonts w:hint="eastAsia" w:cs="Times New Roman"/>
                <w:color w:val="auto"/>
                <w:lang w:val="en-US" w:eastAsia="zh-CN"/>
              </w:rPr>
              <w:t>9月23日</w:t>
            </w:r>
          </w:p>
        </w:tc>
        <w:tc>
          <w:tcPr>
            <w:tcW w:w="2170" w:type="dxa"/>
            <w:vAlign w:val="center"/>
          </w:tcPr>
          <w:p w14:paraId="74146D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6.521</w:t>
            </w:r>
          </w:p>
        </w:tc>
        <w:tc>
          <w:tcPr>
            <w:tcW w:w="2170" w:type="dxa"/>
            <w:shd w:val="clear" w:color="auto" w:fill="auto"/>
            <w:vAlign w:val="center"/>
          </w:tcPr>
          <w:p w14:paraId="68F106D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19.159</w:t>
            </w:r>
          </w:p>
        </w:tc>
        <w:tc>
          <w:tcPr>
            <w:tcW w:w="2170" w:type="dxa"/>
            <w:vAlign w:val="center"/>
          </w:tcPr>
          <w:p w14:paraId="24AFF1EC">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8.199</w:t>
            </w:r>
          </w:p>
        </w:tc>
        <w:tc>
          <w:tcPr>
            <w:tcW w:w="2170" w:type="dxa"/>
            <w:shd w:val="clear" w:color="auto" w:fill="auto"/>
            <w:vAlign w:val="center"/>
          </w:tcPr>
          <w:p w14:paraId="0BAAC30B">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24.087</w:t>
            </w:r>
          </w:p>
        </w:tc>
        <w:tc>
          <w:tcPr>
            <w:tcW w:w="2170" w:type="dxa"/>
            <w:shd w:val="clear" w:color="auto" w:fill="auto"/>
            <w:vAlign w:val="center"/>
          </w:tcPr>
          <w:p w14:paraId="19BE6DB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22.12</w:t>
            </w:r>
          </w:p>
        </w:tc>
        <w:tc>
          <w:tcPr>
            <w:tcW w:w="2170" w:type="dxa"/>
            <w:shd w:val="clear" w:color="auto" w:fill="auto"/>
            <w:vAlign w:val="center"/>
          </w:tcPr>
          <w:p w14:paraId="19E3165E">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64.989</w:t>
            </w:r>
          </w:p>
        </w:tc>
      </w:tr>
      <w:tr w14:paraId="1AEA33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6C4993D">
            <w:pPr>
              <w:jc w:val="center"/>
              <w:rPr>
                <w:rFonts w:hint="eastAsia" w:cs="Times New Roman"/>
                <w:color w:val="auto"/>
                <w:lang w:val="en-US" w:eastAsia="zh-CN"/>
              </w:rPr>
            </w:pPr>
            <w:r>
              <w:rPr>
                <w:rFonts w:hint="eastAsia" w:cs="Times New Roman"/>
                <w:color w:val="auto"/>
                <w:lang w:val="en-US" w:eastAsia="zh-CN"/>
              </w:rPr>
              <w:t>9月24日</w:t>
            </w:r>
          </w:p>
        </w:tc>
        <w:tc>
          <w:tcPr>
            <w:tcW w:w="2170" w:type="dxa"/>
            <w:vAlign w:val="center"/>
          </w:tcPr>
          <w:p w14:paraId="36C8EC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6.206</w:t>
            </w:r>
          </w:p>
        </w:tc>
        <w:tc>
          <w:tcPr>
            <w:tcW w:w="2170" w:type="dxa"/>
            <w:shd w:val="clear" w:color="auto" w:fill="auto"/>
            <w:vAlign w:val="center"/>
          </w:tcPr>
          <w:p w14:paraId="16AC02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17.664</w:t>
            </w:r>
          </w:p>
        </w:tc>
        <w:tc>
          <w:tcPr>
            <w:tcW w:w="2170" w:type="dxa"/>
            <w:vAlign w:val="center"/>
          </w:tcPr>
          <w:p w14:paraId="45DD890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7.328</w:t>
            </w:r>
          </w:p>
        </w:tc>
        <w:tc>
          <w:tcPr>
            <w:tcW w:w="2170" w:type="dxa"/>
            <w:shd w:val="clear" w:color="auto" w:fill="auto"/>
            <w:vAlign w:val="center"/>
          </w:tcPr>
          <w:p w14:paraId="338F061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20.859</w:t>
            </w:r>
          </w:p>
        </w:tc>
        <w:tc>
          <w:tcPr>
            <w:tcW w:w="2170" w:type="dxa"/>
            <w:shd w:val="clear" w:color="auto" w:fill="auto"/>
            <w:vAlign w:val="center"/>
          </w:tcPr>
          <w:p w14:paraId="3483F26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31.644</w:t>
            </w:r>
          </w:p>
        </w:tc>
        <w:tc>
          <w:tcPr>
            <w:tcW w:w="2170" w:type="dxa"/>
            <w:shd w:val="clear" w:color="auto" w:fill="auto"/>
            <w:vAlign w:val="center"/>
          </w:tcPr>
          <w:p w14:paraId="46D6747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90.069</w:t>
            </w:r>
          </w:p>
        </w:tc>
      </w:tr>
      <w:tr w14:paraId="67ACDA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C31C8B5">
            <w:pPr>
              <w:jc w:val="center"/>
              <w:rPr>
                <w:rFonts w:hint="eastAsia" w:cs="Times New Roman"/>
                <w:color w:val="auto"/>
                <w:lang w:val="en-US" w:eastAsia="zh-CN"/>
              </w:rPr>
            </w:pPr>
            <w:r>
              <w:rPr>
                <w:rFonts w:hint="eastAsia" w:cs="Times New Roman"/>
                <w:color w:val="auto"/>
                <w:lang w:val="en-US" w:eastAsia="zh-CN"/>
              </w:rPr>
              <w:t>9月25日</w:t>
            </w:r>
          </w:p>
        </w:tc>
        <w:tc>
          <w:tcPr>
            <w:tcW w:w="2170" w:type="dxa"/>
            <w:vAlign w:val="center"/>
          </w:tcPr>
          <w:p w14:paraId="7F5A50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5.911</w:t>
            </w:r>
          </w:p>
        </w:tc>
        <w:tc>
          <w:tcPr>
            <w:tcW w:w="2170" w:type="dxa"/>
            <w:shd w:val="clear" w:color="auto" w:fill="auto"/>
            <w:vAlign w:val="center"/>
          </w:tcPr>
          <w:p w14:paraId="47C6059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18.407</w:t>
            </w:r>
          </w:p>
        </w:tc>
        <w:tc>
          <w:tcPr>
            <w:tcW w:w="2170" w:type="dxa"/>
            <w:vAlign w:val="center"/>
          </w:tcPr>
          <w:p w14:paraId="65E56CA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6.841</w:t>
            </w:r>
          </w:p>
        </w:tc>
        <w:tc>
          <w:tcPr>
            <w:tcW w:w="2170" w:type="dxa"/>
            <w:shd w:val="clear" w:color="auto" w:fill="auto"/>
            <w:vAlign w:val="center"/>
          </w:tcPr>
          <w:p w14:paraId="4A0ADCF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21.304</w:t>
            </w:r>
          </w:p>
        </w:tc>
        <w:tc>
          <w:tcPr>
            <w:tcW w:w="2170" w:type="dxa"/>
            <w:shd w:val="clear" w:color="auto" w:fill="auto"/>
            <w:vAlign w:val="center"/>
          </w:tcPr>
          <w:p w14:paraId="5C0E3ED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29.927</w:t>
            </w:r>
          </w:p>
        </w:tc>
        <w:tc>
          <w:tcPr>
            <w:tcW w:w="2170" w:type="dxa"/>
            <w:shd w:val="clear" w:color="auto" w:fill="auto"/>
            <w:vAlign w:val="center"/>
          </w:tcPr>
          <w:p w14:paraId="748AFB8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93.195</w:t>
            </w:r>
          </w:p>
        </w:tc>
      </w:tr>
      <w:tr w14:paraId="30758B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8E85DEC">
            <w:pPr>
              <w:jc w:val="center"/>
              <w:rPr>
                <w:rFonts w:hint="eastAsia" w:cs="Times New Roman"/>
                <w:color w:val="auto"/>
                <w:lang w:val="en-US" w:eastAsia="zh-CN"/>
              </w:rPr>
            </w:pPr>
            <w:r>
              <w:rPr>
                <w:rFonts w:hint="eastAsia" w:cs="Times New Roman"/>
                <w:color w:val="auto"/>
                <w:lang w:val="en-US" w:eastAsia="zh-CN"/>
              </w:rPr>
              <w:t>9月26日</w:t>
            </w:r>
          </w:p>
        </w:tc>
        <w:tc>
          <w:tcPr>
            <w:tcW w:w="2170" w:type="dxa"/>
            <w:vAlign w:val="center"/>
          </w:tcPr>
          <w:p w14:paraId="198451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5.989</w:t>
            </w:r>
          </w:p>
        </w:tc>
        <w:tc>
          <w:tcPr>
            <w:tcW w:w="2170" w:type="dxa"/>
            <w:shd w:val="clear" w:color="auto" w:fill="auto"/>
            <w:vAlign w:val="center"/>
          </w:tcPr>
          <w:p w14:paraId="0DF5159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18.364</w:t>
            </w:r>
          </w:p>
        </w:tc>
        <w:tc>
          <w:tcPr>
            <w:tcW w:w="2170" w:type="dxa"/>
            <w:vAlign w:val="center"/>
          </w:tcPr>
          <w:p w14:paraId="0DEBC00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13.796</w:t>
            </w:r>
          </w:p>
        </w:tc>
        <w:tc>
          <w:tcPr>
            <w:tcW w:w="2170" w:type="dxa"/>
            <w:shd w:val="clear" w:color="auto" w:fill="auto"/>
            <w:vAlign w:val="center"/>
          </w:tcPr>
          <w:p w14:paraId="162EC40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42.302</w:t>
            </w:r>
          </w:p>
        </w:tc>
        <w:tc>
          <w:tcPr>
            <w:tcW w:w="2170" w:type="dxa"/>
            <w:shd w:val="clear" w:color="auto" w:fill="auto"/>
            <w:vAlign w:val="center"/>
          </w:tcPr>
          <w:p w14:paraId="066407B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25.869</w:t>
            </w:r>
          </w:p>
        </w:tc>
        <w:tc>
          <w:tcPr>
            <w:tcW w:w="2170" w:type="dxa"/>
            <w:shd w:val="clear" w:color="auto" w:fill="auto"/>
            <w:vAlign w:val="center"/>
          </w:tcPr>
          <w:p w14:paraId="4E24C64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79.318</w:t>
            </w:r>
          </w:p>
        </w:tc>
      </w:tr>
      <w:tr w14:paraId="73C148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8A9B5ED">
            <w:pPr>
              <w:jc w:val="center"/>
              <w:rPr>
                <w:rFonts w:hint="eastAsia" w:cs="Times New Roman"/>
                <w:color w:val="auto"/>
                <w:lang w:val="en-US" w:eastAsia="zh-CN"/>
              </w:rPr>
            </w:pPr>
            <w:r>
              <w:rPr>
                <w:rFonts w:hint="eastAsia" w:cs="Times New Roman"/>
                <w:color w:val="auto"/>
                <w:lang w:val="en-US" w:eastAsia="zh-CN"/>
              </w:rPr>
              <w:t>9月27日</w:t>
            </w:r>
          </w:p>
        </w:tc>
        <w:tc>
          <w:tcPr>
            <w:tcW w:w="2170" w:type="dxa"/>
            <w:vAlign w:val="center"/>
          </w:tcPr>
          <w:p w14:paraId="787F887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6.294</w:t>
            </w:r>
          </w:p>
        </w:tc>
        <w:tc>
          <w:tcPr>
            <w:tcW w:w="2170" w:type="dxa"/>
            <w:shd w:val="clear" w:color="auto" w:fill="auto"/>
            <w:vAlign w:val="center"/>
          </w:tcPr>
          <w:p w14:paraId="3A99DD5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19.303</w:t>
            </w:r>
          </w:p>
        </w:tc>
        <w:tc>
          <w:tcPr>
            <w:tcW w:w="2170" w:type="dxa"/>
            <w:vAlign w:val="center"/>
          </w:tcPr>
          <w:p w14:paraId="56898DB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10.563</w:t>
            </w:r>
          </w:p>
        </w:tc>
        <w:tc>
          <w:tcPr>
            <w:tcW w:w="2170" w:type="dxa"/>
            <w:shd w:val="clear" w:color="auto" w:fill="auto"/>
            <w:vAlign w:val="center"/>
          </w:tcPr>
          <w:p w14:paraId="7C87867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32.396</w:t>
            </w:r>
          </w:p>
        </w:tc>
        <w:tc>
          <w:tcPr>
            <w:tcW w:w="2170" w:type="dxa"/>
            <w:shd w:val="clear" w:color="auto" w:fill="auto"/>
            <w:vAlign w:val="center"/>
          </w:tcPr>
          <w:p w14:paraId="16B311D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22.803</w:t>
            </w:r>
          </w:p>
        </w:tc>
        <w:tc>
          <w:tcPr>
            <w:tcW w:w="2170" w:type="dxa"/>
            <w:shd w:val="clear" w:color="auto" w:fill="auto"/>
            <w:vAlign w:val="center"/>
          </w:tcPr>
          <w:p w14:paraId="178BC4B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69.935</w:t>
            </w:r>
          </w:p>
        </w:tc>
      </w:tr>
      <w:tr w14:paraId="7145BF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0F62CAD">
            <w:pPr>
              <w:jc w:val="center"/>
              <w:rPr>
                <w:rFonts w:hint="eastAsia" w:cs="Times New Roman"/>
                <w:color w:val="auto"/>
                <w:lang w:val="en-US" w:eastAsia="zh-CN"/>
              </w:rPr>
            </w:pPr>
            <w:r>
              <w:rPr>
                <w:rFonts w:hint="eastAsia" w:cs="Times New Roman"/>
                <w:color w:val="auto"/>
                <w:lang w:val="en-US" w:eastAsia="zh-CN"/>
              </w:rPr>
              <w:t>9月28日</w:t>
            </w:r>
          </w:p>
        </w:tc>
        <w:tc>
          <w:tcPr>
            <w:tcW w:w="2170" w:type="dxa"/>
            <w:vAlign w:val="center"/>
          </w:tcPr>
          <w:p w14:paraId="7CCA756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6.183</w:t>
            </w:r>
          </w:p>
        </w:tc>
        <w:tc>
          <w:tcPr>
            <w:tcW w:w="2170" w:type="dxa"/>
            <w:shd w:val="clear" w:color="auto" w:fill="auto"/>
            <w:vAlign w:val="center"/>
          </w:tcPr>
          <w:p w14:paraId="3605449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17.359</w:t>
            </w:r>
          </w:p>
        </w:tc>
        <w:tc>
          <w:tcPr>
            <w:tcW w:w="2170" w:type="dxa"/>
            <w:vAlign w:val="center"/>
          </w:tcPr>
          <w:p w14:paraId="1E652D9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19.862</w:t>
            </w:r>
          </w:p>
        </w:tc>
        <w:tc>
          <w:tcPr>
            <w:tcW w:w="2170" w:type="dxa"/>
            <w:shd w:val="clear" w:color="auto" w:fill="auto"/>
            <w:vAlign w:val="center"/>
          </w:tcPr>
          <w:p w14:paraId="1803102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55.768</w:t>
            </w:r>
          </w:p>
        </w:tc>
        <w:tc>
          <w:tcPr>
            <w:tcW w:w="2170" w:type="dxa"/>
            <w:shd w:val="clear" w:color="auto" w:fill="auto"/>
            <w:vAlign w:val="center"/>
          </w:tcPr>
          <w:p w14:paraId="6E38728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30.197</w:t>
            </w:r>
          </w:p>
        </w:tc>
        <w:tc>
          <w:tcPr>
            <w:tcW w:w="2170" w:type="dxa"/>
            <w:shd w:val="clear" w:color="auto" w:fill="auto"/>
            <w:vAlign w:val="center"/>
          </w:tcPr>
          <w:p w14:paraId="45E29476">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84.785</w:t>
            </w:r>
          </w:p>
        </w:tc>
      </w:tr>
      <w:tr w14:paraId="752CDD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37A679D">
            <w:pPr>
              <w:jc w:val="center"/>
              <w:rPr>
                <w:rFonts w:hint="eastAsia" w:cs="Times New Roman"/>
                <w:color w:val="auto"/>
                <w:lang w:val="en-US" w:eastAsia="zh-CN"/>
              </w:rPr>
            </w:pPr>
            <w:r>
              <w:rPr>
                <w:rFonts w:hint="eastAsia" w:cs="Times New Roman"/>
                <w:color w:val="auto"/>
                <w:lang w:val="en-US" w:eastAsia="zh-CN"/>
              </w:rPr>
              <w:t>9月29日</w:t>
            </w:r>
          </w:p>
        </w:tc>
        <w:tc>
          <w:tcPr>
            <w:tcW w:w="2170" w:type="dxa"/>
            <w:vAlign w:val="center"/>
          </w:tcPr>
          <w:p w14:paraId="2C8B33F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6.099</w:t>
            </w:r>
          </w:p>
        </w:tc>
        <w:tc>
          <w:tcPr>
            <w:tcW w:w="2170" w:type="dxa"/>
            <w:shd w:val="clear" w:color="auto" w:fill="auto"/>
            <w:vAlign w:val="center"/>
          </w:tcPr>
          <w:p w14:paraId="358CBB6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16.332</w:t>
            </w:r>
          </w:p>
        </w:tc>
        <w:tc>
          <w:tcPr>
            <w:tcW w:w="2170" w:type="dxa"/>
            <w:vAlign w:val="center"/>
          </w:tcPr>
          <w:p w14:paraId="117ADD1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10.585</w:t>
            </w:r>
          </w:p>
        </w:tc>
        <w:tc>
          <w:tcPr>
            <w:tcW w:w="2170" w:type="dxa"/>
            <w:shd w:val="clear" w:color="auto" w:fill="auto"/>
            <w:vAlign w:val="center"/>
          </w:tcPr>
          <w:p w14:paraId="0629FAF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28.344</w:t>
            </w:r>
          </w:p>
        </w:tc>
        <w:tc>
          <w:tcPr>
            <w:tcW w:w="2170" w:type="dxa"/>
            <w:shd w:val="clear" w:color="auto" w:fill="auto"/>
            <w:vAlign w:val="center"/>
          </w:tcPr>
          <w:p w14:paraId="1C44179C">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16.44</w:t>
            </w:r>
          </w:p>
        </w:tc>
        <w:tc>
          <w:tcPr>
            <w:tcW w:w="2170" w:type="dxa"/>
            <w:shd w:val="clear" w:color="auto" w:fill="auto"/>
            <w:vAlign w:val="center"/>
          </w:tcPr>
          <w:p w14:paraId="73F88B6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44.02</w:t>
            </w:r>
          </w:p>
        </w:tc>
      </w:tr>
      <w:tr w14:paraId="6E6806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D2B8D20">
            <w:pPr>
              <w:jc w:val="center"/>
              <w:rPr>
                <w:rFonts w:hint="eastAsia" w:cs="Times New Roman"/>
                <w:color w:val="auto"/>
                <w:lang w:val="en-US" w:eastAsia="zh-CN"/>
              </w:rPr>
            </w:pPr>
            <w:r>
              <w:rPr>
                <w:rFonts w:hint="eastAsia" w:cs="Times New Roman"/>
                <w:color w:val="auto"/>
                <w:lang w:val="en-US" w:eastAsia="zh-CN"/>
              </w:rPr>
              <w:t>9月30日</w:t>
            </w:r>
          </w:p>
        </w:tc>
        <w:tc>
          <w:tcPr>
            <w:tcW w:w="2170" w:type="dxa"/>
            <w:vAlign w:val="center"/>
          </w:tcPr>
          <w:p w14:paraId="477FBD2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7.493</w:t>
            </w:r>
          </w:p>
        </w:tc>
        <w:tc>
          <w:tcPr>
            <w:tcW w:w="2170" w:type="dxa"/>
            <w:shd w:val="clear" w:color="auto" w:fill="auto"/>
            <w:vAlign w:val="center"/>
          </w:tcPr>
          <w:p w14:paraId="2ECAE82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21.397</w:t>
            </w:r>
          </w:p>
        </w:tc>
        <w:tc>
          <w:tcPr>
            <w:tcW w:w="2170" w:type="dxa"/>
            <w:vAlign w:val="center"/>
          </w:tcPr>
          <w:p w14:paraId="758C741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6.474</w:t>
            </w:r>
          </w:p>
        </w:tc>
        <w:tc>
          <w:tcPr>
            <w:tcW w:w="2170" w:type="dxa"/>
            <w:shd w:val="clear" w:color="auto" w:fill="auto"/>
            <w:vAlign w:val="center"/>
          </w:tcPr>
          <w:p w14:paraId="26FFE7D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18.485</w:t>
            </w:r>
          </w:p>
        </w:tc>
        <w:tc>
          <w:tcPr>
            <w:tcW w:w="2170" w:type="dxa"/>
            <w:shd w:val="clear" w:color="auto" w:fill="auto"/>
            <w:vAlign w:val="center"/>
          </w:tcPr>
          <w:p w14:paraId="2BB3E8F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11.747</w:t>
            </w:r>
          </w:p>
        </w:tc>
        <w:tc>
          <w:tcPr>
            <w:tcW w:w="2170" w:type="dxa"/>
            <w:shd w:val="clear" w:color="auto" w:fill="auto"/>
            <w:vAlign w:val="center"/>
          </w:tcPr>
          <w:p w14:paraId="01E2990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33.544</w:t>
            </w:r>
          </w:p>
        </w:tc>
      </w:tr>
      <w:tr w14:paraId="260CC2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2F0EBAD">
            <w:pPr>
              <w:jc w:val="center"/>
              <w:rPr>
                <w:rFonts w:hint="default" w:cs="Times New Roman"/>
                <w:color w:val="auto"/>
                <w:lang w:val="en-US" w:eastAsia="zh-CN"/>
              </w:rPr>
            </w:pPr>
            <w:r>
              <w:rPr>
                <w:rFonts w:hint="eastAsia" w:cs="Times New Roman"/>
                <w:color w:val="auto"/>
                <w:lang w:val="en-US" w:eastAsia="zh-CN"/>
              </w:rPr>
              <w:t>平均值</w:t>
            </w:r>
          </w:p>
        </w:tc>
        <w:tc>
          <w:tcPr>
            <w:tcW w:w="2170" w:type="dxa"/>
            <w:vAlign w:val="center"/>
          </w:tcPr>
          <w:p w14:paraId="035876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6.717</w:t>
            </w:r>
          </w:p>
        </w:tc>
        <w:tc>
          <w:tcPr>
            <w:tcW w:w="2170" w:type="dxa"/>
            <w:shd w:val="clear" w:color="auto" w:fill="auto"/>
            <w:vAlign w:val="center"/>
          </w:tcPr>
          <w:p w14:paraId="5BE5941F">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0"/>
                <w:szCs w:val="21"/>
              </w:rPr>
              <w:t>/</w:t>
            </w:r>
          </w:p>
        </w:tc>
        <w:tc>
          <w:tcPr>
            <w:tcW w:w="767" w:type="pct"/>
            <w:vAlign w:val="center"/>
          </w:tcPr>
          <w:p w14:paraId="56DE388F">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7.158</w:t>
            </w:r>
          </w:p>
        </w:tc>
        <w:tc>
          <w:tcPr>
            <w:tcW w:w="767" w:type="pct"/>
            <w:shd w:val="clear" w:color="auto" w:fill="auto"/>
            <w:vAlign w:val="center"/>
          </w:tcPr>
          <w:p w14:paraId="6E743B90">
            <w:pPr>
              <w:keepNext w:val="0"/>
              <w:keepLines w:val="0"/>
              <w:widowControl/>
              <w:suppressLineNumbers w:val="0"/>
              <w:jc w:val="center"/>
              <w:textAlignment w:val="center"/>
              <w:rPr>
                <w:rFonts w:hint="eastAsia"/>
                <w:color w:val="auto"/>
                <w:kern w:val="0"/>
                <w:szCs w:val="21"/>
              </w:rPr>
            </w:pPr>
            <w:r>
              <w:rPr>
                <w:rFonts w:hint="eastAsia"/>
                <w:color w:val="auto"/>
                <w:kern w:val="0"/>
                <w:szCs w:val="21"/>
              </w:rPr>
              <w:t>/</w:t>
            </w:r>
          </w:p>
        </w:tc>
        <w:tc>
          <w:tcPr>
            <w:tcW w:w="767" w:type="pct"/>
            <w:shd w:val="clear" w:color="auto" w:fill="auto"/>
            <w:vAlign w:val="center"/>
          </w:tcPr>
          <w:p w14:paraId="3EE4938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19.206</w:t>
            </w:r>
          </w:p>
        </w:tc>
        <w:tc>
          <w:tcPr>
            <w:tcW w:w="767" w:type="pct"/>
            <w:shd w:val="clear" w:color="auto" w:fill="auto"/>
            <w:vAlign w:val="center"/>
          </w:tcPr>
          <w:p w14:paraId="1C477194">
            <w:pPr>
              <w:keepNext w:val="0"/>
              <w:keepLines w:val="0"/>
              <w:widowControl/>
              <w:suppressLineNumbers w:val="0"/>
              <w:jc w:val="center"/>
              <w:textAlignment w:val="center"/>
              <w:rPr>
                <w:rFonts w:hint="eastAsia"/>
                <w:color w:val="auto"/>
                <w:kern w:val="0"/>
                <w:szCs w:val="21"/>
              </w:rPr>
            </w:pPr>
            <w:r>
              <w:rPr>
                <w:rFonts w:hint="eastAsia"/>
                <w:color w:val="auto"/>
                <w:kern w:val="0"/>
                <w:szCs w:val="21"/>
              </w:rPr>
              <w:t>/</w:t>
            </w:r>
          </w:p>
        </w:tc>
      </w:tr>
      <w:tr w14:paraId="6CCBCC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48CFC05">
            <w:pPr>
              <w:pStyle w:val="9"/>
              <w:spacing w:after="0"/>
              <w:jc w:val="center"/>
              <w:rPr>
                <w:color w:val="auto"/>
                <w:kern w:val="0"/>
                <w:szCs w:val="21"/>
              </w:rPr>
            </w:pPr>
            <w:r>
              <w:rPr>
                <w:rFonts w:hint="eastAsia"/>
                <w:color w:val="auto"/>
                <w:kern w:val="0"/>
                <w:szCs w:val="21"/>
              </w:rPr>
              <w:t>标准值</w:t>
            </w:r>
          </w:p>
        </w:tc>
        <w:tc>
          <w:tcPr>
            <w:tcW w:w="767" w:type="pct"/>
            <w:vAlign w:val="center"/>
          </w:tcPr>
          <w:p w14:paraId="0EF6BA5B">
            <w:pPr>
              <w:pStyle w:val="9"/>
              <w:spacing w:after="0"/>
              <w:jc w:val="center"/>
              <w:rPr>
                <w:rFonts w:hint="default" w:eastAsia="宋体"/>
                <w:color w:val="auto"/>
                <w:kern w:val="0"/>
                <w:szCs w:val="21"/>
                <w:lang w:val="en-US" w:eastAsia="zh-CN"/>
              </w:rPr>
            </w:pPr>
            <w:r>
              <w:rPr>
                <w:rFonts w:hint="eastAsia"/>
                <w:color w:val="auto"/>
                <w:kern w:val="0"/>
                <w:szCs w:val="21"/>
                <w:lang w:val="en-US" w:eastAsia="zh-CN"/>
              </w:rPr>
              <w:t>30</w:t>
            </w:r>
          </w:p>
        </w:tc>
        <w:tc>
          <w:tcPr>
            <w:tcW w:w="767" w:type="pct"/>
            <w:vAlign w:val="center"/>
          </w:tcPr>
          <w:p w14:paraId="15B09142">
            <w:pPr>
              <w:pStyle w:val="9"/>
              <w:spacing w:after="0"/>
              <w:jc w:val="center"/>
              <w:rPr>
                <w:color w:val="auto"/>
                <w:kern w:val="0"/>
                <w:szCs w:val="21"/>
              </w:rPr>
            </w:pPr>
            <w:r>
              <w:rPr>
                <w:rFonts w:hint="eastAsia"/>
                <w:color w:val="auto"/>
                <w:kern w:val="0"/>
                <w:szCs w:val="21"/>
              </w:rPr>
              <w:t>/</w:t>
            </w:r>
          </w:p>
        </w:tc>
        <w:tc>
          <w:tcPr>
            <w:tcW w:w="767" w:type="pct"/>
            <w:vAlign w:val="center"/>
          </w:tcPr>
          <w:p w14:paraId="09CC0BD4">
            <w:pPr>
              <w:pStyle w:val="9"/>
              <w:spacing w:after="0"/>
              <w:jc w:val="center"/>
              <w:rPr>
                <w:rFonts w:hint="default" w:eastAsia="宋体"/>
                <w:color w:val="auto"/>
                <w:kern w:val="0"/>
                <w:szCs w:val="21"/>
                <w:lang w:val="en-US" w:eastAsia="zh-CN"/>
              </w:rPr>
            </w:pPr>
            <w:r>
              <w:rPr>
                <w:rFonts w:hint="eastAsia"/>
                <w:color w:val="auto"/>
                <w:kern w:val="0"/>
                <w:szCs w:val="21"/>
                <w:lang w:val="en-US" w:eastAsia="zh-CN"/>
              </w:rPr>
              <w:t>150</w:t>
            </w:r>
          </w:p>
        </w:tc>
        <w:tc>
          <w:tcPr>
            <w:tcW w:w="767" w:type="pct"/>
            <w:vAlign w:val="center"/>
          </w:tcPr>
          <w:p w14:paraId="0E8F258E">
            <w:pPr>
              <w:pStyle w:val="9"/>
              <w:spacing w:after="0"/>
              <w:jc w:val="center"/>
              <w:rPr>
                <w:color w:val="auto"/>
                <w:kern w:val="0"/>
                <w:szCs w:val="21"/>
              </w:rPr>
            </w:pPr>
            <w:r>
              <w:rPr>
                <w:rFonts w:hint="eastAsia"/>
                <w:color w:val="auto"/>
                <w:kern w:val="0"/>
                <w:szCs w:val="21"/>
              </w:rPr>
              <w:t>/</w:t>
            </w:r>
          </w:p>
        </w:tc>
        <w:tc>
          <w:tcPr>
            <w:tcW w:w="767" w:type="pct"/>
            <w:vAlign w:val="center"/>
          </w:tcPr>
          <w:p w14:paraId="55C6DB20">
            <w:pPr>
              <w:pStyle w:val="9"/>
              <w:spacing w:after="0"/>
              <w:jc w:val="center"/>
              <w:rPr>
                <w:rFonts w:hint="default" w:eastAsia="宋体"/>
                <w:color w:val="auto"/>
                <w:kern w:val="0"/>
                <w:szCs w:val="21"/>
                <w:lang w:val="en-US" w:eastAsia="zh-CN"/>
              </w:rPr>
            </w:pPr>
            <w:r>
              <w:rPr>
                <w:rFonts w:hint="eastAsia"/>
                <w:color w:val="auto"/>
                <w:kern w:val="0"/>
                <w:szCs w:val="21"/>
                <w:lang w:val="en-US" w:eastAsia="zh-CN"/>
              </w:rPr>
              <w:t>200</w:t>
            </w:r>
          </w:p>
        </w:tc>
        <w:tc>
          <w:tcPr>
            <w:tcW w:w="767" w:type="pct"/>
            <w:vAlign w:val="center"/>
          </w:tcPr>
          <w:p w14:paraId="1D2F7FD0">
            <w:pPr>
              <w:pStyle w:val="9"/>
              <w:spacing w:after="0"/>
              <w:jc w:val="center"/>
              <w:rPr>
                <w:color w:val="auto"/>
                <w:kern w:val="0"/>
                <w:szCs w:val="21"/>
              </w:rPr>
            </w:pPr>
            <w:r>
              <w:rPr>
                <w:rFonts w:hint="eastAsia"/>
                <w:color w:val="auto"/>
                <w:kern w:val="0"/>
                <w:szCs w:val="21"/>
              </w:rPr>
              <w:t>/</w:t>
            </w:r>
          </w:p>
        </w:tc>
      </w:tr>
    </w:tbl>
    <w:p w14:paraId="453C015A">
      <w:pPr>
        <w:wordWrap w:val="0"/>
        <w:topLinePunct/>
        <w:adjustRightInd w:val="0"/>
        <w:snapToGrid w:val="0"/>
        <w:spacing w:line="360" w:lineRule="auto"/>
        <w:jc w:val="left"/>
        <w:rPr>
          <w:color w:val="auto"/>
          <w:sz w:val="24"/>
        </w:rPr>
      </w:pPr>
    </w:p>
    <w:p w14:paraId="3E20CD76">
      <w:pPr>
        <w:wordWrap w:val="0"/>
        <w:topLinePunct/>
        <w:adjustRightInd w:val="0"/>
        <w:snapToGrid w:val="0"/>
        <w:spacing w:line="360" w:lineRule="auto"/>
        <w:ind w:firstLine="480" w:firstLineChars="200"/>
        <w:jc w:val="left"/>
        <w:rPr>
          <w:rFonts w:hint="eastAsia" w:eastAsia="宋体"/>
          <w:b/>
          <w:bCs/>
          <w:color w:val="auto"/>
          <w:sz w:val="24"/>
          <w:szCs w:val="32"/>
          <w:lang w:val="en-US" w:eastAsia="zh-CN"/>
        </w:rPr>
        <w:sectPr>
          <w:pgSz w:w="16838" w:h="11906" w:orient="landscape"/>
          <w:pgMar w:top="1083" w:right="1440" w:bottom="1083" w:left="1440" w:header="708" w:footer="709" w:gutter="0"/>
          <w:pgBorders>
            <w:top w:val="none" w:sz="0" w:space="0"/>
            <w:left w:val="none" w:sz="0" w:space="0"/>
            <w:bottom w:val="none" w:sz="0" w:space="0"/>
            <w:right w:val="none" w:sz="0" w:space="0"/>
          </w:pgBorders>
          <w:pgNumType w:fmt="numberInDash"/>
          <w:cols w:space="0" w:num="1"/>
          <w:rtlGutter w:val="0"/>
          <w:docGrid w:linePitch="360" w:charSpace="0"/>
        </w:sectPr>
      </w:pPr>
      <w:r>
        <w:rPr>
          <w:rFonts w:hint="eastAsia"/>
          <w:color w:val="auto"/>
          <w:sz w:val="24"/>
          <w:lang w:val="en-US" w:eastAsia="zh-CN"/>
        </w:rPr>
        <w:t>根据在线监测结果可知，</w:t>
      </w:r>
      <w:r>
        <w:rPr>
          <w:color w:val="auto"/>
          <w:sz w:val="24"/>
        </w:rPr>
        <w:t>烟尘、SO</w:t>
      </w:r>
      <w:r>
        <w:rPr>
          <w:color w:val="auto"/>
          <w:sz w:val="24"/>
          <w:vertAlign w:val="subscript"/>
        </w:rPr>
        <w:t>2</w:t>
      </w:r>
      <w:r>
        <w:rPr>
          <w:color w:val="auto"/>
          <w:sz w:val="24"/>
        </w:rPr>
        <w:t>、NO</w:t>
      </w:r>
      <w:r>
        <w:rPr>
          <w:color w:val="auto"/>
          <w:sz w:val="24"/>
          <w:vertAlign w:val="subscript"/>
        </w:rPr>
        <w:t>X</w:t>
      </w:r>
      <w:r>
        <w:rPr>
          <w:color w:val="auto"/>
          <w:sz w:val="24"/>
        </w:rPr>
        <w:t>排放</w:t>
      </w:r>
      <w:r>
        <w:rPr>
          <w:rFonts w:hint="eastAsia"/>
          <w:color w:val="auto"/>
          <w:sz w:val="24"/>
          <w:lang w:val="en-US" w:eastAsia="zh-CN"/>
        </w:rPr>
        <w:t>浓度满足</w:t>
      </w:r>
      <w:r>
        <w:rPr>
          <w:color w:val="auto"/>
          <w:sz w:val="24"/>
        </w:rPr>
        <w:t>《再生铜、铝、铅、锌工业污染物排放标准》（GB 31574-2015）中表3大气污染物排放限值</w:t>
      </w:r>
      <w:r>
        <w:rPr>
          <w:rFonts w:hint="eastAsia"/>
          <w:color w:val="auto"/>
          <w:sz w:val="24"/>
          <w:lang w:eastAsia="zh-CN"/>
        </w:rPr>
        <w:t>。</w:t>
      </w:r>
    </w:p>
    <w:p w14:paraId="60CC5A5A">
      <w:pPr>
        <w:wordWrap w:val="0"/>
        <w:topLinePunct/>
        <w:adjustRightInd w:val="0"/>
        <w:snapToGrid w:val="0"/>
        <w:spacing w:line="360" w:lineRule="auto"/>
        <w:jc w:val="center"/>
        <w:rPr>
          <w:rFonts w:hint="default"/>
          <w:b/>
          <w:bCs/>
          <w:color w:val="auto"/>
          <w:sz w:val="24"/>
          <w:szCs w:val="32"/>
          <w:lang w:val="en-US" w:eastAsia="zh-CN"/>
        </w:rPr>
      </w:pPr>
      <w:r>
        <w:rPr>
          <w:rFonts w:hint="eastAsia"/>
          <w:b/>
          <w:bCs/>
          <w:color w:val="auto"/>
          <w:sz w:val="24"/>
          <w:szCs w:val="32"/>
          <w:lang w:val="en-US" w:eastAsia="zh-CN"/>
        </w:rPr>
        <w:t>表3-8 DA001例行监测数据达标情况一览表</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3"/>
        <w:gridCol w:w="1243"/>
        <w:gridCol w:w="1603"/>
        <w:gridCol w:w="1423"/>
        <w:gridCol w:w="1423"/>
        <w:gridCol w:w="1423"/>
        <w:gridCol w:w="1424"/>
      </w:tblGrid>
      <w:tr w14:paraId="1CE26E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tcBorders>
              <w:tl2br w:val="nil"/>
              <w:tr2bl w:val="nil"/>
            </w:tcBorders>
            <w:vAlign w:val="center"/>
          </w:tcPr>
          <w:p w14:paraId="7DFA346A">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采样点位</w:t>
            </w:r>
          </w:p>
        </w:tc>
        <w:tc>
          <w:tcPr>
            <w:tcW w:w="1243" w:type="dxa"/>
            <w:tcBorders>
              <w:tl2br w:val="nil"/>
              <w:tr2bl w:val="nil"/>
            </w:tcBorders>
            <w:vAlign w:val="center"/>
          </w:tcPr>
          <w:p w14:paraId="4A293AB4">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监测项目</w:t>
            </w:r>
            <w:r>
              <w:rPr>
                <w:rFonts w:hint="default" w:ascii="Times New Roman" w:hAnsi="Times New Roman" w:cs="Times New Roman"/>
                <w:color w:val="auto"/>
                <w:szCs w:val="21"/>
              </w:rPr>
              <w:t>（mg/m</w:t>
            </w:r>
            <w:r>
              <w:rPr>
                <w:rFonts w:hint="default" w:ascii="Times New Roman" w:hAnsi="Times New Roman" w:cs="Times New Roman"/>
                <w:color w:val="auto"/>
                <w:szCs w:val="21"/>
                <w:vertAlign w:val="superscript"/>
              </w:rPr>
              <w:t>3</w:t>
            </w:r>
            <w:r>
              <w:rPr>
                <w:rFonts w:hint="default" w:ascii="Times New Roman" w:hAnsi="Times New Roman" w:cs="Times New Roman"/>
                <w:color w:val="auto"/>
                <w:szCs w:val="21"/>
              </w:rPr>
              <w:t>）</w:t>
            </w:r>
          </w:p>
        </w:tc>
        <w:tc>
          <w:tcPr>
            <w:tcW w:w="3026" w:type="dxa"/>
            <w:gridSpan w:val="2"/>
            <w:tcBorders>
              <w:tl2br w:val="nil"/>
              <w:tr2bl w:val="nil"/>
            </w:tcBorders>
            <w:vAlign w:val="center"/>
          </w:tcPr>
          <w:p w14:paraId="57239576">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采样时间</w:t>
            </w:r>
          </w:p>
        </w:tc>
        <w:tc>
          <w:tcPr>
            <w:tcW w:w="1423" w:type="dxa"/>
            <w:tcBorders>
              <w:tl2br w:val="nil"/>
              <w:tr2bl w:val="nil"/>
            </w:tcBorders>
            <w:vAlign w:val="center"/>
          </w:tcPr>
          <w:p w14:paraId="0A7666AE">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实测浓度</w:t>
            </w:r>
            <w:r>
              <w:rPr>
                <w:rFonts w:hint="default" w:ascii="Times New Roman" w:hAnsi="Times New Roman" w:cs="Times New Roman"/>
                <w:color w:val="auto"/>
                <w:szCs w:val="21"/>
              </w:rPr>
              <w:t>（mg/m</w:t>
            </w:r>
            <w:r>
              <w:rPr>
                <w:rFonts w:hint="default" w:ascii="Times New Roman" w:hAnsi="Times New Roman" w:cs="Times New Roman"/>
                <w:color w:val="auto"/>
                <w:szCs w:val="21"/>
                <w:vertAlign w:val="superscript"/>
              </w:rPr>
              <w:t>3</w:t>
            </w:r>
            <w:r>
              <w:rPr>
                <w:rFonts w:hint="default" w:ascii="Times New Roman" w:hAnsi="Times New Roman" w:cs="Times New Roman"/>
                <w:color w:val="auto"/>
                <w:szCs w:val="21"/>
              </w:rPr>
              <w:t>）</w:t>
            </w:r>
          </w:p>
        </w:tc>
        <w:tc>
          <w:tcPr>
            <w:tcW w:w="1423" w:type="dxa"/>
            <w:tcBorders>
              <w:tl2br w:val="nil"/>
              <w:tr2bl w:val="nil"/>
            </w:tcBorders>
            <w:vAlign w:val="center"/>
          </w:tcPr>
          <w:p w14:paraId="50426902">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排放速率（kg/h）</w:t>
            </w:r>
          </w:p>
        </w:tc>
        <w:tc>
          <w:tcPr>
            <w:tcW w:w="1424" w:type="dxa"/>
            <w:tcBorders>
              <w:tl2br w:val="nil"/>
              <w:tr2bl w:val="nil"/>
            </w:tcBorders>
            <w:vAlign w:val="center"/>
          </w:tcPr>
          <w:p w14:paraId="06662875">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排气筒高度（m）</w:t>
            </w:r>
          </w:p>
        </w:tc>
      </w:tr>
      <w:tr w14:paraId="365B3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restart"/>
            <w:tcBorders>
              <w:tl2br w:val="nil"/>
              <w:tr2bl w:val="nil"/>
            </w:tcBorders>
            <w:vAlign w:val="center"/>
          </w:tcPr>
          <w:p w14:paraId="710AB152">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DA001排气筒出口</w:t>
            </w:r>
          </w:p>
        </w:tc>
        <w:tc>
          <w:tcPr>
            <w:tcW w:w="1243" w:type="dxa"/>
            <w:vMerge w:val="restart"/>
            <w:tcBorders>
              <w:tl2br w:val="nil"/>
              <w:tr2bl w:val="nil"/>
            </w:tcBorders>
            <w:vAlign w:val="center"/>
          </w:tcPr>
          <w:p w14:paraId="25609EE9">
            <w:pPr>
              <w:jc w:val="center"/>
              <w:rPr>
                <w:rFonts w:hint="eastAsia" w:ascii="Times New Roman" w:hAnsi="Times New Roman" w:eastAsia="宋体" w:cs="Times New Roman"/>
                <w:color w:val="auto"/>
                <w:szCs w:val="21"/>
                <w:lang w:eastAsia="zh-CN"/>
              </w:rPr>
            </w:pPr>
            <w:r>
              <w:rPr>
                <w:rFonts w:hint="eastAsia" w:cs="Times New Roman"/>
                <w:color w:val="auto"/>
                <w:szCs w:val="21"/>
                <w:lang w:val="en-US" w:eastAsia="zh-CN"/>
              </w:rPr>
              <w:t>氟化物</w:t>
            </w:r>
          </w:p>
        </w:tc>
        <w:tc>
          <w:tcPr>
            <w:tcW w:w="1603" w:type="dxa"/>
            <w:vMerge w:val="restart"/>
            <w:tcBorders>
              <w:tl2br w:val="nil"/>
              <w:tr2bl w:val="nil"/>
            </w:tcBorders>
            <w:vAlign w:val="center"/>
          </w:tcPr>
          <w:p w14:paraId="7EC4C827">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2024年8月21日</w:t>
            </w:r>
            <w:bookmarkStart w:id="385" w:name="_GoBack"/>
            <w:bookmarkEnd w:id="385"/>
          </w:p>
        </w:tc>
        <w:tc>
          <w:tcPr>
            <w:tcW w:w="1423" w:type="dxa"/>
            <w:tcBorders>
              <w:tl2br w:val="nil"/>
              <w:tr2bl w:val="nil"/>
            </w:tcBorders>
            <w:vAlign w:val="center"/>
          </w:tcPr>
          <w:p w14:paraId="4782519C">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7DCB132E">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0.64</w:t>
            </w:r>
          </w:p>
        </w:tc>
        <w:tc>
          <w:tcPr>
            <w:tcW w:w="1423" w:type="dxa"/>
            <w:tcBorders>
              <w:tl2br w:val="nil"/>
              <w:tr2bl w:val="nil"/>
            </w:tcBorders>
            <w:vAlign w:val="center"/>
          </w:tcPr>
          <w:p w14:paraId="061262A7">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5.20×10</w:t>
            </w:r>
            <w:r>
              <w:rPr>
                <w:rFonts w:hint="eastAsia" w:cs="Times New Roman"/>
                <w:color w:val="auto"/>
                <w:szCs w:val="21"/>
                <w:vertAlign w:val="superscript"/>
                <w:lang w:val="en-US" w:eastAsia="zh-CN"/>
              </w:rPr>
              <w:t>-2</w:t>
            </w:r>
          </w:p>
        </w:tc>
        <w:tc>
          <w:tcPr>
            <w:tcW w:w="1424" w:type="dxa"/>
            <w:vMerge w:val="restart"/>
            <w:tcBorders>
              <w:tl2br w:val="nil"/>
              <w:tr2bl w:val="nil"/>
            </w:tcBorders>
            <w:vAlign w:val="center"/>
          </w:tcPr>
          <w:p w14:paraId="407AEADF">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20</w:t>
            </w:r>
          </w:p>
        </w:tc>
      </w:tr>
      <w:tr w14:paraId="388F17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02B4E8EC">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3C8A1FA">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6AD0A7A">
            <w:pPr>
              <w:jc w:val="center"/>
              <w:rPr>
                <w:rFonts w:hint="default" w:ascii="Times New Roman" w:hAnsi="Times New Roman" w:cs="Times New Roman"/>
                <w:color w:val="auto"/>
                <w:szCs w:val="21"/>
              </w:rPr>
            </w:pPr>
          </w:p>
        </w:tc>
        <w:tc>
          <w:tcPr>
            <w:tcW w:w="1423" w:type="dxa"/>
            <w:tcBorders>
              <w:tl2br w:val="nil"/>
              <w:tr2bl w:val="nil"/>
            </w:tcBorders>
            <w:vAlign w:val="center"/>
          </w:tcPr>
          <w:p w14:paraId="1DE283BD">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0E22129A">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0.57</w:t>
            </w:r>
          </w:p>
        </w:tc>
        <w:tc>
          <w:tcPr>
            <w:tcW w:w="1423" w:type="dxa"/>
            <w:tcBorders>
              <w:tl2br w:val="nil"/>
              <w:tr2bl w:val="nil"/>
            </w:tcBorders>
            <w:vAlign w:val="center"/>
          </w:tcPr>
          <w:p w14:paraId="3A12F4C5">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9.13×10</w:t>
            </w:r>
            <w:r>
              <w:rPr>
                <w:rFonts w:hint="eastAsia" w:cs="Times New Roman"/>
                <w:color w:val="auto"/>
                <w:szCs w:val="21"/>
                <w:vertAlign w:val="superscript"/>
                <w:lang w:val="en-US" w:eastAsia="zh-CN"/>
              </w:rPr>
              <w:t>-2</w:t>
            </w:r>
          </w:p>
        </w:tc>
        <w:tc>
          <w:tcPr>
            <w:tcW w:w="1424" w:type="dxa"/>
            <w:vMerge w:val="continue"/>
            <w:tcBorders>
              <w:tl2br w:val="nil"/>
              <w:tr2bl w:val="nil"/>
            </w:tcBorders>
            <w:vAlign w:val="center"/>
          </w:tcPr>
          <w:p w14:paraId="087F56D5">
            <w:pPr>
              <w:jc w:val="center"/>
              <w:rPr>
                <w:rFonts w:hint="default" w:ascii="Times New Roman" w:hAnsi="Times New Roman" w:cs="Times New Roman"/>
                <w:color w:val="auto"/>
                <w:szCs w:val="21"/>
              </w:rPr>
            </w:pPr>
          </w:p>
        </w:tc>
      </w:tr>
      <w:tr w14:paraId="3605E1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7193ADAE">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838A9F6">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61CA6814">
            <w:pPr>
              <w:jc w:val="center"/>
              <w:rPr>
                <w:rFonts w:hint="default" w:ascii="Times New Roman" w:hAnsi="Times New Roman" w:cs="Times New Roman"/>
                <w:color w:val="auto"/>
                <w:szCs w:val="21"/>
              </w:rPr>
            </w:pPr>
          </w:p>
        </w:tc>
        <w:tc>
          <w:tcPr>
            <w:tcW w:w="1423" w:type="dxa"/>
            <w:tcBorders>
              <w:tl2br w:val="nil"/>
              <w:tr2bl w:val="nil"/>
            </w:tcBorders>
            <w:vAlign w:val="center"/>
          </w:tcPr>
          <w:p w14:paraId="7FB3E67B">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2143A115">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0.57</w:t>
            </w:r>
          </w:p>
        </w:tc>
        <w:tc>
          <w:tcPr>
            <w:tcW w:w="1423" w:type="dxa"/>
            <w:tcBorders>
              <w:tl2br w:val="nil"/>
              <w:tr2bl w:val="nil"/>
            </w:tcBorders>
            <w:vAlign w:val="center"/>
          </w:tcPr>
          <w:p w14:paraId="3E45EDCE">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8.26×10</w:t>
            </w:r>
            <w:r>
              <w:rPr>
                <w:rFonts w:hint="eastAsia" w:cs="Times New Roman"/>
                <w:color w:val="auto"/>
                <w:szCs w:val="21"/>
                <w:vertAlign w:val="superscript"/>
                <w:lang w:val="en-US" w:eastAsia="zh-CN"/>
              </w:rPr>
              <w:t>-2</w:t>
            </w:r>
          </w:p>
        </w:tc>
        <w:tc>
          <w:tcPr>
            <w:tcW w:w="1424" w:type="dxa"/>
            <w:vMerge w:val="continue"/>
            <w:tcBorders>
              <w:tl2br w:val="nil"/>
              <w:tr2bl w:val="nil"/>
            </w:tcBorders>
            <w:vAlign w:val="center"/>
          </w:tcPr>
          <w:p w14:paraId="33D22EC8">
            <w:pPr>
              <w:jc w:val="center"/>
              <w:rPr>
                <w:rFonts w:hint="default" w:ascii="Times New Roman" w:hAnsi="Times New Roman" w:cs="Times New Roman"/>
                <w:color w:val="auto"/>
                <w:szCs w:val="21"/>
              </w:rPr>
            </w:pPr>
          </w:p>
        </w:tc>
      </w:tr>
      <w:tr w14:paraId="7F28EA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7982D2B">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9E1D4CC">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602D1E12">
            <w:pPr>
              <w:jc w:val="center"/>
              <w:rPr>
                <w:rFonts w:hint="default" w:ascii="Times New Roman" w:hAnsi="Times New Roman" w:cs="Times New Roman"/>
                <w:color w:val="auto"/>
                <w:szCs w:val="21"/>
              </w:rPr>
            </w:pPr>
          </w:p>
        </w:tc>
        <w:tc>
          <w:tcPr>
            <w:tcW w:w="1423" w:type="dxa"/>
            <w:tcBorders>
              <w:tl2br w:val="nil"/>
              <w:tr2bl w:val="nil"/>
            </w:tcBorders>
            <w:vAlign w:val="center"/>
          </w:tcPr>
          <w:p w14:paraId="20DCB121">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28AED505">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0.60</w:t>
            </w:r>
          </w:p>
        </w:tc>
        <w:tc>
          <w:tcPr>
            <w:tcW w:w="1423" w:type="dxa"/>
            <w:tcBorders>
              <w:tl2br w:val="nil"/>
              <w:tr2bl w:val="nil"/>
            </w:tcBorders>
            <w:vAlign w:val="center"/>
          </w:tcPr>
          <w:p w14:paraId="189C5AAD">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7.53×10</w:t>
            </w:r>
            <w:r>
              <w:rPr>
                <w:rFonts w:hint="eastAsia" w:cs="Times New Roman"/>
                <w:color w:val="auto"/>
                <w:szCs w:val="21"/>
                <w:vertAlign w:val="superscript"/>
                <w:lang w:val="en-US" w:eastAsia="zh-CN"/>
              </w:rPr>
              <w:t>-2</w:t>
            </w:r>
          </w:p>
        </w:tc>
        <w:tc>
          <w:tcPr>
            <w:tcW w:w="1424" w:type="dxa"/>
            <w:vMerge w:val="continue"/>
            <w:tcBorders>
              <w:tl2br w:val="nil"/>
              <w:tr2bl w:val="nil"/>
            </w:tcBorders>
            <w:vAlign w:val="center"/>
          </w:tcPr>
          <w:p w14:paraId="6DAA93C6">
            <w:pPr>
              <w:jc w:val="center"/>
              <w:rPr>
                <w:rFonts w:hint="default" w:ascii="Times New Roman" w:hAnsi="Times New Roman" w:cs="Times New Roman"/>
                <w:color w:val="auto"/>
                <w:szCs w:val="21"/>
              </w:rPr>
            </w:pPr>
          </w:p>
        </w:tc>
      </w:tr>
      <w:tr w14:paraId="480B3E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3805851">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20C5A42">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21A67F0B">
            <w:pPr>
              <w:jc w:val="center"/>
              <w:rPr>
                <w:rFonts w:hint="default" w:ascii="Times New Roman" w:hAnsi="Times New Roman" w:cs="Times New Roman"/>
                <w:color w:val="auto"/>
                <w:szCs w:val="21"/>
              </w:rPr>
            </w:pPr>
          </w:p>
        </w:tc>
        <w:tc>
          <w:tcPr>
            <w:tcW w:w="1423" w:type="dxa"/>
            <w:tcBorders>
              <w:tl2br w:val="nil"/>
              <w:tr2bl w:val="nil"/>
            </w:tcBorders>
            <w:vAlign w:val="center"/>
          </w:tcPr>
          <w:p w14:paraId="1A5E725A">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标准限值</w:t>
            </w:r>
          </w:p>
        </w:tc>
        <w:tc>
          <w:tcPr>
            <w:tcW w:w="1423" w:type="dxa"/>
            <w:tcBorders>
              <w:tl2br w:val="nil"/>
              <w:tr2bl w:val="nil"/>
            </w:tcBorders>
            <w:vAlign w:val="center"/>
          </w:tcPr>
          <w:p w14:paraId="59273118">
            <w:pPr>
              <w:jc w:val="center"/>
              <w:rPr>
                <w:rFonts w:hint="default" w:cs="Times New Roman"/>
                <w:color w:val="auto"/>
                <w:szCs w:val="21"/>
                <w:lang w:val="en-US" w:eastAsia="zh-CN"/>
              </w:rPr>
            </w:pPr>
            <w:r>
              <w:rPr>
                <w:rFonts w:hint="eastAsia" w:cs="Times New Roman"/>
                <w:color w:val="auto"/>
                <w:szCs w:val="21"/>
                <w:lang w:val="en-US" w:eastAsia="zh-CN"/>
              </w:rPr>
              <w:t>3</w:t>
            </w:r>
          </w:p>
        </w:tc>
        <w:tc>
          <w:tcPr>
            <w:tcW w:w="1423" w:type="dxa"/>
            <w:tcBorders>
              <w:tl2br w:val="nil"/>
              <w:tr2bl w:val="nil"/>
            </w:tcBorders>
            <w:vAlign w:val="center"/>
          </w:tcPr>
          <w:p w14:paraId="3B4F7B32">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63DE0FC7">
            <w:pPr>
              <w:jc w:val="center"/>
              <w:rPr>
                <w:rFonts w:hint="default" w:ascii="Times New Roman" w:hAnsi="Times New Roman" w:cs="Times New Roman"/>
                <w:color w:val="auto"/>
                <w:szCs w:val="21"/>
              </w:rPr>
            </w:pPr>
          </w:p>
        </w:tc>
      </w:tr>
      <w:tr w14:paraId="5D499D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FC76751">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020782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7E4135B">
            <w:pPr>
              <w:jc w:val="center"/>
              <w:rPr>
                <w:rFonts w:hint="default" w:ascii="Times New Roman" w:hAnsi="Times New Roman" w:cs="Times New Roman"/>
                <w:color w:val="auto"/>
                <w:szCs w:val="21"/>
              </w:rPr>
            </w:pPr>
          </w:p>
        </w:tc>
        <w:tc>
          <w:tcPr>
            <w:tcW w:w="1423" w:type="dxa"/>
            <w:tcBorders>
              <w:tl2br w:val="nil"/>
              <w:tr2bl w:val="nil"/>
            </w:tcBorders>
            <w:vAlign w:val="center"/>
          </w:tcPr>
          <w:p w14:paraId="524269B5">
            <w:pPr>
              <w:jc w:val="center"/>
              <w:rPr>
                <w:rFonts w:hint="default" w:cs="Times New Roman"/>
                <w:color w:val="auto"/>
                <w:szCs w:val="21"/>
                <w:lang w:val="en-US" w:eastAsia="zh-CN"/>
              </w:rPr>
            </w:pPr>
            <w:r>
              <w:rPr>
                <w:rFonts w:hint="eastAsia" w:cs="Times New Roman"/>
                <w:color w:val="auto"/>
                <w:szCs w:val="21"/>
                <w:lang w:val="en-US" w:eastAsia="zh-CN"/>
              </w:rPr>
              <w:t>是否达标</w:t>
            </w:r>
          </w:p>
        </w:tc>
        <w:tc>
          <w:tcPr>
            <w:tcW w:w="1423" w:type="dxa"/>
            <w:tcBorders>
              <w:tl2br w:val="nil"/>
              <w:tr2bl w:val="nil"/>
            </w:tcBorders>
            <w:vAlign w:val="center"/>
          </w:tcPr>
          <w:p w14:paraId="25AA29F0">
            <w:pPr>
              <w:jc w:val="center"/>
              <w:rPr>
                <w:rFonts w:hint="default"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09673DEE">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1D98869C">
            <w:pPr>
              <w:jc w:val="center"/>
              <w:rPr>
                <w:rFonts w:hint="default" w:ascii="Times New Roman" w:hAnsi="Times New Roman" w:cs="Times New Roman"/>
                <w:color w:val="auto"/>
                <w:szCs w:val="21"/>
              </w:rPr>
            </w:pPr>
          </w:p>
        </w:tc>
      </w:tr>
      <w:tr w14:paraId="66D426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290BD3F">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15563F2B">
            <w:pPr>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氯化氢</w:t>
            </w:r>
          </w:p>
        </w:tc>
        <w:tc>
          <w:tcPr>
            <w:tcW w:w="1603" w:type="dxa"/>
            <w:vMerge w:val="continue"/>
            <w:tcBorders>
              <w:tl2br w:val="nil"/>
              <w:tr2bl w:val="nil"/>
            </w:tcBorders>
            <w:vAlign w:val="center"/>
          </w:tcPr>
          <w:p w14:paraId="3BEA17FA">
            <w:pPr>
              <w:jc w:val="center"/>
              <w:rPr>
                <w:rFonts w:hint="default" w:ascii="Times New Roman" w:hAnsi="Times New Roman" w:cs="Times New Roman"/>
                <w:color w:val="auto"/>
                <w:szCs w:val="21"/>
              </w:rPr>
            </w:pPr>
          </w:p>
        </w:tc>
        <w:tc>
          <w:tcPr>
            <w:tcW w:w="1423" w:type="dxa"/>
            <w:tcBorders>
              <w:tl2br w:val="nil"/>
              <w:tr2bl w:val="nil"/>
            </w:tcBorders>
            <w:vAlign w:val="center"/>
          </w:tcPr>
          <w:p w14:paraId="1EE74E27">
            <w:pPr>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203A9395">
            <w:pPr>
              <w:jc w:val="center"/>
              <w:rPr>
                <w:rFonts w:hint="default" w:cs="Times New Roman"/>
                <w:color w:val="auto"/>
                <w:szCs w:val="21"/>
                <w:lang w:val="en-US" w:eastAsia="zh-CN"/>
              </w:rPr>
            </w:pPr>
            <w:r>
              <w:rPr>
                <w:rFonts w:hint="eastAsia" w:cs="Times New Roman"/>
                <w:color w:val="auto"/>
                <w:szCs w:val="21"/>
                <w:lang w:val="en-US" w:eastAsia="zh-CN"/>
              </w:rPr>
              <w:t>4.8</w:t>
            </w:r>
          </w:p>
        </w:tc>
        <w:tc>
          <w:tcPr>
            <w:tcW w:w="1423" w:type="dxa"/>
            <w:tcBorders>
              <w:tl2br w:val="nil"/>
              <w:tr2bl w:val="nil"/>
            </w:tcBorders>
            <w:vAlign w:val="center"/>
          </w:tcPr>
          <w:p w14:paraId="7C8831DD">
            <w:pPr>
              <w:jc w:val="center"/>
              <w:rPr>
                <w:rFonts w:hint="default" w:cs="Times New Roman"/>
                <w:color w:val="auto"/>
                <w:szCs w:val="21"/>
                <w:lang w:val="en-US" w:eastAsia="zh-CN"/>
              </w:rPr>
            </w:pPr>
            <w:r>
              <w:rPr>
                <w:rFonts w:hint="eastAsia" w:cs="Times New Roman"/>
                <w:color w:val="auto"/>
                <w:szCs w:val="21"/>
                <w:lang w:val="en-US" w:eastAsia="zh-CN"/>
              </w:rPr>
              <w:t>0.390</w:t>
            </w:r>
          </w:p>
        </w:tc>
        <w:tc>
          <w:tcPr>
            <w:tcW w:w="1424" w:type="dxa"/>
            <w:vMerge w:val="continue"/>
            <w:tcBorders>
              <w:tl2br w:val="nil"/>
              <w:tr2bl w:val="nil"/>
            </w:tcBorders>
            <w:vAlign w:val="center"/>
          </w:tcPr>
          <w:p w14:paraId="4BFCE673">
            <w:pPr>
              <w:jc w:val="center"/>
              <w:rPr>
                <w:rFonts w:hint="default" w:ascii="Times New Roman" w:hAnsi="Times New Roman" w:cs="Times New Roman"/>
                <w:color w:val="auto"/>
                <w:szCs w:val="21"/>
              </w:rPr>
            </w:pPr>
          </w:p>
        </w:tc>
      </w:tr>
      <w:tr w14:paraId="55FD24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F57394D">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D6CCEF1">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889C889">
            <w:pPr>
              <w:jc w:val="center"/>
              <w:rPr>
                <w:rFonts w:hint="default" w:ascii="Times New Roman" w:hAnsi="Times New Roman" w:cs="Times New Roman"/>
                <w:color w:val="auto"/>
                <w:szCs w:val="21"/>
              </w:rPr>
            </w:pPr>
          </w:p>
        </w:tc>
        <w:tc>
          <w:tcPr>
            <w:tcW w:w="1423" w:type="dxa"/>
            <w:tcBorders>
              <w:tl2br w:val="nil"/>
              <w:tr2bl w:val="nil"/>
            </w:tcBorders>
            <w:vAlign w:val="center"/>
          </w:tcPr>
          <w:p w14:paraId="72461D6B">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2EFC1445">
            <w:pPr>
              <w:jc w:val="center"/>
              <w:rPr>
                <w:rFonts w:hint="default" w:cs="Times New Roman"/>
                <w:color w:val="auto"/>
                <w:szCs w:val="21"/>
                <w:lang w:val="en-US" w:eastAsia="zh-CN"/>
              </w:rPr>
            </w:pPr>
            <w:r>
              <w:rPr>
                <w:rFonts w:hint="eastAsia" w:cs="Times New Roman"/>
                <w:color w:val="auto"/>
                <w:szCs w:val="21"/>
                <w:lang w:val="en-US" w:eastAsia="zh-CN"/>
              </w:rPr>
              <w:t>4.3</w:t>
            </w:r>
          </w:p>
        </w:tc>
        <w:tc>
          <w:tcPr>
            <w:tcW w:w="1423" w:type="dxa"/>
            <w:tcBorders>
              <w:tl2br w:val="nil"/>
              <w:tr2bl w:val="nil"/>
            </w:tcBorders>
            <w:vAlign w:val="center"/>
          </w:tcPr>
          <w:p w14:paraId="200419AD">
            <w:pPr>
              <w:jc w:val="center"/>
              <w:rPr>
                <w:rFonts w:hint="default" w:cs="Times New Roman"/>
                <w:color w:val="auto"/>
                <w:szCs w:val="21"/>
                <w:lang w:val="en-US" w:eastAsia="zh-CN"/>
              </w:rPr>
            </w:pPr>
            <w:r>
              <w:rPr>
                <w:rFonts w:hint="eastAsia" w:cs="Times New Roman"/>
                <w:color w:val="auto"/>
                <w:szCs w:val="21"/>
                <w:lang w:val="en-US" w:eastAsia="zh-CN"/>
              </w:rPr>
              <w:t>0.689</w:t>
            </w:r>
          </w:p>
        </w:tc>
        <w:tc>
          <w:tcPr>
            <w:tcW w:w="1424" w:type="dxa"/>
            <w:vMerge w:val="continue"/>
            <w:tcBorders>
              <w:tl2br w:val="nil"/>
              <w:tr2bl w:val="nil"/>
            </w:tcBorders>
            <w:vAlign w:val="center"/>
          </w:tcPr>
          <w:p w14:paraId="68C0B75A">
            <w:pPr>
              <w:jc w:val="center"/>
              <w:rPr>
                <w:rFonts w:hint="default" w:ascii="Times New Roman" w:hAnsi="Times New Roman" w:cs="Times New Roman"/>
                <w:color w:val="auto"/>
                <w:szCs w:val="21"/>
              </w:rPr>
            </w:pPr>
          </w:p>
        </w:tc>
      </w:tr>
      <w:tr w14:paraId="053D9F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8612419">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F5E9F50">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83763C6">
            <w:pPr>
              <w:jc w:val="center"/>
              <w:rPr>
                <w:rFonts w:hint="default" w:ascii="Times New Roman" w:hAnsi="Times New Roman" w:cs="Times New Roman"/>
                <w:color w:val="auto"/>
                <w:szCs w:val="21"/>
              </w:rPr>
            </w:pPr>
          </w:p>
        </w:tc>
        <w:tc>
          <w:tcPr>
            <w:tcW w:w="1423" w:type="dxa"/>
            <w:tcBorders>
              <w:tl2br w:val="nil"/>
              <w:tr2bl w:val="nil"/>
            </w:tcBorders>
            <w:vAlign w:val="center"/>
          </w:tcPr>
          <w:p w14:paraId="1350E538">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0D82858E">
            <w:pPr>
              <w:jc w:val="center"/>
              <w:rPr>
                <w:rFonts w:hint="default" w:cs="Times New Roman"/>
                <w:color w:val="auto"/>
                <w:szCs w:val="21"/>
                <w:lang w:val="en-US" w:eastAsia="zh-CN"/>
              </w:rPr>
            </w:pPr>
            <w:r>
              <w:rPr>
                <w:rFonts w:hint="eastAsia" w:cs="Times New Roman"/>
                <w:color w:val="auto"/>
                <w:szCs w:val="21"/>
                <w:lang w:val="en-US" w:eastAsia="zh-CN"/>
              </w:rPr>
              <w:t>4.7</w:t>
            </w:r>
          </w:p>
        </w:tc>
        <w:tc>
          <w:tcPr>
            <w:tcW w:w="1423" w:type="dxa"/>
            <w:tcBorders>
              <w:tl2br w:val="nil"/>
              <w:tr2bl w:val="nil"/>
            </w:tcBorders>
            <w:vAlign w:val="center"/>
          </w:tcPr>
          <w:p w14:paraId="171A8155">
            <w:pPr>
              <w:jc w:val="center"/>
              <w:rPr>
                <w:rFonts w:hint="default" w:cs="Times New Roman"/>
                <w:color w:val="auto"/>
                <w:szCs w:val="21"/>
                <w:lang w:val="en-US" w:eastAsia="zh-CN"/>
              </w:rPr>
            </w:pPr>
            <w:r>
              <w:rPr>
                <w:rFonts w:hint="eastAsia" w:cs="Times New Roman"/>
                <w:color w:val="auto"/>
                <w:szCs w:val="21"/>
                <w:lang w:val="en-US" w:eastAsia="zh-CN"/>
              </w:rPr>
              <w:t>0.681</w:t>
            </w:r>
          </w:p>
        </w:tc>
        <w:tc>
          <w:tcPr>
            <w:tcW w:w="1424" w:type="dxa"/>
            <w:vMerge w:val="continue"/>
            <w:tcBorders>
              <w:tl2br w:val="nil"/>
              <w:tr2bl w:val="nil"/>
            </w:tcBorders>
            <w:vAlign w:val="center"/>
          </w:tcPr>
          <w:p w14:paraId="0BA413A7">
            <w:pPr>
              <w:jc w:val="center"/>
              <w:rPr>
                <w:rFonts w:hint="default" w:ascii="Times New Roman" w:hAnsi="Times New Roman" w:cs="Times New Roman"/>
                <w:color w:val="auto"/>
                <w:szCs w:val="21"/>
              </w:rPr>
            </w:pPr>
          </w:p>
        </w:tc>
      </w:tr>
      <w:tr w14:paraId="68966C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07D063B2">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0F634049">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D330F4E">
            <w:pPr>
              <w:jc w:val="center"/>
              <w:rPr>
                <w:rFonts w:hint="default" w:ascii="Times New Roman" w:hAnsi="Times New Roman" w:cs="Times New Roman"/>
                <w:color w:val="auto"/>
                <w:szCs w:val="21"/>
              </w:rPr>
            </w:pPr>
          </w:p>
        </w:tc>
        <w:tc>
          <w:tcPr>
            <w:tcW w:w="1423" w:type="dxa"/>
            <w:tcBorders>
              <w:tl2br w:val="nil"/>
              <w:tr2bl w:val="nil"/>
            </w:tcBorders>
            <w:vAlign w:val="center"/>
          </w:tcPr>
          <w:p w14:paraId="298F0012">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50B0D6EA">
            <w:pPr>
              <w:jc w:val="center"/>
              <w:rPr>
                <w:rFonts w:hint="default" w:cs="Times New Roman"/>
                <w:color w:val="auto"/>
                <w:szCs w:val="21"/>
                <w:lang w:val="en-US" w:eastAsia="zh-CN"/>
              </w:rPr>
            </w:pPr>
            <w:r>
              <w:rPr>
                <w:rFonts w:hint="eastAsia" w:cs="Times New Roman"/>
                <w:color w:val="auto"/>
                <w:szCs w:val="21"/>
                <w:lang w:val="en-US" w:eastAsia="zh-CN"/>
              </w:rPr>
              <w:t>4.6</w:t>
            </w:r>
          </w:p>
        </w:tc>
        <w:tc>
          <w:tcPr>
            <w:tcW w:w="1423" w:type="dxa"/>
            <w:tcBorders>
              <w:tl2br w:val="nil"/>
              <w:tr2bl w:val="nil"/>
            </w:tcBorders>
            <w:vAlign w:val="center"/>
          </w:tcPr>
          <w:p w14:paraId="75269510">
            <w:pPr>
              <w:jc w:val="center"/>
              <w:rPr>
                <w:rFonts w:hint="default" w:cs="Times New Roman"/>
                <w:color w:val="auto"/>
                <w:szCs w:val="21"/>
                <w:lang w:val="en-US" w:eastAsia="zh-CN"/>
              </w:rPr>
            </w:pPr>
            <w:r>
              <w:rPr>
                <w:rFonts w:hint="eastAsia" w:cs="Times New Roman"/>
                <w:color w:val="auto"/>
                <w:szCs w:val="21"/>
                <w:lang w:val="en-US" w:eastAsia="zh-CN"/>
              </w:rPr>
              <w:t>0.590</w:t>
            </w:r>
          </w:p>
        </w:tc>
        <w:tc>
          <w:tcPr>
            <w:tcW w:w="1424" w:type="dxa"/>
            <w:vMerge w:val="continue"/>
            <w:tcBorders>
              <w:tl2br w:val="nil"/>
              <w:tr2bl w:val="nil"/>
            </w:tcBorders>
            <w:vAlign w:val="center"/>
          </w:tcPr>
          <w:p w14:paraId="3A7AB080">
            <w:pPr>
              <w:jc w:val="center"/>
              <w:rPr>
                <w:rFonts w:hint="default" w:ascii="Times New Roman" w:hAnsi="Times New Roman" w:cs="Times New Roman"/>
                <w:color w:val="auto"/>
                <w:szCs w:val="21"/>
              </w:rPr>
            </w:pPr>
          </w:p>
        </w:tc>
      </w:tr>
      <w:tr w14:paraId="3840C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36F7C3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3E05F3B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2535E2C7">
            <w:pPr>
              <w:jc w:val="center"/>
              <w:rPr>
                <w:rFonts w:hint="default" w:ascii="Times New Roman" w:hAnsi="Times New Roman" w:cs="Times New Roman"/>
                <w:color w:val="auto"/>
                <w:szCs w:val="21"/>
              </w:rPr>
            </w:pPr>
          </w:p>
        </w:tc>
        <w:tc>
          <w:tcPr>
            <w:tcW w:w="1423" w:type="dxa"/>
            <w:tcBorders>
              <w:tl2br w:val="nil"/>
              <w:tr2bl w:val="nil"/>
            </w:tcBorders>
            <w:vAlign w:val="center"/>
          </w:tcPr>
          <w:p w14:paraId="4EF6367C">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757CC49E">
            <w:pPr>
              <w:jc w:val="center"/>
              <w:rPr>
                <w:rFonts w:hint="default" w:cs="Times New Roman"/>
                <w:color w:val="auto"/>
                <w:szCs w:val="21"/>
                <w:lang w:val="en-US" w:eastAsia="zh-CN"/>
              </w:rPr>
            </w:pPr>
            <w:r>
              <w:rPr>
                <w:rFonts w:hint="eastAsia" w:cs="Times New Roman"/>
                <w:color w:val="auto"/>
                <w:szCs w:val="21"/>
                <w:lang w:val="en-US" w:eastAsia="zh-CN"/>
              </w:rPr>
              <w:t>30</w:t>
            </w:r>
          </w:p>
        </w:tc>
        <w:tc>
          <w:tcPr>
            <w:tcW w:w="1423" w:type="dxa"/>
            <w:tcBorders>
              <w:tl2br w:val="nil"/>
              <w:tr2bl w:val="nil"/>
            </w:tcBorders>
            <w:vAlign w:val="center"/>
          </w:tcPr>
          <w:p w14:paraId="69F99F3E">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07F82AEC">
            <w:pPr>
              <w:jc w:val="center"/>
              <w:rPr>
                <w:rFonts w:hint="default" w:ascii="Times New Roman" w:hAnsi="Times New Roman" w:cs="Times New Roman"/>
                <w:color w:val="auto"/>
                <w:szCs w:val="21"/>
              </w:rPr>
            </w:pPr>
          </w:p>
        </w:tc>
      </w:tr>
      <w:tr w14:paraId="01F492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9558B8A">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77BA92B6">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983D67F">
            <w:pPr>
              <w:jc w:val="center"/>
              <w:rPr>
                <w:rFonts w:hint="default" w:ascii="Times New Roman" w:hAnsi="Times New Roman" w:cs="Times New Roman"/>
                <w:color w:val="auto"/>
                <w:szCs w:val="21"/>
              </w:rPr>
            </w:pPr>
          </w:p>
        </w:tc>
        <w:tc>
          <w:tcPr>
            <w:tcW w:w="1423" w:type="dxa"/>
            <w:tcBorders>
              <w:tl2br w:val="nil"/>
              <w:tr2bl w:val="nil"/>
            </w:tcBorders>
            <w:vAlign w:val="center"/>
          </w:tcPr>
          <w:p w14:paraId="6EBD75C2">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5B5A1538">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01EDEE78">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515E3C0E">
            <w:pPr>
              <w:jc w:val="center"/>
              <w:rPr>
                <w:rFonts w:hint="default" w:ascii="Times New Roman" w:hAnsi="Times New Roman" w:cs="Times New Roman"/>
                <w:color w:val="auto"/>
                <w:szCs w:val="21"/>
              </w:rPr>
            </w:pPr>
          </w:p>
        </w:tc>
      </w:tr>
      <w:tr w14:paraId="2CF420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739DB43">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1573ACD8">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铅及其化合物</w:t>
            </w:r>
          </w:p>
        </w:tc>
        <w:tc>
          <w:tcPr>
            <w:tcW w:w="1603" w:type="dxa"/>
            <w:vMerge w:val="continue"/>
            <w:tcBorders>
              <w:tl2br w:val="nil"/>
              <w:tr2bl w:val="nil"/>
            </w:tcBorders>
            <w:vAlign w:val="center"/>
          </w:tcPr>
          <w:p w14:paraId="7B52AA1C">
            <w:pPr>
              <w:jc w:val="center"/>
              <w:rPr>
                <w:rFonts w:hint="default" w:ascii="Times New Roman" w:hAnsi="Times New Roman" w:cs="Times New Roman"/>
                <w:color w:val="auto"/>
                <w:szCs w:val="21"/>
              </w:rPr>
            </w:pPr>
          </w:p>
        </w:tc>
        <w:tc>
          <w:tcPr>
            <w:tcW w:w="1423" w:type="dxa"/>
            <w:tcBorders>
              <w:tl2br w:val="nil"/>
              <w:tr2bl w:val="nil"/>
            </w:tcBorders>
            <w:vAlign w:val="center"/>
          </w:tcPr>
          <w:p w14:paraId="1D74341F">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203DDEDF">
            <w:pPr>
              <w:jc w:val="center"/>
              <w:rPr>
                <w:rFonts w:hint="default" w:cs="Times New Roman"/>
                <w:color w:val="auto"/>
                <w:szCs w:val="21"/>
                <w:lang w:val="en-US" w:eastAsia="zh-CN"/>
              </w:rPr>
            </w:pPr>
            <w:r>
              <w:rPr>
                <w:rFonts w:hint="eastAsia" w:cs="Times New Roman"/>
                <w:color w:val="auto"/>
                <w:szCs w:val="21"/>
                <w:lang w:val="en-US" w:eastAsia="zh-CN"/>
              </w:rPr>
              <w:t>0.057</w:t>
            </w:r>
          </w:p>
        </w:tc>
        <w:tc>
          <w:tcPr>
            <w:tcW w:w="1423" w:type="dxa"/>
            <w:tcBorders>
              <w:tl2br w:val="nil"/>
              <w:tr2bl w:val="nil"/>
            </w:tcBorders>
            <w:vAlign w:val="center"/>
          </w:tcPr>
          <w:p w14:paraId="66394EE3">
            <w:pPr>
              <w:jc w:val="center"/>
              <w:rPr>
                <w:rFonts w:hint="default" w:cs="Times New Roman"/>
                <w:color w:val="auto"/>
                <w:szCs w:val="21"/>
                <w:lang w:val="en-US" w:eastAsia="zh-CN"/>
              </w:rPr>
            </w:pPr>
            <w:r>
              <w:rPr>
                <w:rFonts w:hint="eastAsia" w:cs="Times New Roman"/>
                <w:color w:val="auto"/>
                <w:szCs w:val="21"/>
                <w:lang w:val="en-US" w:eastAsia="zh-CN"/>
              </w:rPr>
              <w:t>3.48×10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063C5728">
            <w:pPr>
              <w:jc w:val="center"/>
              <w:rPr>
                <w:rFonts w:hint="default" w:ascii="Times New Roman" w:hAnsi="Times New Roman" w:cs="Times New Roman"/>
                <w:color w:val="auto"/>
                <w:szCs w:val="21"/>
              </w:rPr>
            </w:pPr>
          </w:p>
        </w:tc>
      </w:tr>
      <w:tr w14:paraId="695EB6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3DED26DF">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7055C602">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A784382">
            <w:pPr>
              <w:jc w:val="center"/>
              <w:rPr>
                <w:rFonts w:hint="default" w:ascii="Times New Roman" w:hAnsi="Times New Roman" w:cs="Times New Roman"/>
                <w:color w:val="auto"/>
                <w:szCs w:val="21"/>
              </w:rPr>
            </w:pPr>
          </w:p>
        </w:tc>
        <w:tc>
          <w:tcPr>
            <w:tcW w:w="1423" w:type="dxa"/>
            <w:tcBorders>
              <w:tl2br w:val="nil"/>
              <w:tr2bl w:val="nil"/>
            </w:tcBorders>
            <w:vAlign w:val="center"/>
          </w:tcPr>
          <w:p w14:paraId="1F21DEF1">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5463D8C4">
            <w:pPr>
              <w:jc w:val="center"/>
              <w:rPr>
                <w:rFonts w:hint="default" w:cs="Times New Roman"/>
                <w:color w:val="auto"/>
                <w:szCs w:val="21"/>
                <w:lang w:val="en-US" w:eastAsia="zh-CN"/>
              </w:rPr>
            </w:pPr>
            <w:r>
              <w:rPr>
                <w:rFonts w:hint="eastAsia" w:cs="Times New Roman"/>
                <w:color w:val="auto"/>
                <w:szCs w:val="21"/>
                <w:lang w:val="en-US" w:eastAsia="zh-CN"/>
              </w:rPr>
              <w:t>0.058</w:t>
            </w:r>
          </w:p>
        </w:tc>
        <w:tc>
          <w:tcPr>
            <w:tcW w:w="1423" w:type="dxa"/>
            <w:tcBorders>
              <w:tl2br w:val="nil"/>
              <w:tr2bl w:val="nil"/>
            </w:tcBorders>
            <w:vAlign w:val="center"/>
          </w:tcPr>
          <w:p w14:paraId="3D73F983">
            <w:pPr>
              <w:jc w:val="center"/>
              <w:rPr>
                <w:rFonts w:hint="default" w:cs="Times New Roman"/>
                <w:color w:val="auto"/>
                <w:szCs w:val="21"/>
                <w:lang w:val="en-US" w:eastAsia="zh-CN"/>
              </w:rPr>
            </w:pPr>
            <w:r>
              <w:rPr>
                <w:rFonts w:hint="eastAsia" w:cs="Times New Roman"/>
                <w:color w:val="auto"/>
                <w:szCs w:val="21"/>
                <w:lang w:val="en-US" w:eastAsia="zh-CN"/>
              </w:rPr>
              <w:t>3.54×10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524C8D97">
            <w:pPr>
              <w:jc w:val="center"/>
              <w:rPr>
                <w:rFonts w:hint="default" w:ascii="Times New Roman" w:hAnsi="Times New Roman" w:cs="Times New Roman"/>
                <w:color w:val="auto"/>
                <w:szCs w:val="21"/>
              </w:rPr>
            </w:pPr>
          </w:p>
        </w:tc>
      </w:tr>
      <w:tr w14:paraId="2A50FA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78FCF4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C5A4B15">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7748BEA0">
            <w:pPr>
              <w:jc w:val="center"/>
              <w:rPr>
                <w:rFonts w:hint="default" w:ascii="Times New Roman" w:hAnsi="Times New Roman" w:cs="Times New Roman"/>
                <w:color w:val="auto"/>
                <w:szCs w:val="21"/>
              </w:rPr>
            </w:pPr>
          </w:p>
        </w:tc>
        <w:tc>
          <w:tcPr>
            <w:tcW w:w="1423" w:type="dxa"/>
            <w:tcBorders>
              <w:tl2br w:val="nil"/>
              <w:tr2bl w:val="nil"/>
            </w:tcBorders>
            <w:vAlign w:val="center"/>
          </w:tcPr>
          <w:p w14:paraId="6ADF2AAE">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773D903F">
            <w:pPr>
              <w:jc w:val="center"/>
              <w:rPr>
                <w:rFonts w:hint="default" w:cs="Times New Roman"/>
                <w:color w:val="auto"/>
                <w:szCs w:val="21"/>
                <w:lang w:val="en-US" w:eastAsia="zh-CN"/>
              </w:rPr>
            </w:pPr>
            <w:r>
              <w:rPr>
                <w:rFonts w:hint="eastAsia" w:cs="Times New Roman"/>
                <w:color w:val="auto"/>
                <w:szCs w:val="21"/>
                <w:lang w:val="en-US" w:eastAsia="zh-CN"/>
              </w:rPr>
              <w:t>0.040</w:t>
            </w:r>
          </w:p>
        </w:tc>
        <w:tc>
          <w:tcPr>
            <w:tcW w:w="1423" w:type="dxa"/>
            <w:tcBorders>
              <w:tl2br w:val="nil"/>
              <w:tr2bl w:val="nil"/>
            </w:tcBorders>
            <w:vAlign w:val="center"/>
          </w:tcPr>
          <w:p w14:paraId="02AF3E83">
            <w:pPr>
              <w:jc w:val="center"/>
              <w:rPr>
                <w:rFonts w:hint="default" w:cs="Times New Roman"/>
                <w:color w:val="auto"/>
                <w:szCs w:val="21"/>
                <w:lang w:val="en-US" w:eastAsia="zh-CN"/>
              </w:rPr>
            </w:pPr>
            <w:r>
              <w:rPr>
                <w:rFonts w:hint="eastAsia" w:cs="Times New Roman"/>
                <w:color w:val="auto"/>
                <w:szCs w:val="21"/>
                <w:lang w:val="en-US" w:eastAsia="zh-CN"/>
              </w:rPr>
              <w:t>6.92×10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3AD424CA">
            <w:pPr>
              <w:jc w:val="center"/>
              <w:rPr>
                <w:rFonts w:hint="default" w:ascii="Times New Roman" w:hAnsi="Times New Roman" w:cs="Times New Roman"/>
                <w:color w:val="auto"/>
                <w:szCs w:val="21"/>
              </w:rPr>
            </w:pPr>
          </w:p>
        </w:tc>
      </w:tr>
      <w:tr w14:paraId="6DD563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4FDDF79">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43D23A7E">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27263CE">
            <w:pPr>
              <w:jc w:val="center"/>
              <w:rPr>
                <w:rFonts w:hint="default" w:ascii="Times New Roman" w:hAnsi="Times New Roman" w:cs="Times New Roman"/>
                <w:color w:val="auto"/>
                <w:szCs w:val="21"/>
              </w:rPr>
            </w:pPr>
          </w:p>
        </w:tc>
        <w:tc>
          <w:tcPr>
            <w:tcW w:w="1423" w:type="dxa"/>
            <w:tcBorders>
              <w:tl2br w:val="nil"/>
              <w:tr2bl w:val="nil"/>
            </w:tcBorders>
            <w:vAlign w:val="center"/>
          </w:tcPr>
          <w:p w14:paraId="693D1724">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164B3139">
            <w:pPr>
              <w:jc w:val="center"/>
              <w:rPr>
                <w:rFonts w:hint="default" w:cs="Times New Roman"/>
                <w:color w:val="auto"/>
                <w:szCs w:val="21"/>
                <w:lang w:val="en-US" w:eastAsia="zh-CN"/>
              </w:rPr>
            </w:pPr>
            <w:r>
              <w:rPr>
                <w:rFonts w:hint="eastAsia" w:cs="Times New Roman"/>
                <w:color w:val="auto"/>
                <w:szCs w:val="21"/>
                <w:lang w:val="en-US" w:eastAsia="zh-CN"/>
              </w:rPr>
              <w:t>0.052</w:t>
            </w:r>
          </w:p>
        </w:tc>
        <w:tc>
          <w:tcPr>
            <w:tcW w:w="1423" w:type="dxa"/>
            <w:tcBorders>
              <w:tl2br w:val="nil"/>
              <w:tr2bl w:val="nil"/>
            </w:tcBorders>
            <w:vAlign w:val="center"/>
          </w:tcPr>
          <w:p w14:paraId="4D5E6588">
            <w:pPr>
              <w:jc w:val="center"/>
              <w:rPr>
                <w:rFonts w:hint="default" w:cs="Times New Roman"/>
                <w:color w:val="auto"/>
                <w:szCs w:val="21"/>
                <w:lang w:val="en-US" w:eastAsia="zh-CN"/>
              </w:rPr>
            </w:pPr>
            <w:r>
              <w:rPr>
                <w:rFonts w:hint="eastAsia" w:cs="Times New Roman"/>
                <w:color w:val="auto"/>
                <w:szCs w:val="21"/>
                <w:lang w:val="en-US" w:eastAsia="zh-CN"/>
              </w:rPr>
              <w:t>4.65×10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72230DF1">
            <w:pPr>
              <w:jc w:val="center"/>
              <w:rPr>
                <w:rFonts w:hint="default" w:ascii="Times New Roman" w:hAnsi="Times New Roman" w:cs="Times New Roman"/>
                <w:color w:val="auto"/>
                <w:szCs w:val="21"/>
              </w:rPr>
            </w:pPr>
          </w:p>
        </w:tc>
      </w:tr>
      <w:tr w14:paraId="222B15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F8DDF15">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E89DEB5">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2C6D833">
            <w:pPr>
              <w:jc w:val="center"/>
              <w:rPr>
                <w:rFonts w:hint="default" w:ascii="Times New Roman" w:hAnsi="Times New Roman" w:cs="Times New Roman"/>
                <w:color w:val="auto"/>
                <w:szCs w:val="21"/>
              </w:rPr>
            </w:pPr>
          </w:p>
        </w:tc>
        <w:tc>
          <w:tcPr>
            <w:tcW w:w="1423" w:type="dxa"/>
            <w:tcBorders>
              <w:tl2br w:val="nil"/>
              <w:tr2bl w:val="nil"/>
            </w:tcBorders>
            <w:vAlign w:val="center"/>
          </w:tcPr>
          <w:p w14:paraId="3BE2D124">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624340F0">
            <w:pPr>
              <w:jc w:val="center"/>
              <w:rPr>
                <w:rFonts w:hint="eastAsia" w:cs="Times New Roman"/>
                <w:color w:val="auto"/>
                <w:szCs w:val="21"/>
                <w:lang w:val="en-US" w:eastAsia="zh-CN"/>
              </w:rPr>
            </w:pPr>
            <w:r>
              <w:rPr>
                <w:rFonts w:hint="eastAsia" w:cs="Times New Roman"/>
                <w:color w:val="auto"/>
                <w:szCs w:val="21"/>
                <w:lang w:val="en-US" w:eastAsia="zh-CN"/>
              </w:rPr>
              <w:t>1</w:t>
            </w:r>
          </w:p>
        </w:tc>
        <w:tc>
          <w:tcPr>
            <w:tcW w:w="1423" w:type="dxa"/>
            <w:tcBorders>
              <w:tl2br w:val="nil"/>
              <w:tr2bl w:val="nil"/>
            </w:tcBorders>
            <w:vAlign w:val="center"/>
          </w:tcPr>
          <w:p w14:paraId="4ADEB5DD">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0343D94B">
            <w:pPr>
              <w:jc w:val="center"/>
              <w:rPr>
                <w:rFonts w:hint="default" w:ascii="Times New Roman" w:hAnsi="Times New Roman" w:cs="Times New Roman"/>
                <w:color w:val="auto"/>
                <w:szCs w:val="21"/>
              </w:rPr>
            </w:pPr>
          </w:p>
        </w:tc>
      </w:tr>
      <w:tr w14:paraId="482D72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3C7F1D71">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5402CB7">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8E3CB37">
            <w:pPr>
              <w:jc w:val="center"/>
              <w:rPr>
                <w:rFonts w:hint="default" w:ascii="Times New Roman" w:hAnsi="Times New Roman" w:cs="Times New Roman"/>
                <w:color w:val="auto"/>
                <w:szCs w:val="21"/>
              </w:rPr>
            </w:pPr>
          </w:p>
        </w:tc>
        <w:tc>
          <w:tcPr>
            <w:tcW w:w="1423" w:type="dxa"/>
            <w:tcBorders>
              <w:tl2br w:val="nil"/>
              <w:tr2bl w:val="nil"/>
            </w:tcBorders>
            <w:vAlign w:val="center"/>
          </w:tcPr>
          <w:p w14:paraId="19724CC8">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1CDE5044">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753E1B38">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6312D826">
            <w:pPr>
              <w:jc w:val="center"/>
              <w:rPr>
                <w:rFonts w:hint="default" w:ascii="Times New Roman" w:hAnsi="Times New Roman" w:cs="Times New Roman"/>
                <w:color w:val="auto"/>
                <w:szCs w:val="21"/>
              </w:rPr>
            </w:pPr>
          </w:p>
        </w:tc>
      </w:tr>
      <w:tr w14:paraId="52022B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C6808AF">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7DAC43C0">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锡及其化合物</w:t>
            </w:r>
          </w:p>
        </w:tc>
        <w:tc>
          <w:tcPr>
            <w:tcW w:w="1603" w:type="dxa"/>
            <w:vMerge w:val="continue"/>
            <w:tcBorders>
              <w:tl2br w:val="nil"/>
              <w:tr2bl w:val="nil"/>
            </w:tcBorders>
            <w:vAlign w:val="center"/>
          </w:tcPr>
          <w:p w14:paraId="6393E290">
            <w:pPr>
              <w:jc w:val="center"/>
              <w:rPr>
                <w:rFonts w:hint="default" w:ascii="Times New Roman" w:hAnsi="Times New Roman" w:cs="Times New Roman"/>
                <w:color w:val="auto"/>
                <w:szCs w:val="21"/>
              </w:rPr>
            </w:pPr>
          </w:p>
        </w:tc>
        <w:tc>
          <w:tcPr>
            <w:tcW w:w="1423" w:type="dxa"/>
            <w:tcBorders>
              <w:tl2br w:val="nil"/>
              <w:tr2bl w:val="nil"/>
            </w:tcBorders>
            <w:vAlign w:val="center"/>
          </w:tcPr>
          <w:p w14:paraId="3EF3D10C">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21B29895">
            <w:pPr>
              <w:jc w:val="center"/>
              <w:rPr>
                <w:rFonts w:hint="default" w:cs="Times New Roman"/>
                <w:color w:val="auto"/>
                <w:szCs w:val="21"/>
                <w:lang w:val="en-US" w:eastAsia="zh-CN"/>
              </w:rPr>
            </w:pPr>
            <w:r>
              <w:rPr>
                <w:rFonts w:hint="eastAsia" w:cs="Times New Roman"/>
                <w:color w:val="auto"/>
                <w:szCs w:val="21"/>
                <w:lang w:val="en-US" w:eastAsia="zh-CN"/>
              </w:rPr>
              <w:t>ND</w:t>
            </w:r>
          </w:p>
        </w:tc>
        <w:tc>
          <w:tcPr>
            <w:tcW w:w="1423" w:type="dxa"/>
            <w:tcBorders>
              <w:tl2br w:val="nil"/>
              <w:tr2bl w:val="nil"/>
            </w:tcBorders>
            <w:vAlign w:val="center"/>
          </w:tcPr>
          <w:p w14:paraId="012737C1">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73CB3DBB">
            <w:pPr>
              <w:jc w:val="center"/>
              <w:rPr>
                <w:rFonts w:hint="default" w:ascii="Times New Roman" w:hAnsi="Times New Roman" w:cs="Times New Roman"/>
                <w:color w:val="auto"/>
                <w:szCs w:val="21"/>
              </w:rPr>
            </w:pPr>
          </w:p>
        </w:tc>
      </w:tr>
      <w:tr w14:paraId="1FBEBA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03E1FB3">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CB9B850">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0458DCBC">
            <w:pPr>
              <w:jc w:val="center"/>
              <w:rPr>
                <w:rFonts w:hint="default" w:ascii="Times New Roman" w:hAnsi="Times New Roman" w:cs="Times New Roman"/>
                <w:color w:val="auto"/>
                <w:szCs w:val="21"/>
              </w:rPr>
            </w:pPr>
          </w:p>
        </w:tc>
        <w:tc>
          <w:tcPr>
            <w:tcW w:w="1423" w:type="dxa"/>
            <w:tcBorders>
              <w:tl2br w:val="nil"/>
              <w:tr2bl w:val="nil"/>
            </w:tcBorders>
            <w:vAlign w:val="center"/>
          </w:tcPr>
          <w:p w14:paraId="74EB0B37">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5E7B2FE1">
            <w:pPr>
              <w:jc w:val="center"/>
              <w:rPr>
                <w:rFonts w:hint="eastAsia" w:cs="Times New Roman"/>
                <w:color w:val="auto"/>
                <w:szCs w:val="21"/>
                <w:lang w:val="en-US" w:eastAsia="zh-CN"/>
              </w:rPr>
            </w:pPr>
            <w:r>
              <w:rPr>
                <w:rFonts w:hint="eastAsia" w:cs="Times New Roman"/>
                <w:color w:val="auto"/>
                <w:szCs w:val="21"/>
                <w:lang w:val="en-US" w:eastAsia="zh-CN"/>
              </w:rPr>
              <w:t>ND</w:t>
            </w:r>
          </w:p>
        </w:tc>
        <w:tc>
          <w:tcPr>
            <w:tcW w:w="1423" w:type="dxa"/>
            <w:tcBorders>
              <w:tl2br w:val="nil"/>
              <w:tr2bl w:val="nil"/>
            </w:tcBorders>
            <w:vAlign w:val="center"/>
          </w:tcPr>
          <w:p w14:paraId="2599FAB5">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1A201414">
            <w:pPr>
              <w:jc w:val="center"/>
              <w:rPr>
                <w:rFonts w:hint="default" w:ascii="Times New Roman" w:hAnsi="Times New Roman" w:cs="Times New Roman"/>
                <w:color w:val="auto"/>
                <w:szCs w:val="21"/>
              </w:rPr>
            </w:pPr>
          </w:p>
        </w:tc>
      </w:tr>
      <w:tr w14:paraId="059404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E86E3C6">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7F3E2EB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8CB7417">
            <w:pPr>
              <w:jc w:val="center"/>
              <w:rPr>
                <w:rFonts w:hint="default" w:ascii="Times New Roman" w:hAnsi="Times New Roman" w:cs="Times New Roman"/>
                <w:color w:val="auto"/>
                <w:szCs w:val="21"/>
              </w:rPr>
            </w:pPr>
          </w:p>
        </w:tc>
        <w:tc>
          <w:tcPr>
            <w:tcW w:w="1423" w:type="dxa"/>
            <w:tcBorders>
              <w:tl2br w:val="nil"/>
              <w:tr2bl w:val="nil"/>
            </w:tcBorders>
            <w:vAlign w:val="center"/>
          </w:tcPr>
          <w:p w14:paraId="56B804ED">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5B2AB417">
            <w:pPr>
              <w:jc w:val="center"/>
              <w:rPr>
                <w:rFonts w:hint="eastAsia" w:cs="Times New Roman"/>
                <w:color w:val="auto"/>
                <w:szCs w:val="21"/>
                <w:lang w:val="en-US" w:eastAsia="zh-CN"/>
              </w:rPr>
            </w:pPr>
            <w:r>
              <w:rPr>
                <w:rFonts w:hint="eastAsia" w:cs="Times New Roman"/>
                <w:color w:val="auto"/>
                <w:szCs w:val="21"/>
                <w:lang w:val="en-US" w:eastAsia="zh-CN"/>
              </w:rPr>
              <w:t>ND</w:t>
            </w:r>
          </w:p>
        </w:tc>
        <w:tc>
          <w:tcPr>
            <w:tcW w:w="1423" w:type="dxa"/>
            <w:tcBorders>
              <w:tl2br w:val="nil"/>
              <w:tr2bl w:val="nil"/>
            </w:tcBorders>
            <w:vAlign w:val="center"/>
          </w:tcPr>
          <w:p w14:paraId="2DCDC91B">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08238BF9">
            <w:pPr>
              <w:jc w:val="center"/>
              <w:rPr>
                <w:rFonts w:hint="default" w:ascii="Times New Roman" w:hAnsi="Times New Roman" w:cs="Times New Roman"/>
                <w:color w:val="auto"/>
                <w:szCs w:val="21"/>
              </w:rPr>
            </w:pPr>
          </w:p>
        </w:tc>
      </w:tr>
      <w:tr w14:paraId="688415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6E024E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83B3491">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C50D067">
            <w:pPr>
              <w:jc w:val="center"/>
              <w:rPr>
                <w:rFonts w:hint="default" w:ascii="Times New Roman" w:hAnsi="Times New Roman" w:cs="Times New Roman"/>
                <w:color w:val="auto"/>
                <w:szCs w:val="21"/>
              </w:rPr>
            </w:pPr>
          </w:p>
        </w:tc>
        <w:tc>
          <w:tcPr>
            <w:tcW w:w="1423" w:type="dxa"/>
            <w:tcBorders>
              <w:tl2br w:val="nil"/>
              <w:tr2bl w:val="nil"/>
            </w:tcBorders>
            <w:vAlign w:val="center"/>
          </w:tcPr>
          <w:p w14:paraId="0B416EF2">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0B72FB63">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3" w:type="dxa"/>
            <w:tcBorders>
              <w:tl2br w:val="nil"/>
              <w:tr2bl w:val="nil"/>
            </w:tcBorders>
            <w:vAlign w:val="center"/>
          </w:tcPr>
          <w:p w14:paraId="666A9FBF">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349BC728">
            <w:pPr>
              <w:jc w:val="center"/>
              <w:rPr>
                <w:rFonts w:hint="default" w:ascii="Times New Roman" w:hAnsi="Times New Roman" w:cs="Times New Roman"/>
                <w:color w:val="auto"/>
                <w:szCs w:val="21"/>
              </w:rPr>
            </w:pPr>
          </w:p>
        </w:tc>
      </w:tr>
      <w:tr w14:paraId="4A56B1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B2E5C45">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A54797B">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00CD2853">
            <w:pPr>
              <w:jc w:val="center"/>
              <w:rPr>
                <w:rFonts w:hint="default" w:ascii="Times New Roman" w:hAnsi="Times New Roman" w:cs="Times New Roman"/>
                <w:color w:val="auto"/>
                <w:szCs w:val="21"/>
              </w:rPr>
            </w:pPr>
          </w:p>
        </w:tc>
        <w:tc>
          <w:tcPr>
            <w:tcW w:w="1423" w:type="dxa"/>
            <w:tcBorders>
              <w:tl2br w:val="nil"/>
              <w:tr2bl w:val="nil"/>
            </w:tcBorders>
            <w:vAlign w:val="center"/>
          </w:tcPr>
          <w:p w14:paraId="26573FC8">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3AA7D4AD">
            <w:pPr>
              <w:jc w:val="center"/>
              <w:rPr>
                <w:rFonts w:hint="eastAsia" w:cs="Times New Roman"/>
                <w:color w:val="auto"/>
                <w:szCs w:val="21"/>
                <w:lang w:val="en-US" w:eastAsia="zh-CN"/>
              </w:rPr>
            </w:pPr>
            <w:r>
              <w:rPr>
                <w:rFonts w:hint="eastAsia" w:cs="Times New Roman"/>
                <w:color w:val="auto"/>
                <w:szCs w:val="21"/>
                <w:lang w:val="en-US" w:eastAsia="zh-CN"/>
              </w:rPr>
              <w:t>1</w:t>
            </w:r>
          </w:p>
        </w:tc>
        <w:tc>
          <w:tcPr>
            <w:tcW w:w="1423" w:type="dxa"/>
            <w:tcBorders>
              <w:tl2br w:val="nil"/>
              <w:tr2bl w:val="nil"/>
            </w:tcBorders>
            <w:vAlign w:val="center"/>
          </w:tcPr>
          <w:p w14:paraId="4B2D88EE">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485655E6">
            <w:pPr>
              <w:jc w:val="center"/>
              <w:rPr>
                <w:rFonts w:hint="default" w:ascii="Times New Roman" w:hAnsi="Times New Roman" w:cs="Times New Roman"/>
                <w:color w:val="auto"/>
                <w:szCs w:val="21"/>
              </w:rPr>
            </w:pPr>
          </w:p>
        </w:tc>
      </w:tr>
      <w:tr w14:paraId="3CE81C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21984DF">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FA17F1D">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757D2CF">
            <w:pPr>
              <w:jc w:val="center"/>
              <w:rPr>
                <w:rFonts w:hint="default" w:ascii="Times New Roman" w:hAnsi="Times New Roman" w:cs="Times New Roman"/>
                <w:color w:val="auto"/>
                <w:szCs w:val="21"/>
              </w:rPr>
            </w:pPr>
          </w:p>
        </w:tc>
        <w:tc>
          <w:tcPr>
            <w:tcW w:w="1423" w:type="dxa"/>
            <w:tcBorders>
              <w:tl2br w:val="nil"/>
              <w:tr2bl w:val="nil"/>
            </w:tcBorders>
            <w:vAlign w:val="center"/>
          </w:tcPr>
          <w:p w14:paraId="327EADA0">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2274E750">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302787CF">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2C2C2AE7">
            <w:pPr>
              <w:jc w:val="center"/>
              <w:rPr>
                <w:rFonts w:hint="default" w:ascii="Times New Roman" w:hAnsi="Times New Roman" w:cs="Times New Roman"/>
                <w:color w:val="auto"/>
                <w:szCs w:val="21"/>
              </w:rPr>
            </w:pPr>
          </w:p>
        </w:tc>
      </w:tr>
      <w:tr w14:paraId="28AE12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060AD7EC">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6B87B79E">
            <w:pPr>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镉及其化合物</w:t>
            </w:r>
          </w:p>
        </w:tc>
        <w:tc>
          <w:tcPr>
            <w:tcW w:w="1603" w:type="dxa"/>
            <w:vMerge w:val="continue"/>
            <w:tcBorders>
              <w:tl2br w:val="nil"/>
              <w:tr2bl w:val="nil"/>
            </w:tcBorders>
            <w:vAlign w:val="center"/>
          </w:tcPr>
          <w:p w14:paraId="0A1011FF">
            <w:pPr>
              <w:jc w:val="center"/>
              <w:rPr>
                <w:rFonts w:hint="default" w:ascii="Times New Roman" w:hAnsi="Times New Roman" w:cs="Times New Roman"/>
                <w:color w:val="auto"/>
                <w:szCs w:val="21"/>
              </w:rPr>
            </w:pPr>
          </w:p>
        </w:tc>
        <w:tc>
          <w:tcPr>
            <w:tcW w:w="1423" w:type="dxa"/>
            <w:tcBorders>
              <w:tl2br w:val="nil"/>
              <w:tr2bl w:val="nil"/>
            </w:tcBorders>
            <w:vAlign w:val="center"/>
          </w:tcPr>
          <w:p w14:paraId="60ADCDDC">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6093AD7C">
            <w:pPr>
              <w:jc w:val="center"/>
              <w:rPr>
                <w:rFonts w:hint="default" w:cs="Times New Roman"/>
                <w:color w:val="auto"/>
                <w:szCs w:val="21"/>
                <w:lang w:val="en-US" w:eastAsia="zh-CN"/>
              </w:rPr>
            </w:pPr>
            <w:r>
              <w:rPr>
                <w:rFonts w:hint="eastAsia" w:cs="Times New Roman"/>
                <w:color w:val="auto"/>
                <w:szCs w:val="21"/>
                <w:lang w:val="en-US" w:eastAsia="zh-CN"/>
              </w:rPr>
              <w:t>0.0127</w:t>
            </w:r>
          </w:p>
        </w:tc>
        <w:tc>
          <w:tcPr>
            <w:tcW w:w="1423" w:type="dxa"/>
            <w:tcBorders>
              <w:tl2br w:val="nil"/>
              <w:tr2bl w:val="nil"/>
            </w:tcBorders>
            <w:vAlign w:val="center"/>
          </w:tcPr>
          <w:p w14:paraId="268BB1B7">
            <w:pPr>
              <w:jc w:val="center"/>
              <w:rPr>
                <w:rFonts w:hint="default" w:cs="Times New Roman"/>
                <w:color w:val="auto"/>
                <w:szCs w:val="21"/>
                <w:lang w:val="en-US" w:eastAsia="zh-CN"/>
              </w:rPr>
            </w:pPr>
            <w:r>
              <w:rPr>
                <w:rFonts w:hint="eastAsia" w:cs="Times New Roman"/>
                <w:color w:val="auto"/>
                <w:szCs w:val="21"/>
                <w:lang w:val="en-US" w:eastAsia="zh-CN"/>
              </w:rPr>
              <w:t>7.76×10</w:t>
            </w:r>
            <w:r>
              <w:rPr>
                <w:rFonts w:hint="eastAsia" w:cs="Times New Roman"/>
                <w:color w:val="auto"/>
                <w:szCs w:val="21"/>
                <w:vertAlign w:val="superscript"/>
                <w:lang w:val="en-US" w:eastAsia="zh-CN"/>
              </w:rPr>
              <w:t>-4</w:t>
            </w:r>
          </w:p>
        </w:tc>
        <w:tc>
          <w:tcPr>
            <w:tcW w:w="1424" w:type="dxa"/>
            <w:vMerge w:val="continue"/>
            <w:tcBorders>
              <w:tl2br w:val="nil"/>
              <w:tr2bl w:val="nil"/>
            </w:tcBorders>
            <w:vAlign w:val="center"/>
          </w:tcPr>
          <w:p w14:paraId="0D8D278D">
            <w:pPr>
              <w:jc w:val="center"/>
              <w:rPr>
                <w:rFonts w:hint="default" w:ascii="Times New Roman" w:hAnsi="Times New Roman" w:cs="Times New Roman"/>
                <w:color w:val="auto"/>
                <w:szCs w:val="21"/>
              </w:rPr>
            </w:pPr>
          </w:p>
        </w:tc>
      </w:tr>
      <w:tr w14:paraId="7CDFA1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D71D0A2">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D295CFF">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013D96D">
            <w:pPr>
              <w:jc w:val="center"/>
              <w:rPr>
                <w:rFonts w:hint="default" w:ascii="Times New Roman" w:hAnsi="Times New Roman" w:cs="Times New Roman"/>
                <w:color w:val="auto"/>
                <w:szCs w:val="21"/>
              </w:rPr>
            </w:pPr>
          </w:p>
        </w:tc>
        <w:tc>
          <w:tcPr>
            <w:tcW w:w="1423" w:type="dxa"/>
            <w:tcBorders>
              <w:tl2br w:val="nil"/>
              <w:tr2bl w:val="nil"/>
            </w:tcBorders>
            <w:vAlign w:val="center"/>
          </w:tcPr>
          <w:p w14:paraId="170E0863">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1B027BFC">
            <w:pPr>
              <w:jc w:val="center"/>
              <w:rPr>
                <w:rFonts w:hint="default" w:cs="Times New Roman"/>
                <w:color w:val="auto"/>
                <w:szCs w:val="21"/>
                <w:lang w:val="en-US" w:eastAsia="zh-CN"/>
              </w:rPr>
            </w:pPr>
            <w:r>
              <w:rPr>
                <w:rFonts w:hint="eastAsia" w:cs="Times New Roman"/>
                <w:color w:val="auto"/>
                <w:szCs w:val="21"/>
                <w:lang w:val="en-US" w:eastAsia="zh-CN"/>
              </w:rPr>
              <w:t>0.013</w:t>
            </w:r>
          </w:p>
        </w:tc>
        <w:tc>
          <w:tcPr>
            <w:tcW w:w="1423" w:type="dxa"/>
            <w:tcBorders>
              <w:tl2br w:val="nil"/>
              <w:tr2bl w:val="nil"/>
            </w:tcBorders>
            <w:vAlign w:val="center"/>
          </w:tcPr>
          <w:p w14:paraId="40237016">
            <w:pPr>
              <w:jc w:val="center"/>
              <w:rPr>
                <w:rFonts w:hint="default" w:cs="Times New Roman"/>
                <w:color w:val="auto"/>
                <w:szCs w:val="21"/>
                <w:lang w:val="en-US" w:eastAsia="zh-CN"/>
              </w:rPr>
            </w:pPr>
            <w:r>
              <w:rPr>
                <w:rFonts w:hint="eastAsia" w:cs="Times New Roman"/>
                <w:color w:val="auto"/>
                <w:szCs w:val="21"/>
                <w:lang w:val="en-US" w:eastAsia="zh-CN"/>
              </w:rPr>
              <w:t>7.93×10</w:t>
            </w:r>
            <w:r>
              <w:rPr>
                <w:rFonts w:hint="eastAsia" w:cs="Times New Roman"/>
                <w:color w:val="auto"/>
                <w:szCs w:val="21"/>
                <w:vertAlign w:val="superscript"/>
                <w:lang w:val="en-US" w:eastAsia="zh-CN"/>
              </w:rPr>
              <w:t>-4</w:t>
            </w:r>
          </w:p>
        </w:tc>
        <w:tc>
          <w:tcPr>
            <w:tcW w:w="1424" w:type="dxa"/>
            <w:vMerge w:val="continue"/>
            <w:tcBorders>
              <w:tl2br w:val="nil"/>
              <w:tr2bl w:val="nil"/>
            </w:tcBorders>
            <w:vAlign w:val="center"/>
          </w:tcPr>
          <w:p w14:paraId="56A44984">
            <w:pPr>
              <w:jc w:val="center"/>
              <w:rPr>
                <w:rFonts w:hint="default" w:ascii="Times New Roman" w:hAnsi="Times New Roman" w:cs="Times New Roman"/>
                <w:color w:val="auto"/>
                <w:szCs w:val="21"/>
              </w:rPr>
            </w:pPr>
          </w:p>
        </w:tc>
      </w:tr>
      <w:tr w14:paraId="1F678F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7F2BD1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4B579BCA">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69414F9">
            <w:pPr>
              <w:jc w:val="center"/>
              <w:rPr>
                <w:rFonts w:hint="default" w:ascii="Times New Roman" w:hAnsi="Times New Roman" w:cs="Times New Roman"/>
                <w:color w:val="auto"/>
                <w:szCs w:val="21"/>
              </w:rPr>
            </w:pPr>
          </w:p>
        </w:tc>
        <w:tc>
          <w:tcPr>
            <w:tcW w:w="1423" w:type="dxa"/>
            <w:tcBorders>
              <w:tl2br w:val="nil"/>
              <w:tr2bl w:val="nil"/>
            </w:tcBorders>
            <w:vAlign w:val="center"/>
          </w:tcPr>
          <w:p w14:paraId="796EDF81">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75303254">
            <w:pPr>
              <w:jc w:val="center"/>
              <w:rPr>
                <w:rFonts w:hint="default" w:cs="Times New Roman"/>
                <w:color w:val="auto"/>
                <w:szCs w:val="21"/>
                <w:lang w:val="en-US" w:eastAsia="zh-CN"/>
              </w:rPr>
            </w:pPr>
            <w:r>
              <w:rPr>
                <w:rFonts w:hint="eastAsia" w:cs="Times New Roman"/>
                <w:color w:val="auto"/>
                <w:szCs w:val="21"/>
                <w:lang w:val="en-US" w:eastAsia="zh-CN"/>
              </w:rPr>
              <w:t>0.00907</w:t>
            </w:r>
          </w:p>
        </w:tc>
        <w:tc>
          <w:tcPr>
            <w:tcW w:w="1423" w:type="dxa"/>
            <w:tcBorders>
              <w:tl2br w:val="nil"/>
              <w:tr2bl w:val="nil"/>
            </w:tcBorders>
            <w:vAlign w:val="center"/>
          </w:tcPr>
          <w:p w14:paraId="5054CBB4">
            <w:pPr>
              <w:jc w:val="center"/>
              <w:rPr>
                <w:rFonts w:hint="default" w:cs="Times New Roman"/>
                <w:color w:val="auto"/>
                <w:szCs w:val="21"/>
                <w:lang w:val="en-US" w:eastAsia="zh-CN"/>
              </w:rPr>
            </w:pPr>
            <w:r>
              <w:rPr>
                <w:rFonts w:hint="eastAsia" w:cs="Times New Roman"/>
                <w:color w:val="auto"/>
                <w:szCs w:val="21"/>
                <w:lang w:val="en-US" w:eastAsia="zh-CN"/>
              </w:rPr>
              <w:t>1.57×10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4B2F9B7C">
            <w:pPr>
              <w:jc w:val="center"/>
              <w:rPr>
                <w:rFonts w:hint="default" w:ascii="Times New Roman" w:hAnsi="Times New Roman" w:cs="Times New Roman"/>
                <w:color w:val="auto"/>
                <w:szCs w:val="21"/>
              </w:rPr>
            </w:pPr>
          </w:p>
        </w:tc>
      </w:tr>
      <w:tr w14:paraId="7AF72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4F62F42">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4DF930B8">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7D6FA221">
            <w:pPr>
              <w:jc w:val="center"/>
              <w:rPr>
                <w:rFonts w:hint="default" w:ascii="Times New Roman" w:hAnsi="Times New Roman" w:cs="Times New Roman"/>
                <w:color w:val="auto"/>
                <w:szCs w:val="21"/>
              </w:rPr>
            </w:pPr>
          </w:p>
        </w:tc>
        <w:tc>
          <w:tcPr>
            <w:tcW w:w="1423" w:type="dxa"/>
            <w:tcBorders>
              <w:tl2br w:val="nil"/>
              <w:tr2bl w:val="nil"/>
            </w:tcBorders>
            <w:vAlign w:val="center"/>
          </w:tcPr>
          <w:p w14:paraId="19244011">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7EEBA048">
            <w:pPr>
              <w:jc w:val="center"/>
              <w:rPr>
                <w:rFonts w:hint="default" w:cs="Times New Roman"/>
                <w:color w:val="auto"/>
                <w:szCs w:val="21"/>
                <w:lang w:val="en-US" w:eastAsia="zh-CN"/>
              </w:rPr>
            </w:pPr>
            <w:r>
              <w:rPr>
                <w:rFonts w:hint="eastAsia" w:cs="Times New Roman"/>
                <w:color w:val="auto"/>
                <w:szCs w:val="21"/>
                <w:lang w:val="en-US" w:eastAsia="zh-CN"/>
              </w:rPr>
              <w:t>0.0116</w:t>
            </w:r>
          </w:p>
        </w:tc>
        <w:tc>
          <w:tcPr>
            <w:tcW w:w="1423" w:type="dxa"/>
            <w:tcBorders>
              <w:tl2br w:val="nil"/>
              <w:tr2bl w:val="nil"/>
            </w:tcBorders>
            <w:vAlign w:val="center"/>
          </w:tcPr>
          <w:p w14:paraId="25BD7761">
            <w:pPr>
              <w:jc w:val="center"/>
              <w:rPr>
                <w:rFonts w:hint="default" w:cs="Times New Roman"/>
                <w:color w:val="auto"/>
                <w:szCs w:val="21"/>
                <w:lang w:val="en-US" w:eastAsia="zh-CN"/>
              </w:rPr>
            </w:pPr>
            <w:r>
              <w:rPr>
                <w:rFonts w:hint="eastAsia" w:cs="Times New Roman"/>
                <w:color w:val="auto"/>
                <w:szCs w:val="21"/>
                <w:lang w:val="en-US" w:eastAsia="zh-CN"/>
              </w:rPr>
              <w:t>1.04×10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200F4115">
            <w:pPr>
              <w:jc w:val="center"/>
              <w:rPr>
                <w:rFonts w:hint="default" w:ascii="Times New Roman" w:hAnsi="Times New Roman" w:cs="Times New Roman"/>
                <w:color w:val="auto"/>
                <w:szCs w:val="21"/>
              </w:rPr>
            </w:pPr>
          </w:p>
        </w:tc>
      </w:tr>
      <w:tr w14:paraId="31867B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7942C1C8">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0F6D063">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1F32D71">
            <w:pPr>
              <w:jc w:val="center"/>
              <w:rPr>
                <w:rFonts w:hint="default" w:ascii="Times New Roman" w:hAnsi="Times New Roman" w:cs="Times New Roman"/>
                <w:color w:val="auto"/>
                <w:szCs w:val="21"/>
              </w:rPr>
            </w:pPr>
          </w:p>
        </w:tc>
        <w:tc>
          <w:tcPr>
            <w:tcW w:w="1423" w:type="dxa"/>
            <w:tcBorders>
              <w:tl2br w:val="nil"/>
              <w:tr2bl w:val="nil"/>
            </w:tcBorders>
            <w:vAlign w:val="center"/>
          </w:tcPr>
          <w:p w14:paraId="01CE3146">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76947BB6">
            <w:pPr>
              <w:jc w:val="center"/>
              <w:rPr>
                <w:rFonts w:hint="default" w:cs="Times New Roman"/>
                <w:color w:val="auto"/>
                <w:szCs w:val="21"/>
                <w:lang w:val="en-US" w:eastAsia="zh-CN"/>
              </w:rPr>
            </w:pPr>
            <w:r>
              <w:rPr>
                <w:rFonts w:hint="eastAsia" w:cs="Times New Roman"/>
                <w:color w:val="auto"/>
                <w:szCs w:val="21"/>
                <w:lang w:val="en-US" w:eastAsia="zh-CN"/>
              </w:rPr>
              <w:t>0.05</w:t>
            </w:r>
          </w:p>
        </w:tc>
        <w:tc>
          <w:tcPr>
            <w:tcW w:w="1423" w:type="dxa"/>
            <w:tcBorders>
              <w:tl2br w:val="nil"/>
              <w:tr2bl w:val="nil"/>
            </w:tcBorders>
            <w:vAlign w:val="center"/>
          </w:tcPr>
          <w:p w14:paraId="09097266">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48B4D26E">
            <w:pPr>
              <w:jc w:val="center"/>
              <w:rPr>
                <w:rFonts w:hint="default" w:ascii="Times New Roman" w:hAnsi="Times New Roman" w:cs="Times New Roman"/>
                <w:color w:val="auto"/>
                <w:szCs w:val="21"/>
              </w:rPr>
            </w:pPr>
          </w:p>
        </w:tc>
      </w:tr>
      <w:tr w14:paraId="325DE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46B45A5B">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E013B4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DB0DA94">
            <w:pPr>
              <w:jc w:val="center"/>
              <w:rPr>
                <w:rFonts w:hint="default" w:ascii="Times New Roman" w:hAnsi="Times New Roman" w:cs="Times New Roman"/>
                <w:color w:val="auto"/>
                <w:szCs w:val="21"/>
              </w:rPr>
            </w:pPr>
          </w:p>
        </w:tc>
        <w:tc>
          <w:tcPr>
            <w:tcW w:w="1423" w:type="dxa"/>
            <w:tcBorders>
              <w:tl2br w:val="nil"/>
              <w:tr2bl w:val="nil"/>
            </w:tcBorders>
            <w:vAlign w:val="center"/>
          </w:tcPr>
          <w:p w14:paraId="63FCA8A1">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473C26FA">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7DBD28A2">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5D8920B3">
            <w:pPr>
              <w:jc w:val="center"/>
              <w:rPr>
                <w:rFonts w:hint="default" w:ascii="Times New Roman" w:hAnsi="Times New Roman" w:cs="Times New Roman"/>
                <w:color w:val="auto"/>
                <w:szCs w:val="21"/>
              </w:rPr>
            </w:pPr>
          </w:p>
        </w:tc>
      </w:tr>
      <w:tr w14:paraId="0932E5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40D24C18">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3F2C9BD2">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砷及其化合物</w:t>
            </w:r>
          </w:p>
        </w:tc>
        <w:tc>
          <w:tcPr>
            <w:tcW w:w="1603" w:type="dxa"/>
            <w:vMerge w:val="continue"/>
            <w:tcBorders>
              <w:tl2br w:val="nil"/>
              <w:tr2bl w:val="nil"/>
            </w:tcBorders>
            <w:vAlign w:val="center"/>
          </w:tcPr>
          <w:p w14:paraId="77191FB3">
            <w:pPr>
              <w:jc w:val="center"/>
              <w:rPr>
                <w:rFonts w:hint="default" w:ascii="Times New Roman" w:hAnsi="Times New Roman" w:cs="Times New Roman"/>
                <w:color w:val="auto"/>
                <w:szCs w:val="21"/>
              </w:rPr>
            </w:pPr>
          </w:p>
        </w:tc>
        <w:tc>
          <w:tcPr>
            <w:tcW w:w="1423" w:type="dxa"/>
            <w:tcBorders>
              <w:tl2br w:val="nil"/>
              <w:tr2bl w:val="nil"/>
            </w:tcBorders>
            <w:vAlign w:val="center"/>
          </w:tcPr>
          <w:p w14:paraId="2CA935B1">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77CC66FE">
            <w:pPr>
              <w:jc w:val="center"/>
              <w:rPr>
                <w:rFonts w:hint="default" w:cs="Times New Roman"/>
                <w:color w:val="auto"/>
                <w:szCs w:val="21"/>
                <w:lang w:val="en-US" w:eastAsia="zh-CN"/>
              </w:rPr>
            </w:pPr>
            <w:r>
              <w:rPr>
                <w:rFonts w:hint="eastAsia" w:cs="Times New Roman"/>
                <w:color w:val="auto"/>
                <w:szCs w:val="21"/>
                <w:lang w:val="en-US" w:eastAsia="zh-CN"/>
              </w:rPr>
              <w:t>4.88×10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38F8E1DD">
            <w:pPr>
              <w:jc w:val="center"/>
              <w:rPr>
                <w:rFonts w:hint="default" w:cs="Times New Roman"/>
                <w:color w:val="auto"/>
                <w:szCs w:val="21"/>
                <w:lang w:val="en-US" w:eastAsia="zh-CN"/>
              </w:rPr>
            </w:pPr>
            <w:r>
              <w:rPr>
                <w:rFonts w:hint="eastAsia" w:cs="Times New Roman"/>
                <w:color w:val="auto"/>
                <w:szCs w:val="21"/>
                <w:lang w:val="en-US" w:eastAsia="zh-CN"/>
              </w:rPr>
              <w:t>4.07×10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659F2D9D">
            <w:pPr>
              <w:jc w:val="center"/>
              <w:rPr>
                <w:rFonts w:hint="default" w:ascii="Times New Roman" w:hAnsi="Times New Roman" w:cs="Times New Roman"/>
                <w:color w:val="auto"/>
                <w:szCs w:val="21"/>
              </w:rPr>
            </w:pPr>
          </w:p>
        </w:tc>
      </w:tr>
      <w:tr w14:paraId="790B33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2A13670">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8DA3DE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E35C6A1">
            <w:pPr>
              <w:jc w:val="center"/>
              <w:rPr>
                <w:rFonts w:hint="default" w:ascii="Times New Roman" w:hAnsi="Times New Roman" w:cs="Times New Roman"/>
                <w:color w:val="auto"/>
                <w:szCs w:val="21"/>
              </w:rPr>
            </w:pPr>
          </w:p>
        </w:tc>
        <w:tc>
          <w:tcPr>
            <w:tcW w:w="1423" w:type="dxa"/>
            <w:tcBorders>
              <w:tl2br w:val="nil"/>
              <w:tr2bl w:val="nil"/>
            </w:tcBorders>
            <w:vAlign w:val="center"/>
          </w:tcPr>
          <w:p w14:paraId="2F4EE967">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2324C8EC">
            <w:pPr>
              <w:jc w:val="center"/>
              <w:rPr>
                <w:rFonts w:hint="default" w:cs="Times New Roman"/>
                <w:color w:val="auto"/>
                <w:szCs w:val="21"/>
                <w:lang w:val="en-US" w:eastAsia="zh-CN"/>
              </w:rPr>
            </w:pPr>
            <w:r>
              <w:rPr>
                <w:rFonts w:hint="eastAsia" w:cs="Times New Roman"/>
                <w:color w:val="auto"/>
                <w:szCs w:val="21"/>
                <w:lang w:val="en-US" w:eastAsia="zh-CN"/>
              </w:rPr>
              <w:t>4.64×10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5734413C">
            <w:pPr>
              <w:jc w:val="center"/>
              <w:rPr>
                <w:rFonts w:hint="default" w:cs="Times New Roman"/>
                <w:color w:val="auto"/>
                <w:szCs w:val="21"/>
                <w:lang w:val="en-US" w:eastAsia="zh-CN"/>
              </w:rPr>
            </w:pPr>
            <w:r>
              <w:rPr>
                <w:rFonts w:hint="eastAsia" w:cs="Times New Roman"/>
                <w:color w:val="auto"/>
                <w:szCs w:val="21"/>
                <w:lang w:val="en-US" w:eastAsia="zh-CN"/>
              </w:rPr>
              <w:t>2.30×10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7C8570C9">
            <w:pPr>
              <w:jc w:val="center"/>
              <w:rPr>
                <w:rFonts w:hint="default" w:ascii="Times New Roman" w:hAnsi="Times New Roman" w:cs="Times New Roman"/>
                <w:color w:val="auto"/>
                <w:szCs w:val="21"/>
              </w:rPr>
            </w:pPr>
          </w:p>
        </w:tc>
      </w:tr>
      <w:tr w14:paraId="479D7A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4B7FE6F8">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31A634B">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84C385F">
            <w:pPr>
              <w:jc w:val="center"/>
              <w:rPr>
                <w:rFonts w:hint="default" w:ascii="Times New Roman" w:hAnsi="Times New Roman" w:cs="Times New Roman"/>
                <w:color w:val="auto"/>
                <w:szCs w:val="21"/>
              </w:rPr>
            </w:pPr>
          </w:p>
        </w:tc>
        <w:tc>
          <w:tcPr>
            <w:tcW w:w="1423" w:type="dxa"/>
            <w:tcBorders>
              <w:tl2br w:val="nil"/>
              <w:tr2bl w:val="nil"/>
            </w:tcBorders>
            <w:vAlign w:val="center"/>
          </w:tcPr>
          <w:p w14:paraId="671FAE7E">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3DF22DC8">
            <w:pPr>
              <w:jc w:val="center"/>
              <w:rPr>
                <w:rFonts w:hint="default" w:cs="Times New Roman"/>
                <w:color w:val="auto"/>
                <w:szCs w:val="21"/>
                <w:lang w:val="en-US" w:eastAsia="zh-CN"/>
              </w:rPr>
            </w:pPr>
            <w:r>
              <w:rPr>
                <w:rFonts w:hint="eastAsia" w:cs="Times New Roman"/>
                <w:color w:val="auto"/>
                <w:szCs w:val="21"/>
                <w:lang w:val="en-US" w:eastAsia="zh-CN"/>
              </w:rPr>
              <w:t>3.53×10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7534DD07">
            <w:pPr>
              <w:jc w:val="center"/>
              <w:rPr>
                <w:rFonts w:hint="default" w:cs="Times New Roman"/>
                <w:color w:val="auto"/>
                <w:szCs w:val="21"/>
                <w:lang w:val="en-US" w:eastAsia="zh-CN"/>
              </w:rPr>
            </w:pPr>
            <w:r>
              <w:rPr>
                <w:rFonts w:hint="eastAsia" w:cs="Times New Roman"/>
                <w:color w:val="auto"/>
                <w:szCs w:val="21"/>
                <w:lang w:val="en-US" w:eastAsia="zh-CN"/>
              </w:rPr>
              <w:t>5.81×10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30EF55DF">
            <w:pPr>
              <w:jc w:val="center"/>
              <w:rPr>
                <w:rFonts w:hint="default" w:ascii="Times New Roman" w:hAnsi="Times New Roman" w:cs="Times New Roman"/>
                <w:color w:val="auto"/>
                <w:szCs w:val="21"/>
              </w:rPr>
            </w:pPr>
          </w:p>
        </w:tc>
      </w:tr>
      <w:tr w14:paraId="5CF2B2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92CF63B">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06F35690">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317547D">
            <w:pPr>
              <w:jc w:val="center"/>
              <w:rPr>
                <w:rFonts w:hint="default" w:ascii="Times New Roman" w:hAnsi="Times New Roman" w:cs="Times New Roman"/>
                <w:color w:val="auto"/>
                <w:szCs w:val="21"/>
              </w:rPr>
            </w:pPr>
          </w:p>
        </w:tc>
        <w:tc>
          <w:tcPr>
            <w:tcW w:w="1423" w:type="dxa"/>
            <w:tcBorders>
              <w:tl2br w:val="nil"/>
              <w:tr2bl w:val="nil"/>
            </w:tcBorders>
            <w:vAlign w:val="center"/>
          </w:tcPr>
          <w:p w14:paraId="45013C39">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7B4D7BA4">
            <w:pPr>
              <w:jc w:val="center"/>
              <w:rPr>
                <w:rFonts w:hint="default" w:cs="Times New Roman"/>
                <w:color w:val="auto"/>
                <w:szCs w:val="21"/>
                <w:lang w:val="en-US" w:eastAsia="zh-CN"/>
              </w:rPr>
            </w:pPr>
            <w:r>
              <w:rPr>
                <w:rFonts w:hint="eastAsia" w:cs="Times New Roman"/>
                <w:color w:val="auto"/>
                <w:szCs w:val="21"/>
                <w:lang w:val="en-US" w:eastAsia="zh-CN"/>
              </w:rPr>
              <w:t>4.35×10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6F56177A">
            <w:pPr>
              <w:jc w:val="center"/>
              <w:rPr>
                <w:rFonts w:hint="default" w:cs="Times New Roman"/>
                <w:color w:val="auto"/>
                <w:szCs w:val="21"/>
                <w:lang w:val="en-US" w:eastAsia="zh-CN"/>
              </w:rPr>
            </w:pPr>
            <w:r>
              <w:rPr>
                <w:rFonts w:hint="eastAsia" w:cs="Times New Roman"/>
                <w:color w:val="auto"/>
                <w:szCs w:val="21"/>
                <w:lang w:val="en-US" w:eastAsia="zh-CN"/>
              </w:rPr>
              <w:t>4.06×10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42D34629">
            <w:pPr>
              <w:jc w:val="center"/>
              <w:rPr>
                <w:rFonts w:hint="default" w:ascii="Times New Roman" w:hAnsi="Times New Roman" w:cs="Times New Roman"/>
                <w:color w:val="auto"/>
                <w:szCs w:val="21"/>
              </w:rPr>
            </w:pPr>
          </w:p>
        </w:tc>
      </w:tr>
      <w:tr w14:paraId="440092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70BE79C">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74275A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3E96546">
            <w:pPr>
              <w:jc w:val="center"/>
              <w:rPr>
                <w:rFonts w:hint="default" w:ascii="Times New Roman" w:hAnsi="Times New Roman" w:cs="Times New Roman"/>
                <w:color w:val="auto"/>
                <w:szCs w:val="21"/>
              </w:rPr>
            </w:pPr>
          </w:p>
        </w:tc>
        <w:tc>
          <w:tcPr>
            <w:tcW w:w="1423" w:type="dxa"/>
            <w:tcBorders>
              <w:tl2br w:val="nil"/>
              <w:tr2bl w:val="nil"/>
            </w:tcBorders>
            <w:vAlign w:val="center"/>
          </w:tcPr>
          <w:p w14:paraId="7E857B59">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0148EFB8">
            <w:pPr>
              <w:jc w:val="center"/>
              <w:rPr>
                <w:rFonts w:hint="default" w:cs="Times New Roman"/>
                <w:color w:val="auto"/>
                <w:szCs w:val="21"/>
                <w:lang w:val="en-US" w:eastAsia="zh-CN"/>
              </w:rPr>
            </w:pPr>
            <w:r>
              <w:rPr>
                <w:rFonts w:hint="eastAsia" w:cs="Times New Roman"/>
                <w:color w:val="auto"/>
                <w:szCs w:val="21"/>
                <w:lang w:val="en-US" w:eastAsia="zh-CN"/>
              </w:rPr>
              <w:t>0.4</w:t>
            </w:r>
          </w:p>
        </w:tc>
        <w:tc>
          <w:tcPr>
            <w:tcW w:w="1423" w:type="dxa"/>
            <w:tcBorders>
              <w:tl2br w:val="nil"/>
              <w:tr2bl w:val="nil"/>
            </w:tcBorders>
            <w:vAlign w:val="center"/>
          </w:tcPr>
          <w:p w14:paraId="1C9B8D66">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3D18EE29">
            <w:pPr>
              <w:jc w:val="center"/>
              <w:rPr>
                <w:rFonts w:hint="default" w:ascii="Times New Roman" w:hAnsi="Times New Roman" w:cs="Times New Roman"/>
                <w:color w:val="auto"/>
                <w:szCs w:val="21"/>
              </w:rPr>
            </w:pPr>
          </w:p>
        </w:tc>
      </w:tr>
      <w:tr w14:paraId="7F190F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78E9849A">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4D8806B">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022E5387">
            <w:pPr>
              <w:jc w:val="center"/>
              <w:rPr>
                <w:rFonts w:hint="default" w:ascii="Times New Roman" w:hAnsi="Times New Roman" w:cs="Times New Roman"/>
                <w:color w:val="auto"/>
                <w:szCs w:val="21"/>
              </w:rPr>
            </w:pPr>
          </w:p>
        </w:tc>
        <w:tc>
          <w:tcPr>
            <w:tcW w:w="1423" w:type="dxa"/>
            <w:tcBorders>
              <w:tl2br w:val="nil"/>
              <w:tr2bl w:val="nil"/>
            </w:tcBorders>
            <w:vAlign w:val="center"/>
          </w:tcPr>
          <w:p w14:paraId="63C3C01E">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4980E088">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1471D8A6">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541DDD7D">
            <w:pPr>
              <w:jc w:val="center"/>
              <w:rPr>
                <w:rFonts w:hint="default" w:ascii="Times New Roman" w:hAnsi="Times New Roman" w:cs="Times New Roman"/>
                <w:color w:val="auto"/>
                <w:szCs w:val="21"/>
              </w:rPr>
            </w:pPr>
          </w:p>
        </w:tc>
      </w:tr>
    </w:tbl>
    <w:p w14:paraId="6D5694C9">
      <w:pPr>
        <w:spacing w:line="360" w:lineRule="auto"/>
        <w:ind w:firstLine="480" w:firstLineChars="200"/>
        <w:rPr>
          <w:rFonts w:hint="eastAsia"/>
          <w:b w:val="0"/>
          <w:bCs w:val="0"/>
          <w:color w:val="auto"/>
          <w:sz w:val="24"/>
          <w:lang w:val="en-US" w:eastAsia="zh-CN"/>
        </w:rPr>
      </w:pPr>
    </w:p>
    <w:p w14:paraId="519C6266">
      <w:pPr>
        <w:spacing w:line="360" w:lineRule="auto"/>
        <w:ind w:firstLine="480" w:firstLineChars="200"/>
        <w:rPr>
          <w:color w:val="auto"/>
          <w:sz w:val="24"/>
          <w:szCs w:val="32"/>
        </w:rPr>
      </w:pPr>
      <w:r>
        <w:rPr>
          <w:rFonts w:hint="eastAsia"/>
          <w:b w:val="0"/>
          <w:bCs w:val="0"/>
          <w:color w:val="auto"/>
          <w:sz w:val="24"/>
          <w:lang w:val="en-US" w:eastAsia="zh-CN"/>
        </w:rPr>
        <w:t>由上表可知，氟化物、氯化氢、铅及其化合物、锡及其化合物、镉及其化合物、砷及其化合物</w:t>
      </w:r>
      <w:r>
        <w:rPr>
          <w:color w:val="auto"/>
          <w:sz w:val="24"/>
        </w:rPr>
        <w:t>排放</w:t>
      </w:r>
      <w:r>
        <w:rPr>
          <w:rFonts w:hint="eastAsia"/>
          <w:color w:val="auto"/>
          <w:sz w:val="24"/>
          <w:lang w:val="en-US" w:eastAsia="zh-CN"/>
        </w:rPr>
        <w:t>浓度满足</w:t>
      </w:r>
      <w:r>
        <w:rPr>
          <w:color w:val="auto"/>
          <w:sz w:val="24"/>
        </w:rPr>
        <w:t>《再生铜、铝、铅、锌工业污染物排放标准》（GB 31574-2015）中表3大气污染物排放限值</w:t>
      </w:r>
      <w:r>
        <w:rPr>
          <w:rFonts w:hint="eastAsia"/>
          <w:color w:val="auto"/>
          <w:sz w:val="24"/>
          <w:szCs w:val="32"/>
        </w:rPr>
        <w:t>。</w:t>
      </w:r>
    </w:p>
    <w:p w14:paraId="42288C10">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0" w:leftChars="0" w:firstLine="480" w:firstLineChars="200"/>
        <w:jc w:val="both"/>
        <w:textAlignment w:val="auto"/>
        <w:rPr>
          <w:rFonts w:hint="default" w:ascii="Times New Roman" w:hAnsi="Times New Roman" w:cs="Times New Roman"/>
          <w:b w:val="0"/>
          <w:bCs w:val="0"/>
          <w:color w:val="auto"/>
          <w:sz w:val="24"/>
          <w:lang w:val="en-US" w:eastAsia="zh-CN"/>
        </w:rPr>
      </w:pPr>
      <w:r>
        <w:rPr>
          <w:rFonts w:hint="eastAsia" w:ascii="Times New Roman" w:hAnsi="Times New Roman" w:cs="Times New Roman"/>
          <w:b w:val="0"/>
          <w:bCs w:val="0"/>
          <w:color w:val="auto"/>
          <w:sz w:val="24"/>
          <w:lang w:val="en-US" w:eastAsia="zh-CN"/>
        </w:rPr>
        <w:t>2、</w:t>
      </w:r>
      <w:r>
        <w:rPr>
          <w:rFonts w:hint="default" w:ascii="Times New Roman" w:hAnsi="Times New Roman" w:cs="Times New Roman"/>
          <w:b w:val="0"/>
          <w:bCs w:val="0"/>
          <w:color w:val="auto"/>
          <w:sz w:val="24"/>
          <w:lang w:val="en-US" w:eastAsia="zh-CN"/>
        </w:rPr>
        <w:t>无组织废气</w:t>
      </w:r>
    </w:p>
    <w:p w14:paraId="53E9CA93">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rPr>
      </w:pPr>
      <w:r>
        <w:rPr>
          <w:rFonts w:hint="eastAsia"/>
          <w:color w:val="auto"/>
          <w:kern w:val="24"/>
          <w:sz w:val="24"/>
          <w:lang w:val="en-US" w:eastAsia="zh-CN"/>
        </w:rPr>
        <w:t>安徽省裕康铝业有限公司经营该项目期间</w:t>
      </w:r>
      <w:r>
        <w:rPr>
          <w:rFonts w:hint="default" w:ascii="Times New Roman" w:hAnsi="Times New Roman" w:cs="Times New Roman"/>
          <w:b w:val="0"/>
          <w:bCs w:val="0"/>
          <w:color w:val="auto"/>
          <w:sz w:val="24"/>
          <w:lang w:val="en-US" w:eastAsia="zh-CN"/>
        </w:rPr>
        <w:t>于202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w:t>
      </w:r>
      <w:r>
        <w:rPr>
          <w:rFonts w:hint="default" w:ascii="Times New Roman" w:hAnsi="Times New Roman" w:cs="Times New Roman"/>
          <w:b w:val="0"/>
          <w:bCs w:val="0"/>
          <w:color w:val="auto"/>
          <w:sz w:val="24"/>
          <w:lang w:val="en-US" w:eastAsia="zh-CN"/>
        </w:rPr>
        <w:t>3日委托</w:t>
      </w:r>
      <w:r>
        <w:rPr>
          <w:rFonts w:hint="default" w:ascii="Times New Roman" w:hAnsi="Times New Roman" w:cs="Times New Roman"/>
          <w:b w:val="0"/>
          <w:bCs w:val="0"/>
          <w:color w:val="auto"/>
          <w:sz w:val="24"/>
          <w:szCs w:val="32"/>
        </w:rPr>
        <w:t>安徽阿尔发环境工程有限公司对厂</w:t>
      </w:r>
      <w:r>
        <w:rPr>
          <w:rFonts w:hint="eastAsia" w:ascii="Times New Roman" w:hAnsi="Times New Roman" w:cs="Times New Roman"/>
          <w:b w:val="0"/>
          <w:bCs w:val="0"/>
          <w:color w:val="auto"/>
          <w:sz w:val="24"/>
          <w:szCs w:val="32"/>
          <w:lang w:val="en-US" w:eastAsia="zh-CN"/>
        </w:rPr>
        <w:t>界</w:t>
      </w:r>
      <w:r>
        <w:rPr>
          <w:rFonts w:hint="default" w:ascii="Times New Roman" w:hAnsi="Times New Roman" w:cs="Times New Roman"/>
          <w:b w:val="0"/>
          <w:bCs w:val="0"/>
          <w:color w:val="auto"/>
          <w:sz w:val="24"/>
          <w:szCs w:val="32"/>
        </w:rPr>
        <w:t>无组织废气进行了检测，具体检测结果如下：</w:t>
      </w:r>
    </w:p>
    <w:p w14:paraId="0C61AC53">
      <w:pPr>
        <w:spacing w:line="360" w:lineRule="auto"/>
        <w:jc w:val="center"/>
        <w:rPr>
          <w:rFonts w:hint="default" w:ascii="Times New Roman" w:hAnsi="Times New Roman" w:cs="Times New Roman"/>
          <w:b/>
          <w:bCs/>
          <w:color w:val="auto"/>
          <w:sz w:val="24"/>
          <w:szCs w:val="32"/>
        </w:rPr>
      </w:pPr>
      <w:r>
        <w:rPr>
          <w:rFonts w:hint="default" w:ascii="Times New Roman" w:hAnsi="Times New Roman" w:cs="Times New Roman"/>
          <w:b/>
          <w:bCs/>
          <w:color w:val="auto"/>
          <w:sz w:val="24"/>
          <w:szCs w:val="32"/>
        </w:rPr>
        <w:t>表3-</w:t>
      </w:r>
      <w:r>
        <w:rPr>
          <w:rFonts w:hint="eastAsia" w:cs="Times New Roman"/>
          <w:b/>
          <w:bCs/>
          <w:color w:val="auto"/>
          <w:sz w:val="24"/>
          <w:szCs w:val="32"/>
          <w:lang w:val="en-US" w:eastAsia="zh-CN"/>
        </w:rPr>
        <w:t>9</w:t>
      </w:r>
      <w:r>
        <w:rPr>
          <w:rFonts w:hint="default" w:ascii="Times New Roman" w:hAnsi="Times New Roman" w:cs="Times New Roman"/>
          <w:b/>
          <w:bCs/>
          <w:color w:val="auto"/>
          <w:sz w:val="24"/>
          <w:szCs w:val="32"/>
        </w:rPr>
        <w:t xml:space="preserve"> 无组织废气监测结果一览表</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547"/>
        <w:gridCol w:w="1063"/>
        <w:gridCol w:w="1179"/>
        <w:gridCol w:w="1386"/>
        <w:gridCol w:w="1356"/>
        <w:gridCol w:w="1470"/>
        <w:gridCol w:w="1955"/>
      </w:tblGrid>
      <w:tr w14:paraId="79B5FB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31C723C5">
            <w:pPr>
              <w:widowControl/>
              <w:jc w:val="center"/>
              <w:textAlignment w:val="center"/>
              <w:rPr>
                <w:b/>
                <w:bCs/>
                <w:color w:val="auto"/>
                <w:szCs w:val="21"/>
              </w:rPr>
            </w:pPr>
            <w:r>
              <w:rPr>
                <w:b/>
                <w:bCs/>
                <w:color w:val="auto"/>
                <w:kern w:val="0"/>
                <w:szCs w:val="21"/>
                <w:lang w:bidi="ar"/>
              </w:rPr>
              <w:t>检测项目</w:t>
            </w:r>
          </w:p>
        </w:tc>
        <w:tc>
          <w:tcPr>
            <w:tcW w:w="534" w:type="pct"/>
            <w:vMerge w:val="restart"/>
            <w:tcBorders>
              <w:tl2br w:val="nil"/>
              <w:tr2bl w:val="nil"/>
            </w:tcBorders>
            <w:vAlign w:val="center"/>
          </w:tcPr>
          <w:p w14:paraId="7D6F6809">
            <w:pPr>
              <w:widowControl/>
              <w:jc w:val="center"/>
              <w:textAlignment w:val="center"/>
              <w:rPr>
                <w:b/>
                <w:bCs/>
                <w:color w:val="auto"/>
                <w:szCs w:val="21"/>
              </w:rPr>
            </w:pPr>
            <w:r>
              <w:rPr>
                <w:b/>
                <w:bCs/>
                <w:color w:val="auto"/>
                <w:kern w:val="0"/>
                <w:szCs w:val="21"/>
                <w:lang w:bidi="ar"/>
              </w:rPr>
              <w:t>采样时间</w:t>
            </w:r>
          </w:p>
        </w:tc>
        <w:tc>
          <w:tcPr>
            <w:tcW w:w="592" w:type="pct"/>
            <w:vMerge w:val="restart"/>
            <w:tcBorders>
              <w:tl2br w:val="nil"/>
              <w:tr2bl w:val="nil"/>
            </w:tcBorders>
            <w:vAlign w:val="center"/>
          </w:tcPr>
          <w:p w14:paraId="47170F87">
            <w:pPr>
              <w:widowControl/>
              <w:jc w:val="center"/>
              <w:textAlignment w:val="center"/>
              <w:rPr>
                <w:b/>
                <w:bCs/>
                <w:color w:val="auto"/>
                <w:szCs w:val="21"/>
              </w:rPr>
            </w:pPr>
            <w:r>
              <w:rPr>
                <w:b/>
                <w:bCs/>
                <w:color w:val="auto"/>
                <w:kern w:val="0"/>
                <w:szCs w:val="21"/>
                <w:lang w:bidi="ar"/>
              </w:rPr>
              <w:t>频次</w:t>
            </w:r>
          </w:p>
        </w:tc>
        <w:tc>
          <w:tcPr>
            <w:tcW w:w="3094" w:type="pct"/>
            <w:gridSpan w:val="4"/>
            <w:tcBorders>
              <w:tl2br w:val="nil"/>
              <w:tr2bl w:val="nil"/>
            </w:tcBorders>
            <w:vAlign w:val="center"/>
          </w:tcPr>
          <w:p w14:paraId="60C8F674">
            <w:pPr>
              <w:widowControl/>
              <w:jc w:val="center"/>
              <w:textAlignment w:val="center"/>
              <w:rPr>
                <w:b/>
                <w:bCs/>
                <w:color w:val="auto"/>
                <w:szCs w:val="21"/>
              </w:rPr>
            </w:pPr>
            <w:r>
              <w:rPr>
                <w:b/>
                <w:bCs/>
                <w:color w:val="auto"/>
                <w:kern w:val="0"/>
                <w:szCs w:val="21"/>
                <w:lang w:bidi="ar"/>
              </w:rPr>
              <w:t>检测点位</w:t>
            </w:r>
          </w:p>
        </w:tc>
      </w:tr>
      <w:tr w14:paraId="07BC14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46F26C1">
            <w:pPr>
              <w:jc w:val="center"/>
              <w:rPr>
                <w:b/>
                <w:bCs/>
                <w:color w:val="auto"/>
                <w:szCs w:val="21"/>
              </w:rPr>
            </w:pPr>
          </w:p>
        </w:tc>
        <w:tc>
          <w:tcPr>
            <w:tcW w:w="534" w:type="pct"/>
            <w:vMerge w:val="continue"/>
            <w:tcBorders>
              <w:tl2br w:val="nil"/>
              <w:tr2bl w:val="nil"/>
            </w:tcBorders>
            <w:vAlign w:val="center"/>
          </w:tcPr>
          <w:p w14:paraId="32BEC0A3">
            <w:pPr>
              <w:jc w:val="center"/>
              <w:rPr>
                <w:b/>
                <w:bCs/>
                <w:color w:val="auto"/>
                <w:szCs w:val="21"/>
              </w:rPr>
            </w:pPr>
          </w:p>
        </w:tc>
        <w:tc>
          <w:tcPr>
            <w:tcW w:w="592" w:type="pct"/>
            <w:vMerge w:val="continue"/>
            <w:tcBorders>
              <w:tl2br w:val="nil"/>
              <w:tr2bl w:val="nil"/>
            </w:tcBorders>
            <w:vAlign w:val="center"/>
          </w:tcPr>
          <w:p w14:paraId="4D925026">
            <w:pPr>
              <w:jc w:val="center"/>
              <w:rPr>
                <w:b/>
                <w:bCs/>
                <w:color w:val="auto"/>
                <w:szCs w:val="21"/>
              </w:rPr>
            </w:pPr>
          </w:p>
        </w:tc>
        <w:tc>
          <w:tcPr>
            <w:tcW w:w="696" w:type="pct"/>
            <w:tcBorders>
              <w:tl2br w:val="nil"/>
              <w:tr2bl w:val="nil"/>
            </w:tcBorders>
            <w:vAlign w:val="center"/>
          </w:tcPr>
          <w:p w14:paraId="099D4601">
            <w:pPr>
              <w:widowControl/>
              <w:jc w:val="center"/>
              <w:textAlignment w:val="center"/>
              <w:rPr>
                <w:b/>
                <w:bCs/>
                <w:color w:val="auto"/>
                <w:szCs w:val="21"/>
              </w:rPr>
            </w:pPr>
            <w:r>
              <w:rPr>
                <w:b/>
                <w:bCs/>
                <w:color w:val="auto"/>
                <w:kern w:val="0"/>
                <w:szCs w:val="21"/>
                <w:lang w:bidi="ar"/>
              </w:rPr>
              <w:t>上风向1#</w:t>
            </w:r>
          </w:p>
        </w:tc>
        <w:tc>
          <w:tcPr>
            <w:tcW w:w="681" w:type="pct"/>
            <w:tcBorders>
              <w:tl2br w:val="nil"/>
              <w:tr2bl w:val="nil"/>
            </w:tcBorders>
            <w:vAlign w:val="center"/>
          </w:tcPr>
          <w:p w14:paraId="6FA3FF46">
            <w:pPr>
              <w:widowControl/>
              <w:jc w:val="center"/>
              <w:textAlignment w:val="center"/>
              <w:rPr>
                <w:b/>
                <w:bCs/>
                <w:color w:val="auto"/>
                <w:szCs w:val="21"/>
              </w:rPr>
            </w:pPr>
            <w:r>
              <w:rPr>
                <w:b/>
                <w:bCs/>
                <w:color w:val="auto"/>
                <w:kern w:val="0"/>
                <w:szCs w:val="21"/>
                <w:lang w:bidi="ar"/>
              </w:rPr>
              <w:t>下风向2#</w:t>
            </w:r>
          </w:p>
        </w:tc>
        <w:tc>
          <w:tcPr>
            <w:tcW w:w="738" w:type="pct"/>
            <w:tcBorders>
              <w:tl2br w:val="nil"/>
              <w:tr2bl w:val="nil"/>
            </w:tcBorders>
            <w:vAlign w:val="center"/>
          </w:tcPr>
          <w:p w14:paraId="527D5F61">
            <w:pPr>
              <w:widowControl/>
              <w:jc w:val="center"/>
              <w:textAlignment w:val="center"/>
              <w:rPr>
                <w:b/>
                <w:bCs/>
                <w:color w:val="auto"/>
                <w:szCs w:val="21"/>
              </w:rPr>
            </w:pPr>
            <w:r>
              <w:rPr>
                <w:b/>
                <w:bCs/>
                <w:color w:val="auto"/>
                <w:kern w:val="0"/>
                <w:szCs w:val="21"/>
                <w:lang w:bidi="ar"/>
              </w:rPr>
              <w:t>下风向3#</w:t>
            </w:r>
          </w:p>
        </w:tc>
        <w:tc>
          <w:tcPr>
            <w:tcW w:w="978" w:type="pct"/>
            <w:tcBorders>
              <w:tl2br w:val="nil"/>
              <w:tr2bl w:val="nil"/>
            </w:tcBorders>
            <w:vAlign w:val="center"/>
          </w:tcPr>
          <w:p w14:paraId="032D4973">
            <w:pPr>
              <w:widowControl/>
              <w:jc w:val="center"/>
              <w:textAlignment w:val="center"/>
              <w:rPr>
                <w:b/>
                <w:bCs/>
                <w:color w:val="auto"/>
                <w:szCs w:val="21"/>
              </w:rPr>
            </w:pPr>
            <w:r>
              <w:rPr>
                <w:b/>
                <w:bCs/>
                <w:color w:val="auto"/>
                <w:kern w:val="0"/>
                <w:szCs w:val="21"/>
                <w:lang w:bidi="ar"/>
              </w:rPr>
              <w:t>下风向4#</w:t>
            </w:r>
          </w:p>
        </w:tc>
      </w:tr>
      <w:tr w14:paraId="1C2889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6C210AE8">
            <w:pPr>
              <w:widowControl/>
              <w:jc w:val="center"/>
              <w:textAlignment w:val="center"/>
              <w:rPr>
                <w:color w:val="auto"/>
                <w:szCs w:val="21"/>
              </w:rPr>
            </w:pPr>
            <w:r>
              <w:rPr>
                <w:rFonts w:hint="eastAsia"/>
                <w:color w:val="auto"/>
                <w:kern w:val="0"/>
                <w:szCs w:val="21"/>
                <w:lang w:val="en-US" w:eastAsia="zh-CN" w:bidi="ar"/>
              </w:rPr>
              <w:t>TSP</w:t>
            </w:r>
            <w:r>
              <w:rPr>
                <w:color w:val="auto"/>
                <w:kern w:val="0"/>
                <w:szCs w:val="21"/>
                <w:lang w:bidi="ar"/>
              </w:rPr>
              <w:br w:type="textWrapping"/>
            </w:r>
            <w:r>
              <w:rPr>
                <w:rFonts w:hint="eastAsia"/>
                <w:color w:val="auto"/>
                <w:kern w:val="0"/>
                <w:szCs w:val="21"/>
                <w:lang w:eastAsia="zh-CN" w:bidi="ar"/>
              </w:rPr>
              <w:t>（</w:t>
            </w:r>
            <w:r>
              <w:rPr>
                <w:color w:val="auto"/>
                <w:kern w:val="0"/>
                <w:szCs w:val="21"/>
                <w:lang w:bidi="ar"/>
              </w:rPr>
              <w:t>μg/m</w:t>
            </w:r>
            <w:r>
              <w:rPr>
                <w:rFonts w:hint="eastAsia"/>
                <w:color w:val="auto"/>
                <w:kern w:val="0"/>
                <w:szCs w:val="21"/>
                <w:vertAlign w:val="superscript"/>
                <w:lang w:val="en-US" w:eastAsia="zh-CN" w:bidi="ar"/>
              </w:rPr>
              <w:t>3</w:t>
            </w:r>
            <w:r>
              <w:rPr>
                <w:rFonts w:hint="eastAsia"/>
                <w:color w:val="auto"/>
                <w:kern w:val="0"/>
                <w:szCs w:val="21"/>
                <w:lang w:val="en-US" w:eastAsia="zh-CN" w:bidi="ar"/>
              </w:rPr>
              <w:t>）</w:t>
            </w:r>
          </w:p>
        </w:tc>
        <w:tc>
          <w:tcPr>
            <w:tcW w:w="534" w:type="pct"/>
            <w:vMerge w:val="restart"/>
            <w:tcBorders>
              <w:tl2br w:val="nil"/>
              <w:tr2bl w:val="nil"/>
            </w:tcBorders>
            <w:vAlign w:val="center"/>
          </w:tcPr>
          <w:p w14:paraId="6D3FFD44">
            <w:pPr>
              <w:widowControl/>
              <w:jc w:val="center"/>
              <w:textAlignment w:val="center"/>
              <w:rPr>
                <w:color w:val="auto"/>
                <w:szCs w:val="21"/>
              </w:rPr>
            </w:pPr>
            <w:r>
              <w:rPr>
                <w:color w:val="auto"/>
                <w:kern w:val="0"/>
                <w:szCs w:val="21"/>
                <w:lang w:bidi="ar"/>
              </w:rPr>
              <w:t>202</w:t>
            </w:r>
            <w:r>
              <w:rPr>
                <w:rFonts w:hint="eastAsia"/>
                <w:color w:val="auto"/>
                <w:kern w:val="0"/>
                <w:szCs w:val="21"/>
                <w:lang w:val="en-US" w:eastAsia="zh-CN" w:bidi="ar"/>
              </w:rPr>
              <w:t>4</w:t>
            </w:r>
            <w:r>
              <w:rPr>
                <w:color w:val="auto"/>
                <w:kern w:val="0"/>
                <w:szCs w:val="21"/>
                <w:lang w:bidi="ar"/>
              </w:rPr>
              <w:t>.</w:t>
            </w:r>
            <w:r>
              <w:rPr>
                <w:rFonts w:hint="eastAsia"/>
                <w:color w:val="auto"/>
                <w:kern w:val="0"/>
                <w:szCs w:val="21"/>
                <w:lang w:val="en-US" w:eastAsia="zh-CN" w:bidi="ar"/>
              </w:rPr>
              <w:t>8</w:t>
            </w:r>
            <w:r>
              <w:rPr>
                <w:color w:val="auto"/>
                <w:kern w:val="0"/>
                <w:szCs w:val="21"/>
                <w:lang w:bidi="ar"/>
              </w:rPr>
              <w:t>.</w:t>
            </w:r>
            <w:r>
              <w:rPr>
                <w:rFonts w:hint="eastAsia"/>
                <w:color w:val="auto"/>
                <w:kern w:val="0"/>
                <w:szCs w:val="21"/>
                <w:lang w:val="en-US" w:eastAsia="zh-CN" w:bidi="ar"/>
              </w:rPr>
              <w:t>2</w:t>
            </w:r>
            <w:r>
              <w:rPr>
                <w:color w:val="auto"/>
                <w:kern w:val="0"/>
                <w:szCs w:val="21"/>
                <w:lang w:bidi="ar"/>
              </w:rPr>
              <w:t>3</w:t>
            </w:r>
          </w:p>
        </w:tc>
        <w:tc>
          <w:tcPr>
            <w:tcW w:w="592" w:type="pct"/>
            <w:tcBorders>
              <w:tl2br w:val="nil"/>
              <w:tr2bl w:val="nil"/>
            </w:tcBorders>
            <w:vAlign w:val="center"/>
          </w:tcPr>
          <w:p w14:paraId="6AB803F9">
            <w:pPr>
              <w:widowControl/>
              <w:jc w:val="center"/>
              <w:textAlignment w:val="center"/>
              <w:rPr>
                <w:color w:val="auto"/>
                <w:szCs w:val="21"/>
              </w:rPr>
            </w:pPr>
            <w:r>
              <w:rPr>
                <w:color w:val="auto"/>
                <w:kern w:val="0"/>
                <w:szCs w:val="21"/>
                <w:lang w:bidi="ar"/>
              </w:rPr>
              <w:t>第一次</w:t>
            </w:r>
          </w:p>
        </w:tc>
        <w:tc>
          <w:tcPr>
            <w:tcW w:w="696" w:type="pct"/>
            <w:tcBorders>
              <w:tl2br w:val="nil"/>
              <w:tr2bl w:val="nil"/>
            </w:tcBorders>
            <w:vAlign w:val="center"/>
          </w:tcPr>
          <w:p w14:paraId="4C50B751">
            <w:pPr>
              <w:widowControl/>
              <w:jc w:val="center"/>
              <w:textAlignment w:val="center"/>
              <w:rPr>
                <w:rFonts w:hint="default" w:eastAsia="宋体"/>
                <w:color w:val="auto"/>
                <w:szCs w:val="21"/>
                <w:lang w:val="en-US" w:eastAsia="zh-CN"/>
              </w:rPr>
            </w:pPr>
            <w:r>
              <w:rPr>
                <w:rFonts w:hint="eastAsia"/>
                <w:color w:val="auto"/>
                <w:szCs w:val="21"/>
                <w:lang w:val="en-US" w:eastAsia="zh-CN"/>
              </w:rPr>
              <w:t>197</w:t>
            </w:r>
          </w:p>
        </w:tc>
        <w:tc>
          <w:tcPr>
            <w:tcW w:w="681" w:type="pct"/>
            <w:tcBorders>
              <w:tl2br w:val="nil"/>
              <w:tr2bl w:val="nil"/>
            </w:tcBorders>
            <w:vAlign w:val="center"/>
          </w:tcPr>
          <w:p w14:paraId="0575D406">
            <w:pPr>
              <w:widowControl/>
              <w:jc w:val="center"/>
              <w:textAlignment w:val="center"/>
              <w:rPr>
                <w:rFonts w:hint="default" w:eastAsia="宋体"/>
                <w:color w:val="auto"/>
                <w:szCs w:val="21"/>
                <w:lang w:val="en-US" w:eastAsia="zh-CN"/>
              </w:rPr>
            </w:pPr>
            <w:r>
              <w:rPr>
                <w:rFonts w:hint="eastAsia"/>
                <w:color w:val="auto"/>
                <w:szCs w:val="21"/>
                <w:lang w:val="en-US" w:eastAsia="zh-CN"/>
              </w:rPr>
              <w:t>250</w:t>
            </w:r>
          </w:p>
        </w:tc>
        <w:tc>
          <w:tcPr>
            <w:tcW w:w="738" w:type="pct"/>
            <w:tcBorders>
              <w:tl2br w:val="nil"/>
              <w:tr2bl w:val="nil"/>
            </w:tcBorders>
            <w:vAlign w:val="center"/>
          </w:tcPr>
          <w:p w14:paraId="7BF3BBC4">
            <w:pPr>
              <w:widowControl/>
              <w:jc w:val="center"/>
              <w:textAlignment w:val="center"/>
              <w:rPr>
                <w:rFonts w:hint="default" w:eastAsia="宋体"/>
                <w:color w:val="auto"/>
                <w:szCs w:val="21"/>
                <w:lang w:val="en-US" w:eastAsia="zh-CN"/>
              </w:rPr>
            </w:pPr>
            <w:r>
              <w:rPr>
                <w:rFonts w:hint="eastAsia"/>
                <w:color w:val="auto"/>
                <w:szCs w:val="21"/>
                <w:lang w:val="en-US" w:eastAsia="zh-CN"/>
              </w:rPr>
              <w:t>242</w:t>
            </w:r>
          </w:p>
        </w:tc>
        <w:tc>
          <w:tcPr>
            <w:tcW w:w="978" w:type="pct"/>
            <w:tcBorders>
              <w:tl2br w:val="nil"/>
              <w:tr2bl w:val="nil"/>
            </w:tcBorders>
            <w:vAlign w:val="center"/>
          </w:tcPr>
          <w:p w14:paraId="52928736">
            <w:pPr>
              <w:widowControl/>
              <w:jc w:val="center"/>
              <w:textAlignment w:val="center"/>
              <w:rPr>
                <w:rFonts w:hint="default" w:eastAsia="宋体"/>
                <w:color w:val="auto"/>
                <w:szCs w:val="21"/>
                <w:lang w:val="en-US" w:eastAsia="zh-CN"/>
              </w:rPr>
            </w:pPr>
            <w:r>
              <w:rPr>
                <w:rFonts w:hint="eastAsia"/>
                <w:color w:val="auto"/>
                <w:szCs w:val="21"/>
                <w:lang w:val="en-US" w:eastAsia="zh-CN"/>
              </w:rPr>
              <w:t>265</w:t>
            </w:r>
          </w:p>
        </w:tc>
      </w:tr>
      <w:tr w14:paraId="593844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ADC5B73">
            <w:pPr>
              <w:jc w:val="center"/>
              <w:rPr>
                <w:color w:val="auto"/>
                <w:szCs w:val="21"/>
              </w:rPr>
            </w:pPr>
          </w:p>
        </w:tc>
        <w:tc>
          <w:tcPr>
            <w:tcW w:w="534" w:type="pct"/>
            <w:vMerge w:val="continue"/>
            <w:tcBorders>
              <w:tl2br w:val="nil"/>
              <w:tr2bl w:val="nil"/>
            </w:tcBorders>
            <w:vAlign w:val="center"/>
          </w:tcPr>
          <w:p w14:paraId="0D41C545">
            <w:pPr>
              <w:jc w:val="center"/>
              <w:rPr>
                <w:color w:val="auto"/>
                <w:szCs w:val="21"/>
              </w:rPr>
            </w:pPr>
          </w:p>
        </w:tc>
        <w:tc>
          <w:tcPr>
            <w:tcW w:w="592" w:type="pct"/>
            <w:tcBorders>
              <w:tl2br w:val="nil"/>
              <w:tr2bl w:val="nil"/>
            </w:tcBorders>
            <w:vAlign w:val="center"/>
          </w:tcPr>
          <w:p w14:paraId="2DFC06E8">
            <w:pPr>
              <w:widowControl/>
              <w:jc w:val="center"/>
              <w:textAlignment w:val="center"/>
              <w:rPr>
                <w:color w:val="auto"/>
                <w:szCs w:val="21"/>
              </w:rPr>
            </w:pPr>
            <w:r>
              <w:rPr>
                <w:color w:val="auto"/>
                <w:kern w:val="0"/>
                <w:szCs w:val="21"/>
                <w:lang w:bidi="ar"/>
              </w:rPr>
              <w:t>第二次</w:t>
            </w:r>
          </w:p>
        </w:tc>
        <w:tc>
          <w:tcPr>
            <w:tcW w:w="696" w:type="pct"/>
            <w:tcBorders>
              <w:tl2br w:val="nil"/>
              <w:tr2bl w:val="nil"/>
            </w:tcBorders>
            <w:vAlign w:val="center"/>
          </w:tcPr>
          <w:p w14:paraId="37965444">
            <w:pPr>
              <w:widowControl/>
              <w:jc w:val="center"/>
              <w:textAlignment w:val="center"/>
              <w:rPr>
                <w:rFonts w:hint="default" w:eastAsia="宋体"/>
                <w:color w:val="auto"/>
                <w:szCs w:val="21"/>
                <w:lang w:val="en-US" w:eastAsia="zh-CN"/>
              </w:rPr>
            </w:pPr>
            <w:r>
              <w:rPr>
                <w:rFonts w:hint="eastAsia"/>
                <w:color w:val="auto"/>
                <w:szCs w:val="21"/>
                <w:lang w:val="en-US" w:eastAsia="zh-CN"/>
              </w:rPr>
              <w:t>203</w:t>
            </w:r>
          </w:p>
        </w:tc>
        <w:tc>
          <w:tcPr>
            <w:tcW w:w="681" w:type="pct"/>
            <w:tcBorders>
              <w:tl2br w:val="nil"/>
              <w:tr2bl w:val="nil"/>
            </w:tcBorders>
            <w:vAlign w:val="center"/>
          </w:tcPr>
          <w:p w14:paraId="6EE0B8A6">
            <w:pPr>
              <w:widowControl/>
              <w:jc w:val="center"/>
              <w:textAlignment w:val="center"/>
              <w:rPr>
                <w:rFonts w:hint="default" w:eastAsia="宋体"/>
                <w:color w:val="auto"/>
                <w:szCs w:val="21"/>
                <w:lang w:val="en-US" w:eastAsia="zh-CN"/>
              </w:rPr>
            </w:pPr>
            <w:r>
              <w:rPr>
                <w:rFonts w:hint="eastAsia"/>
                <w:color w:val="auto"/>
                <w:szCs w:val="21"/>
                <w:lang w:val="en-US" w:eastAsia="zh-CN"/>
              </w:rPr>
              <w:t>234</w:t>
            </w:r>
          </w:p>
        </w:tc>
        <w:tc>
          <w:tcPr>
            <w:tcW w:w="738" w:type="pct"/>
            <w:tcBorders>
              <w:tl2br w:val="nil"/>
              <w:tr2bl w:val="nil"/>
            </w:tcBorders>
            <w:vAlign w:val="center"/>
          </w:tcPr>
          <w:p w14:paraId="38C9880C">
            <w:pPr>
              <w:widowControl/>
              <w:jc w:val="center"/>
              <w:textAlignment w:val="center"/>
              <w:rPr>
                <w:rFonts w:hint="default" w:eastAsia="宋体"/>
                <w:color w:val="auto"/>
                <w:szCs w:val="21"/>
                <w:lang w:val="en-US" w:eastAsia="zh-CN"/>
              </w:rPr>
            </w:pPr>
            <w:r>
              <w:rPr>
                <w:rFonts w:hint="eastAsia"/>
                <w:color w:val="auto"/>
                <w:szCs w:val="21"/>
                <w:lang w:val="en-US" w:eastAsia="zh-CN"/>
              </w:rPr>
              <w:t>221</w:t>
            </w:r>
          </w:p>
        </w:tc>
        <w:tc>
          <w:tcPr>
            <w:tcW w:w="978" w:type="pct"/>
            <w:tcBorders>
              <w:tl2br w:val="nil"/>
              <w:tr2bl w:val="nil"/>
            </w:tcBorders>
            <w:vAlign w:val="center"/>
          </w:tcPr>
          <w:p w14:paraId="3692580B">
            <w:pPr>
              <w:widowControl/>
              <w:jc w:val="center"/>
              <w:textAlignment w:val="center"/>
              <w:rPr>
                <w:rFonts w:hint="default" w:eastAsia="宋体"/>
                <w:color w:val="auto"/>
                <w:szCs w:val="21"/>
                <w:lang w:val="en-US" w:eastAsia="zh-CN"/>
              </w:rPr>
            </w:pPr>
            <w:r>
              <w:rPr>
                <w:rFonts w:hint="eastAsia"/>
                <w:color w:val="auto"/>
                <w:szCs w:val="21"/>
                <w:lang w:val="en-US" w:eastAsia="zh-CN"/>
              </w:rPr>
              <w:t>225</w:t>
            </w:r>
          </w:p>
        </w:tc>
      </w:tr>
      <w:tr w14:paraId="4FC38B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78382D8">
            <w:pPr>
              <w:jc w:val="center"/>
              <w:rPr>
                <w:color w:val="auto"/>
                <w:szCs w:val="21"/>
              </w:rPr>
            </w:pPr>
          </w:p>
        </w:tc>
        <w:tc>
          <w:tcPr>
            <w:tcW w:w="534" w:type="pct"/>
            <w:vMerge w:val="continue"/>
            <w:tcBorders>
              <w:tl2br w:val="nil"/>
              <w:tr2bl w:val="nil"/>
            </w:tcBorders>
            <w:vAlign w:val="center"/>
          </w:tcPr>
          <w:p w14:paraId="60170358">
            <w:pPr>
              <w:jc w:val="center"/>
              <w:rPr>
                <w:color w:val="auto"/>
                <w:szCs w:val="21"/>
              </w:rPr>
            </w:pPr>
          </w:p>
        </w:tc>
        <w:tc>
          <w:tcPr>
            <w:tcW w:w="592" w:type="pct"/>
            <w:tcBorders>
              <w:tl2br w:val="nil"/>
              <w:tr2bl w:val="nil"/>
            </w:tcBorders>
            <w:vAlign w:val="center"/>
          </w:tcPr>
          <w:p w14:paraId="369D9162">
            <w:pPr>
              <w:widowControl/>
              <w:jc w:val="center"/>
              <w:textAlignment w:val="center"/>
              <w:rPr>
                <w:color w:val="auto"/>
                <w:szCs w:val="21"/>
              </w:rPr>
            </w:pPr>
            <w:r>
              <w:rPr>
                <w:color w:val="auto"/>
                <w:kern w:val="0"/>
                <w:szCs w:val="21"/>
                <w:lang w:bidi="ar"/>
              </w:rPr>
              <w:t>第三次</w:t>
            </w:r>
          </w:p>
        </w:tc>
        <w:tc>
          <w:tcPr>
            <w:tcW w:w="696" w:type="pct"/>
            <w:tcBorders>
              <w:tl2br w:val="nil"/>
              <w:tr2bl w:val="nil"/>
            </w:tcBorders>
            <w:vAlign w:val="center"/>
          </w:tcPr>
          <w:p w14:paraId="14C1CD02">
            <w:pPr>
              <w:widowControl/>
              <w:jc w:val="center"/>
              <w:textAlignment w:val="center"/>
              <w:rPr>
                <w:rFonts w:hint="default" w:eastAsia="宋体"/>
                <w:color w:val="auto"/>
                <w:szCs w:val="21"/>
                <w:lang w:val="en-US" w:eastAsia="zh-CN"/>
              </w:rPr>
            </w:pPr>
            <w:r>
              <w:rPr>
                <w:rFonts w:hint="eastAsia"/>
                <w:color w:val="auto"/>
                <w:szCs w:val="21"/>
                <w:lang w:val="en-US" w:eastAsia="zh-CN"/>
              </w:rPr>
              <w:t>208</w:t>
            </w:r>
          </w:p>
        </w:tc>
        <w:tc>
          <w:tcPr>
            <w:tcW w:w="681" w:type="pct"/>
            <w:tcBorders>
              <w:tl2br w:val="nil"/>
              <w:tr2bl w:val="nil"/>
            </w:tcBorders>
            <w:vAlign w:val="center"/>
          </w:tcPr>
          <w:p w14:paraId="592042BD">
            <w:pPr>
              <w:widowControl/>
              <w:jc w:val="center"/>
              <w:textAlignment w:val="center"/>
              <w:rPr>
                <w:rFonts w:hint="default" w:eastAsia="宋体"/>
                <w:color w:val="auto"/>
                <w:szCs w:val="21"/>
                <w:lang w:val="en-US" w:eastAsia="zh-CN"/>
              </w:rPr>
            </w:pPr>
            <w:r>
              <w:rPr>
                <w:rFonts w:hint="eastAsia"/>
                <w:color w:val="auto"/>
                <w:szCs w:val="21"/>
                <w:lang w:val="en-US" w:eastAsia="zh-CN"/>
              </w:rPr>
              <w:t>239</w:t>
            </w:r>
          </w:p>
        </w:tc>
        <w:tc>
          <w:tcPr>
            <w:tcW w:w="738" w:type="pct"/>
            <w:tcBorders>
              <w:tl2br w:val="nil"/>
              <w:tr2bl w:val="nil"/>
            </w:tcBorders>
            <w:vAlign w:val="center"/>
          </w:tcPr>
          <w:p w14:paraId="0EDF11EE">
            <w:pPr>
              <w:widowControl/>
              <w:jc w:val="center"/>
              <w:textAlignment w:val="center"/>
              <w:rPr>
                <w:rFonts w:hint="default" w:eastAsia="宋体"/>
                <w:color w:val="auto"/>
                <w:szCs w:val="21"/>
                <w:lang w:val="en-US" w:eastAsia="zh-CN"/>
              </w:rPr>
            </w:pPr>
            <w:r>
              <w:rPr>
                <w:rFonts w:hint="eastAsia"/>
                <w:color w:val="auto"/>
                <w:szCs w:val="21"/>
                <w:lang w:val="en-US" w:eastAsia="zh-CN"/>
              </w:rPr>
              <w:t>230</w:t>
            </w:r>
          </w:p>
        </w:tc>
        <w:tc>
          <w:tcPr>
            <w:tcW w:w="978" w:type="pct"/>
            <w:tcBorders>
              <w:tl2br w:val="nil"/>
              <w:tr2bl w:val="nil"/>
            </w:tcBorders>
            <w:vAlign w:val="center"/>
          </w:tcPr>
          <w:p w14:paraId="068317B3">
            <w:pPr>
              <w:widowControl/>
              <w:jc w:val="center"/>
              <w:textAlignment w:val="center"/>
              <w:rPr>
                <w:rFonts w:hint="default" w:eastAsia="宋体"/>
                <w:color w:val="auto"/>
                <w:szCs w:val="21"/>
                <w:lang w:val="en-US" w:eastAsia="zh-CN"/>
              </w:rPr>
            </w:pPr>
            <w:r>
              <w:rPr>
                <w:rFonts w:hint="eastAsia"/>
                <w:color w:val="auto"/>
                <w:szCs w:val="21"/>
                <w:lang w:val="en-US" w:eastAsia="zh-CN"/>
              </w:rPr>
              <w:t>233</w:t>
            </w:r>
          </w:p>
        </w:tc>
      </w:tr>
      <w:tr w14:paraId="449F857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EF3A131">
            <w:pPr>
              <w:jc w:val="center"/>
              <w:rPr>
                <w:color w:val="auto"/>
                <w:szCs w:val="21"/>
              </w:rPr>
            </w:pPr>
          </w:p>
        </w:tc>
        <w:tc>
          <w:tcPr>
            <w:tcW w:w="534" w:type="pct"/>
            <w:vMerge w:val="continue"/>
            <w:tcBorders>
              <w:tl2br w:val="nil"/>
              <w:tr2bl w:val="nil"/>
            </w:tcBorders>
            <w:vAlign w:val="center"/>
          </w:tcPr>
          <w:p w14:paraId="5095F65A">
            <w:pPr>
              <w:jc w:val="center"/>
              <w:rPr>
                <w:color w:val="auto"/>
                <w:szCs w:val="21"/>
              </w:rPr>
            </w:pPr>
          </w:p>
        </w:tc>
        <w:tc>
          <w:tcPr>
            <w:tcW w:w="592" w:type="pct"/>
            <w:tcBorders>
              <w:tl2br w:val="nil"/>
              <w:tr2bl w:val="nil"/>
            </w:tcBorders>
            <w:vAlign w:val="center"/>
          </w:tcPr>
          <w:p w14:paraId="081531EA">
            <w:pPr>
              <w:widowControl/>
              <w:jc w:val="center"/>
              <w:textAlignment w:val="center"/>
              <w:rPr>
                <w:color w:val="auto"/>
                <w:szCs w:val="21"/>
              </w:rPr>
            </w:pPr>
            <w:r>
              <w:rPr>
                <w:color w:val="auto"/>
                <w:kern w:val="0"/>
                <w:szCs w:val="21"/>
                <w:lang w:bidi="ar"/>
              </w:rPr>
              <w:t>第四次</w:t>
            </w:r>
          </w:p>
        </w:tc>
        <w:tc>
          <w:tcPr>
            <w:tcW w:w="696" w:type="pct"/>
            <w:tcBorders>
              <w:tl2br w:val="nil"/>
              <w:tr2bl w:val="nil"/>
            </w:tcBorders>
            <w:vAlign w:val="center"/>
          </w:tcPr>
          <w:p w14:paraId="010E3192">
            <w:pPr>
              <w:widowControl/>
              <w:jc w:val="center"/>
              <w:textAlignment w:val="center"/>
              <w:rPr>
                <w:rFonts w:hint="default" w:eastAsia="宋体"/>
                <w:color w:val="auto"/>
                <w:szCs w:val="21"/>
                <w:lang w:val="en-US" w:eastAsia="zh-CN"/>
              </w:rPr>
            </w:pPr>
            <w:r>
              <w:rPr>
                <w:rFonts w:hint="eastAsia"/>
                <w:color w:val="auto"/>
                <w:szCs w:val="21"/>
                <w:lang w:val="en-US" w:eastAsia="zh-CN"/>
              </w:rPr>
              <w:t>212</w:t>
            </w:r>
          </w:p>
        </w:tc>
        <w:tc>
          <w:tcPr>
            <w:tcW w:w="681" w:type="pct"/>
            <w:tcBorders>
              <w:tl2br w:val="nil"/>
              <w:tr2bl w:val="nil"/>
            </w:tcBorders>
            <w:vAlign w:val="center"/>
          </w:tcPr>
          <w:p w14:paraId="2D7902AA">
            <w:pPr>
              <w:widowControl/>
              <w:jc w:val="center"/>
              <w:textAlignment w:val="center"/>
              <w:rPr>
                <w:rFonts w:hint="default" w:eastAsia="宋体"/>
                <w:color w:val="auto"/>
                <w:szCs w:val="21"/>
                <w:lang w:val="en-US" w:eastAsia="zh-CN"/>
              </w:rPr>
            </w:pPr>
            <w:r>
              <w:rPr>
                <w:rFonts w:hint="eastAsia"/>
                <w:color w:val="auto"/>
                <w:szCs w:val="21"/>
                <w:lang w:val="en-US" w:eastAsia="zh-CN"/>
              </w:rPr>
              <w:t>260</w:t>
            </w:r>
          </w:p>
        </w:tc>
        <w:tc>
          <w:tcPr>
            <w:tcW w:w="738" w:type="pct"/>
            <w:tcBorders>
              <w:tl2br w:val="nil"/>
              <w:tr2bl w:val="nil"/>
            </w:tcBorders>
            <w:vAlign w:val="center"/>
          </w:tcPr>
          <w:p w14:paraId="2853B57A">
            <w:pPr>
              <w:widowControl/>
              <w:jc w:val="center"/>
              <w:textAlignment w:val="center"/>
              <w:rPr>
                <w:rFonts w:hint="default" w:eastAsia="宋体"/>
                <w:color w:val="auto"/>
                <w:szCs w:val="21"/>
                <w:lang w:val="en-US" w:eastAsia="zh-CN"/>
              </w:rPr>
            </w:pPr>
            <w:r>
              <w:rPr>
                <w:rFonts w:hint="eastAsia"/>
                <w:color w:val="auto"/>
                <w:szCs w:val="21"/>
                <w:lang w:val="en-US" w:eastAsia="zh-CN"/>
              </w:rPr>
              <w:t>257</w:t>
            </w:r>
          </w:p>
        </w:tc>
        <w:tc>
          <w:tcPr>
            <w:tcW w:w="978" w:type="pct"/>
            <w:tcBorders>
              <w:tl2br w:val="nil"/>
              <w:tr2bl w:val="nil"/>
            </w:tcBorders>
            <w:vAlign w:val="center"/>
          </w:tcPr>
          <w:p w14:paraId="49B4855E">
            <w:pPr>
              <w:widowControl/>
              <w:jc w:val="center"/>
              <w:textAlignment w:val="center"/>
              <w:rPr>
                <w:rFonts w:hint="default" w:eastAsia="宋体"/>
                <w:color w:val="auto"/>
                <w:szCs w:val="21"/>
                <w:lang w:val="en-US" w:eastAsia="zh-CN"/>
              </w:rPr>
            </w:pPr>
            <w:r>
              <w:rPr>
                <w:rFonts w:hint="eastAsia"/>
                <w:color w:val="auto"/>
                <w:szCs w:val="21"/>
                <w:lang w:val="en-US" w:eastAsia="zh-CN"/>
              </w:rPr>
              <w:t>248</w:t>
            </w:r>
          </w:p>
        </w:tc>
      </w:tr>
      <w:tr w14:paraId="4D90B0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5EFF69C">
            <w:pPr>
              <w:jc w:val="center"/>
              <w:rPr>
                <w:color w:val="auto"/>
                <w:szCs w:val="21"/>
              </w:rPr>
            </w:pPr>
          </w:p>
        </w:tc>
        <w:tc>
          <w:tcPr>
            <w:tcW w:w="534" w:type="pct"/>
            <w:vMerge w:val="continue"/>
            <w:tcBorders>
              <w:tl2br w:val="nil"/>
              <w:tr2bl w:val="nil"/>
            </w:tcBorders>
            <w:vAlign w:val="center"/>
          </w:tcPr>
          <w:p w14:paraId="18DFF8C0">
            <w:pPr>
              <w:jc w:val="center"/>
              <w:rPr>
                <w:color w:val="auto"/>
                <w:szCs w:val="21"/>
              </w:rPr>
            </w:pPr>
          </w:p>
        </w:tc>
        <w:tc>
          <w:tcPr>
            <w:tcW w:w="592" w:type="pct"/>
            <w:tcBorders>
              <w:tl2br w:val="nil"/>
              <w:tr2bl w:val="nil"/>
            </w:tcBorders>
            <w:vAlign w:val="center"/>
          </w:tcPr>
          <w:p w14:paraId="61198AB2">
            <w:pPr>
              <w:widowControl/>
              <w:jc w:val="center"/>
              <w:textAlignment w:val="center"/>
              <w:rPr>
                <w:color w:val="auto"/>
                <w:szCs w:val="21"/>
              </w:rPr>
            </w:pPr>
            <w:r>
              <w:rPr>
                <w:color w:val="auto"/>
                <w:kern w:val="0"/>
                <w:szCs w:val="21"/>
                <w:lang w:bidi="ar"/>
              </w:rPr>
              <w:t>平均值</w:t>
            </w:r>
          </w:p>
        </w:tc>
        <w:tc>
          <w:tcPr>
            <w:tcW w:w="696" w:type="pct"/>
            <w:tcBorders>
              <w:tl2br w:val="nil"/>
              <w:tr2bl w:val="nil"/>
            </w:tcBorders>
            <w:vAlign w:val="center"/>
          </w:tcPr>
          <w:p w14:paraId="2AD7F185">
            <w:pPr>
              <w:widowControl/>
              <w:jc w:val="center"/>
              <w:textAlignment w:val="center"/>
              <w:rPr>
                <w:rFonts w:hint="default" w:eastAsia="宋体"/>
                <w:color w:val="auto"/>
                <w:szCs w:val="21"/>
                <w:lang w:val="en-US" w:eastAsia="zh-CN"/>
              </w:rPr>
            </w:pPr>
            <w:r>
              <w:rPr>
                <w:rFonts w:hint="eastAsia"/>
                <w:color w:val="auto"/>
                <w:szCs w:val="21"/>
                <w:lang w:val="en-US" w:eastAsia="zh-CN"/>
              </w:rPr>
              <w:t>205</w:t>
            </w:r>
          </w:p>
        </w:tc>
        <w:tc>
          <w:tcPr>
            <w:tcW w:w="681" w:type="pct"/>
            <w:tcBorders>
              <w:tl2br w:val="nil"/>
              <w:tr2bl w:val="nil"/>
            </w:tcBorders>
            <w:vAlign w:val="center"/>
          </w:tcPr>
          <w:p w14:paraId="62C60BFA">
            <w:pPr>
              <w:widowControl/>
              <w:jc w:val="center"/>
              <w:textAlignment w:val="center"/>
              <w:rPr>
                <w:rFonts w:hint="default" w:eastAsia="宋体"/>
                <w:color w:val="auto"/>
                <w:szCs w:val="21"/>
                <w:lang w:val="en-US" w:eastAsia="zh-CN"/>
              </w:rPr>
            </w:pPr>
            <w:r>
              <w:rPr>
                <w:rFonts w:hint="eastAsia"/>
                <w:color w:val="auto"/>
                <w:szCs w:val="21"/>
                <w:lang w:val="en-US" w:eastAsia="zh-CN"/>
              </w:rPr>
              <w:t>246</w:t>
            </w:r>
          </w:p>
        </w:tc>
        <w:tc>
          <w:tcPr>
            <w:tcW w:w="738" w:type="pct"/>
            <w:tcBorders>
              <w:tl2br w:val="nil"/>
              <w:tr2bl w:val="nil"/>
            </w:tcBorders>
            <w:vAlign w:val="center"/>
          </w:tcPr>
          <w:p w14:paraId="649ECBE6">
            <w:pPr>
              <w:widowControl/>
              <w:jc w:val="center"/>
              <w:textAlignment w:val="center"/>
              <w:rPr>
                <w:rFonts w:hint="default" w:eastAsia="宋体"/>
                <w:color w:val="auto"/>
                <w:szCs w:val="21"/>
                <w:lang w:val="en-US" w:eastAsia="zh-CN"/>
              </w:rPr>
            </w:pPr>
            <w:r>
              <w:rPr>
                <w:rFonts w:hint="eastAsia"/>
                <w:color w:val="auto"/>
                <w:szCs w:val="21"/>
                <w:lang w:val="en-US" w:eastAsia="zh-CN"/>
              </w:rPr>
              <w:t>238</w:t>
            </w:r>
          </w:p>
        </w:tc>
        <w:tc>
          <w:tcPr>
            <w:tcW w:w="978" w:type="pct"/>
            <w:tcBorders>
              <w:tl2br w:val="nil"/>
              <w:tr2bl w:val="nil"/>
            </w:tcBorders>
            <w:vAlign w:val="center"/>
          </w:tcPr>
          <w:p w14:paraId="21DF0A89">
            <w:pPr>
              <w:widowControl/>
              <w:jc w:val="center"/>
              <w:textAlignment w:val="center"/>
              <w:rPr>
                <w:rFonts w:hint="default" w:eastAsia="宋体"/>
                <w:color w:val="auto"/>
                <w:szCs w:val="21"/>
                <w:lang w:val="en-US" w:eastAsia="zh-CN"/>
              </w:rPr>
            </w:pPr>
            <w:r>
              <w:rPr>
                <w:rFonts w:hint="eastAsia"/>
                <w:color w:val="auto"/>
                <w:szCs w:val="21"/>
                <w:lang w:val="en-US" w:eastAsia="zh-CN"/>
              </w:rPr>
              <w:t>243</w:t>
            </w:r>
          </w:p>
        </w:tc>
      </w:tr>
      <w:tr w14:paraId="75CFDB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1D5A86D0">
            <w:pPr>
              <w:jc w:val="center"/>
              <w:rPr>
                <w:color w:val="auto"/>
                <w:szCs w:val="21"/>
              </w:rPr>
            </w:pPr>
          </w:p>
        </w:tc>
        <w:tc>
          <w:tcPr>
            <w:tcW w:w="534" w:type="pct"/>
            <w:vMerge w:val="continue"/>
            <w:tcBorders>
              <w:tl2br w:val="nil"/>
              <w:tr2bl w:val="nil"/>
            </w:tcBorders>
            <w:vAlign w:val="center"/>
          </w:tcPr>
          <w:p w14:paraId="2C44AC39">
            <w:pPr>
              <w:jc w:val="center"/>
              <w:rPr>
                <w:color w:val="auto"/>
                <w:szCs w:val="21"/>
              </w:rPr>
            </w:pPr>
          </w:p>
        </w:tc>
        <w:tc>
          <w:tcPr>
            <w:tcW w:w="592" w:type="pct"/>
            <w:tcBorders>
              <w:tl2br w:val="nil"/>
              <w:tr2bl w:val="nil"/>
            </w:tcBorders>
            <w:vAlign w:val="center"/>
          </w:tcPr>
          <w:p w14:paraId="685AB689">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3AAA56C8">
            <w:pPr>
              <w:widowControl/>
              <w:jc w:val="center"/>
              <w:textAlignment w:val="center"/>
              <w:rPr>
                <w:rFonts w:hint="default" w:eastAsia="宋体"/>
                <w:color w:val="auto"/>
                <w:szCs w:val="21"/>
                <w:lang w:val="en-US" w:eastAsia="zh-CN"/>
              </w:rPr>
            </w:pPr>
            <w:r>
              <w:rPr>
                <w:rFonts w:hint="eastAsia"/>
                <w:color w:val="auto"/>
                <w:szCs w:val="21"/>
                <w:lang w:val="en-US" w:eastAsia="zh-CN"/>
              </w:rPr>
              <w:t>1000</w:t>
            </w:r>
          </w:p>
        </w:tc>
      </w:tr>
      <w:tr w14:paraId="1538E2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507B77B">
            <w:pPr>
              <w:jc w:val="center"/>
              <w:rPr>
                <w:color w:val="auto"/>
                <w:szCs w:val="21"/>
              </w:rPr>
            </w:pPr>
          </w:p>
        </w:tc>
        <w:tc>
          <w:tcPr>
            <w:tcW w:w="534" w:type="pct"/>
            <w:vMerge w:val="continue"/>
            <w:tcBorders>
              <w:tl2br w:val="nil"/>
              <w:tr2bl w:val="nil"/>
            </w:tcBorders>
            <w:vAlign w:val="center"/>
          </w:tcPr>
          <w:p w14:paraId="49DADB8C">
            <w:pPr>
              <w:jc w:val="center"/>
              <w:rPr>
                <w:color w:val="auto"/>
                <w:szCs w:val="21"/>
              </w:rPr>
            </w:pPr>
          </w:p>
        </w:tc>
        <w:tc>
          <w:tcPr>
            <w:tcW w:w="592" w:type="pct"/>
            <w:tcBorders>
              <w:tl2br w:val="nil"/>
              <w:tr2bl w:val="nil"/>
            </w:tcBorders>
            <w:vAlign w:val="center"/>
          </w:tcPr>
          <w:p w14:paraId="068DFD84">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5EE3AAE9">
            <w:pPr>
              <w:widowControl/>
              <w:jc w:val="center"/>
              <w:textAlignment w:val="center"/>
              <w:rPr>
                <w:rFonts w:hint="default"/>
                <w:color w:val="auto"/>
                <w:szCs w:val="21"/>
                <w:lang w:val="en-US" w:eastAsia="zh-CN"/>
              </w:rPr>
            </w:pPr>
            <w:r>
              <w:rPr>
                <w:rFonts w:hint="eastAsia"/>
                <w:color w:val="auto"/>
                <w:szCs w:val="21"/>
                <w:lang w:val="en-US" w:eastAsia="zh-CN"/>
              </w:rPr>
              <w:t>达标</w:t>
            </w:r>
          </w:p>
        </w:tc>
      </w:tr>
      <w:tr w14:paraId="26C804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53F6EB95">
            <w:pPr>
              <w:widowControl/>
              <w:jc w:val="center"/>
              <w:textAlignment w:val="center"/>
              <w:rPr>
                <w:color w:val="auto"/>
                <w:szCs w:val="21"/>
              </w:rPr>
            </w:pPr>
            <w:r>
              <w:rPr>
                <w:rFonts w:hint="eastAsia"/>
                <w:color w:val="auto"/>
                <w:kern w:val="0"/>
                <w:szCs w:val="21"/>
                <w:lang w:val="en-US" w:eastAsia="zh-CN" w:bidi="ar"/>
              </w:rPr>
              <w:t>氟化物</w:t>
            </w:r>
            <w:r>
              <w:rPr>
                <w:color w:val="auto"/>
                <w:kern w:val="0"/>
                <w:szCs w:val="21"/>
                <w:lang w:bidi="ar"/>
              </w:rPr>
              <w:br w:type="textWrapping"/>
            </w:r>
            <w:r>
              <w:rPr>
                <w:rFonts w:hint="eastAsia"/>
                <w:color w:val="auto"/>
                <w:kern w:val="0"/>
                <w:szCs w:val="21"/>
                <w:lang w:eastAsia="zh-CN" w:bidi="ar"/>
              </w:rPr>
              <w:t>（</w:t>
            </w:r>
            <w:r>
              <w:rPr>
                <w:color w:val="auto"/>
                <w:kern w:val="0"/>
                <w:szCs w:val="21"/>
                <w:lang w:bidi="ar"/>
              </w:rPr>
              <w:t>μg/m</w:t>
            </w:r>
            <w:r>
              <w:rPr>
                <w:rFonts w:hint="eastAsia"/>
                <w:color w:val="auto"/>
                <w:kern w:val="0"/>
                <w:szCs w:val="21"/>
                <w:vertAlign w:val="superscript"/>
                <w:lang w:val="en-US" w:eastAsia="zh-CN" w:bidi="ar"/>
              </w:rPr>
              <w:t>3</w:t>
            </w:r>
            <w:r>
              <w:rPr>
                <w:rFonts w:hint="eastAsia"/>
                <w:color w:val="auto"/>
                <w:kern w:val="0"/>
                <w:szCs w:val="21"/>
                <w:lang w:val="en-US" w:eastAsia="zh-CN" w:bidi="ar"/>
              </w:rPr>
              <w:t>）</w:t>
            </w:r>
          </w:p>
        </w:tc>
        <w:tc>
          <w:tcPr>
            <w:tcW w:w="534" w:type="pct"/>
            <w:vMerge w:val="continue"/>
            <w:tcBorders>
              <w:tl2br w:val="nil"/>
              <w:tr2bl w:val="nil"/>
            </w:tcBorders>
            <w:vAlign w:val="center"/>
          </w:tcPr>
          <w:p w14:paraId="6BDA11EB">
            <w:pPr>
              <w:widowControl/>
              <w:jc w:val="center"/>
              <w:textAlignment w:val="center"/>
              <w:rPr>
                <w:color w:val="auto"/>
                <w:szCs w:val="21"/>
              </w:rPr>
            </w:pPr>
          </w:p>
        </w:tc>
        <w:tc>
          <w:tcPr>
            <w:tcW w:w="592" w:type="pct"/>
            <w:tcBorders>
              <w:tl2br w:val="nil"/>
              <w:tr2bl w:val="nil"/>
            </w:tcBorders>
            <w:vAlign w:val="center"/>
          </w:tcPr>
          <w:p w14:paraId="71BE2ED3">
            <w:pPr>
              <w:widowControl/>
              <w:jc w:val="center"/>
              <w:textAlignment w:val="center"/>
              <w:rPr>
                <w:color w:val="auto"/>
                <w:szCs w:val="21"/>
              </w:rPr>
            </w:pPr>
            <w:r>
              <w:rPr>
                <w:color w:val="auto"/>
                <w:kern w:val="0"/>
                <w:szCs w:val="21"/>
                <w:lang w:bidi="ar"/>
              </w:rPr>
              <w:t>第一次</w:t>
            </w:r>
          </w:p>
        </w:tc>
        <w:tc>
          <w:tcPr>
            <w:tcW w:w="696" w:type="pct"/>
            <w:tcBorders>
              <w:tl2br w:val="nil"/>
              <w:tr2bl w:val="nil"/>
            </w:tcBorders>
            <w:vAlign w:val="center"/>
          </w:tcPr>
          <w:p w14:paraId="454B9CA1">
            <w:pPr>
              <w:widowControl/>
              <w:jc w:val="center"/>
              <w:textAlignment w:val="center"/>
              <w:rPr>
                <w:rFonts w:hint="default" w:eastAsia="宋体"/>
                <w:color w:val="auto"/>
                <w:szCs w:val="21"/>
                <w:lang w:val="en-US" w:eastAsia="zh-CN"/>
              </w:rPr>
            </w:pPr>
            <w:r>
              <w:rPr>
                <w:rFonts w:hint="eastAsia"/>
                <w:color w:val="auto"/>
                <w:szCs w:val="21"/>
                <w:lang w:val="en-US" w:eastAsia="zh-CN"/>
              </w:rPr>
              <w:t>0.6</w:t>
            </w:r>
          </w:p>
        </w:tc>
        <w:tc>
          <w:tcPr>
            <w:tcW w:w="681" w:type="pct"/>
            <w:tcBorders>
              <w:tl2br w:val="nil"/>
              <w:tr2bl w:val="nil"/>
            </w:tcBorders>
            <w:vAlign w:val="center"/>
          </w:tcPr>
          <w:p w14:paraId="6BCC2F2D">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738" w:type="pct"/>
            <w:tcBorders>
              <w:tl2br w:val="nil"/>
              <w:tr2bl w:val="nil"/>
            </w:tcBorders>
            <w:vAlign w:val="center"/>
          </w:tcPr>
          <w:p w14:paraId="222CDD6D">
            <w:pPr>
              <w:widowControl/>
              <w:jc w:val="center"/>
              <w:textAlignment w:val="center"/>
              <w:rPr>
                <w:rFonts w:hint="default" w:eastAsia="宋体"/>
                <w:color w:val="auto"/>
                <w:szCs w:val="21"/>
                <w:lang w:val="en-US" w:eastAsia="zh-CN"/>
              </w:rPr>
            </w:pPr>
            <w:r>
              <w:rPr>
                <w:rFonts w:hint="eastAsia"/>
                <w:color w:val="auto"/>
                <w:szCs w:val="21"/>
                <w:lang w:val="en-US" w:eastAsia="zh-CN"/>
              </w:rPr>
              <w:t>0.9</w:t>
            </w:r>
          </w:p>
        </w:tc>
        <w:tc>
          <w:tcPr>
            <w:tcW w:w="978" w:type="pct"/>
            <w:tcBorders>
              <w:tl2br w:val="nil"/>
              <w:tr2bl w:val="nil"/>
            </w:tcBorders>
            <w:vAlign w:val="center"/>
          </w:tcPr>
          <w:p w14:paraId="38103168">
            <w:pPr>
              <w:widowControl/>
              <w:jc w:val="center"/>
              <w:textAlignment w:val="center"/>
              <w:rPr>
                <w:rFonts w:hint="default" w:eastAsia="宋体"/>
                <w:color w:val="auto"/>
                <w:szCs w:val="21"/>
                <w:lang w:val="en-US" w:eastAsia="zh-CN"/>
              </w:rPr>
            </w:pPr>
            <w:r>
              <w:rPr>
                <w:rFonts w:hint="eastAsia"/>
                <w:color w:val="auto"/>
                <w:szCs w:val="21"/>
                <w:lang w:val="en-US" w:eastAsia="zh-CN"/>
              </w:rPr>
              <w:t>1.2</w:t>
            </w:r>
          </w:p>
        </w:tc>
      </w:tr>
      <w:tr w14:paraId="2C821FB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C664A08">
            <w:pPr>
              <w:jc w:val="center"/>
              <w:rPr>
                <w:color w:val="auto"/>
                <w:szCs w:val="21"/>
              </w:rPr>
            </w:pPr>
          </w:p>
        </w:tc>
        <w:tc>
          <w:tcPr>
            <w:tcW w:w="534" w:type="pct"/>
            <w:vMerge w:val="continue"/>
            <w:tcBorders>
              <w:tl2br w:val="nil"/>
              <w:tr2bl w:val="nil"/>
            </w:tcBorders>
            <w:vAlign w:val="center"/>
          </w:tcPr>
          <w:p w14:paraId="737930DA">
            <w:pPr>
              <w:jc w:val="center"/>
              <w:rPr>
                <w:color w:val="auto"/>
                <w:szCs w:val="21"/>
              </w:rPr>
            </w:pPr>
          </w:p>
        </w:tc>
        <w:tc>
          <w:tcPr>
            <w:tcW w:w="592" w:type="pct"/>
            <w:tcBorders>
              <w:tl2br w:val="nil"/>
              <w:tr2bl w:val="nil"/>
            </w:tcBorders>
            <w:vAlign w:val="center"/>
          </w:tcPr>
          <w:p w14:paraId="43592428">
            <w:pPr>
              <w:widowControl/>
              <w:jc w:val="center"/>
              <w:textAlignment w:val="center"/>
              <w:rPr>
                <w:color w:val="auto"/>
                <w:szCs w:val="21"/>
              </w:rPr>
            </w:pPr>
            <w:r>
              <w:rPr>
                <w:color w:val="auto"/>
                <w:kern w:val="0"/>
                <w:szCs w:val="21"/>
                <w:lang w:bidi="ar"/>
              </w:rPr>
              <w:t>第二次</w:t>
            </w:r>
          </w:p>
        </w:tc>
        <w:tc>
          <w:tcPr>
            <w:tcW w:w="696" w:type="pct"/>
            <w:tcBorders>
              <w:tl2br w:val="nil"/>
              <w:tr2bl w:val="nil"/>
            </w:tcBorders>
            <w:vAlign w:val="center"/>
          </w:tcPr>
          <w:p w14:paraId="3CD33AA8">
            <w:pPr>
              <w:widowControl/>
              <w:jc w:val="center"/>
              <w:textAlignment w:val="center"/>
              <w:rPr>
                <w:rFonts w:hint="default" w:eastAsia="宋体"/>
                <w:color w:val="auto"/>
                <w:szCs w:val="21"/>
                <w:lang w:val="en-US" w:eastAsia="zh-CN"/>
              </w:rPr>
            </w:pPr>
            <w:r>
              <w:rPr>
                <w:rFonts w:hint="eastAsia"/>
                <w:color w:val="auto"/>
                <w:szCs w:val="21"/>
                <w:lang w:val="en-US" w:eastAsia="zh-CN"/>
              </w:rPr>
              <w:t>0.7</w:t>
            </w:r>
          </w:p>
        </w:tc>
        <w:tc>
          <w:tcPr>
            <w:tcW w:w="681" w:type="pct"/>
            <w:tcBorders>
              <w:tl2br w:val="nil"/>
              <w:tr2bl w:val="nil"/>
            </w:tcBorders>
            <w:vAlign w:val="center"/>
          </w:tcPr>
          <w:p w14:paraId="603B60E9">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738" w:type="pct"/>
            <w:tcBorders>
              <w:tl2br w:val="nil"/>
              <w:tr2bl w:val="nil"/>
            </w:tcBorders>
            <w:vAlign w:val="center"/>
          </w:tcPr>
          <w:p w14:paraId="42FBB3A3">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978" w:type="pct"/>
            <w:tcBorders>
              <w:tl2br w:val="nil"/>
              <w:tr2bl w:val="nil"/>
            </w:tcBorders>
            <w:vAlign w:val="center"/>
          </w:tcPr>
          <w:p w14:paraId="29AC3F2F">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r>
      <w:tr w14:paraId="65807A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ACC5CA2">
            <w:pPr>
              <w:jc w:val="center"/>
              <w:rPr>
                <w:color w:val="auto"/>
                <w:szCs w:val="21"/>
              </w:rPr>
            </w:pPr>
          </w:p>
        </w:tc>
        <w:tc>
          <w:tcPr>
            <w:tcW w:w="534" w:type="pct"/>
            <w:vMerge w:val="continue"/>
            <w:tcBorders>
              <w:tl2br w:val="nil"/>
              <w:tr2bl w:val="nil"/>
            </w:tcBorders>
            <w:vAlign w:val="center"/>
          </w:tcPr>
          <w:p w14:paraId="1D544E24">
            <w:pPr>
              <w:jc w:val="center"/>
              <w:rPr>
                <w:color w:val="auto"/>
                <w:szCs w:val="21"/>
              </w:rPr>
            </w:pPr>
          </w:p>
        </w:tc>
        <w:tc>
          <w:tcPr>
            <w:tcW w:w="592" w:type="pct"/>
            <w:tcBorders>
              <w:tl2br w:val="nil"/>
              <w:tr2bl w:val="nil"/>
            </w:tcBorders>
            <w:vAlign w:val="center"/>
          </w:tcPr>
          <w:p w14:paraId="22FC1297">
            <w:pPr>
              <w:widowControl/>
              <w:jc w:val="center"/>
              <w:textAlignment w:val="center"/>
              <w:rPr>
                <w:color w:val="auto"/>
                <w:szCs w:val="21"/>
              </w:rPr>
            </w:pPr>
            <w:r>
              <w:rPr>
                <w:color w:val="auto"/>
                <w:kern w:val="0"/>
                <w:szCs w:val="21"/>
                <w:lang w:bidi="ar"/>
              </w:rPr>
              <w:t>第三次</w:t>
            </w:r>
          </w:p>
        </w:tc>
        <w:tc>
          <w:tcPr>
            <w:tcW w:w="696" w:type="pct"/>
            <w:tcBorders>
              <w:tl2br w:val="nil"/>
              <w:tr2bl w:val="nil"/>
            </w:tcBorders>
            <w:vAlign w:val="center"/>
          </w:tcPr>
          <w:p w14:paraId="5516203C">
            <w:pPr>
              <w:widowControl/>
              <w:jc w:val="center"/>
              <w:textAlignment w:val="center"/>
              <w:rPr>
                <w:rFonts w:hint="default" w:eastAsia="宋体"/>
                <w:color w:val="auto"/>
                <w:szCs w:val="21"/>
                <w:lang w:val="en-US" w:eastAsia="zh-CN"/>
              </w:rPr>
            </w:pPr>
            <w:r>
              <w:rPr>
                <w:rFonts w:hint="eastAsia"/>
                <w:color w:val="auto"/>
                <w:szCs w:val="21"/>
                <w:lang w:val="en-US" w:eastAsia="zh-CN"/>
              </w:rPr>
              <w:t>0.6</w:t>
            </w:r>
          </w:p>
        </w:tc>
        <w:tc>
          <w:tcPr>
            <w:tcW w:w="681" w:type="pct"/>
            <w:tcBorders>
              <w:tl2br w:val="nil"/>
              <w:tr2bl w:val="nil"/>
            </w:tcBorders>
            <w:vAlign w:val="center"/>
          </w:tcPr>
          <w:p w14:paraId="68FE41BE">
            <w:pPr>
              <w:widowControl/>
              <w:jc w:val="center"/>
              <w:textAlignment w:val="center"/>
              <w:rPr>
                <w:rFonts w:hint="default" w:eastAsia="宋体"/>
                <w:color w:val="auto"/>
                <w:szCs w:val="21"/>
                <w:lang w:val="en-US" w:eastAsia="zh-CN"/>
              </w:rPr>
            </w:pPr>
            <w:r>
              <w:rPr>
                <w:rFonts w:hint="eastAsia"/>
                <w:color w:val="auto"/>
                <w:szCs w:val="21"/>
                <w:lang w:val="en-US" w:eastAsia="zh-CN"/>
              </w:rPr>
              <w:t>0.9</w:t>
            </w:r>
          </w:p>
        </w:tc>
        <w:tc>
          <w:tcPr>
            <w:tcW w:w="738" w:type="pct"/>
            <w:tcBorders>
              <w:tl2br w:val="nil"/>
              <w:tr2bl w:val="nil"/>
            </w:tcBorders>
            <w:vAlign w:val="center"/>
          </w:tcPr>
          <w:p w14:paraId="47239E0E">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c>
          <w:tcPr>
            <w:tcW w:w="978" w:type="pct"/>
            <w:tcBorders>
              <w:tl2br w:val="nil"/>
              <w:tr2bl w:val="nil"/>
            </w:tcBorders>
            <w:vAlign w:val="center"/>
          </w:tcPr>
          <w:p w14:paraId="44529296">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r>
      <w:tr w14:paraId="245EC1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71002FE">
            <w:pPr>
              <w:jc w:val="center"/>
              <w:rPr>
                <w:color w:val="auto"/>
                <w:szCs w:val="21"/>
              </w:rPr>
            </w:pPr>
          </w:p>
        </w:tc>
        <w:tc>
          <w:tcPr>
            <w:tcW w:w="534" w:type="pct"/>
            <w:vMerge w:val="continue"/>
            <w:tcBorders>
              <w:tl2br w:val="nil"/>
              <w:tr2bl w:val="nil"/>
            </w:tcBorders>
            <w:vAlign w:val="center"/>
          </w:tcPr>
          <w:p w14:paraId="2211948C">
            <w:pPr>
              <w:jc w:val="center"/>
              <w:rPr>
                <w:color w:val="auto"/>
                <w:szCs w:val="21"/>
              </w:rPr>
            </w:pPr>
          </w:p>
        </w:tc>
        <w:tc>
          <w:tcPr>
            <w:tcW w:w="592" w:type="pct"/>
            <w:tcBorders>
              <w:tl2br w:val="nil"/>
              <w:tr2bl w:val="nil"/>
            </w:tcBorders>
            <w:vAlign w:val="center"/>
          </w:tcPr>
          <w:p w14:paraId="2A677F04">
            <w:pPr>
              <w:widowControl/>
              <w:jc w:val="center"/>
              <w:textAlignment w:val="center"/>
              <w:rPr>
                <w:color w:val="auto"/>
                <w:szCs w:val="21"/>
              </w:rPr>
            </w:pPr>
            <w:r>
              <w:rPr>
                <w:color w:val="auto"/>
                <w:kern w:val="0"/>
                <w:szCs w:val="21"/>
                <w:lang w:bidi="ar"/>
              </w:rPr>
              <w:t>第四次</w:t>
            </w:r>
          </w:p>
        </w:tc>
        <w:tc>
          <w:tcPr>
            <w:tcW w:w="696" w:type="pct"/>
            <w:tcBorders>
              <w:tl2br w:val="nil"/>
              <w:tr2bl w:val="nil"/>
            </w:tcBorders>
            <w:vAlign w:val="center"/>
          </w:tcPr>
          <w:p w14:paraId="681912EE">
            <w:pPr>
              <w:widowControl/>
              <w:jc w:val="center"/>
              <w:textAlignment w:val="center"/>
              <w:rPr>
                <w:rFonts w:hint="default" w:eastAsia="宋体"/>
                <w:color w:val="auto"/>
                <w:szCs w:val="21"/>
                <w:lang w:val="en-US" w:eastAsia="zh-CN"/>
              </w:rPr>
            </w:pPr>
            <w:r>
              <w:rPr>
                <w:rFonts w:hint="eastAsia"/>
                <w:color w:val="auto"/>
                <w:szCs w:val="21"/>
                <w:lang w:val="en-US" w:eastAsia="zh-CN"/>
              </w:rPr>
              <w:t>0.7</w:t>
            </w:r>
          </w:p>
        </w:tc>
        <w:tc>
          <w:tcPr>
            <w:tcW w:w="681" w:type="pct"/>
            <w:tcBorders>
              <w:tl2br w:val="nil"/>
              <w:tr2bl w:val="nil"/>
            </w:tcBorders>
            <w:vAlign w:val="center"/>
          </w:tcPr>
          <w:p w14:paraId="5D885A4B">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738" w:type="pct"/>
            <w:tcBorders>
              <w:tl2br w:val="nil"/>
              <w:tr2bl w:val="nil"/>
            </w:tcBorders>
            <w:vAlign w:val="center"/>
          </w:tcPr>
          <w:p w14:paraId="04E5BB69">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c>
          <w:tcPr>
            <w:tcW w:w="978" w:type="pct"/>
            <w:tcBorders>
              <w:tl2br w:val="nil"/>
              <w:tr2bl w:val="nil"/>
            </w:tcBorders>
            <w:vAlign w:val="center"/>
          </w:tcPr>
          <w:p w14:paraId="1F272C10">
            <w:pPr>
              <w:widowControl/>
              <w:jc w:val="center"/>
              <w:textAlignment w:val="center"/>
              <w:rPr>
                <w:rFonts w:hint="default" w:eastAsia="宋体"/>
                <w:color w:val="auto"/>
                <w:szCs w:val="21"/>
                <w:lang w:val="en-US" w:eastAsia="zh-CN"/>
              </w:rPr>
            </w:pPr>
            <w:r>
              <w:rPr>
                <w:rFonts w:hint="eastAsia"/>
                <w:color w:val="auto"/>
                <w:szCs w:val="21"/>
                <w:lang w:val="en-US" w:eastAsia="zh-CN"/>
              </w:rPr>
              <w:t>1.0</w:t>
            </w:r>
          </w:p>
        </w:tc>
      </w:tr>
      <w:tr w14:paraId="2EB71C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27190AD">
            <w:pPr>
              <w:jc w:val="center"/>
              <w:rPr>
                <w:color w:val="auto"/>
                <w:szCs w:val="21"/>
              </w:rPr>
            </w:pPr>
          </w:p>
        </w:tc>
        <w:tc>
          <w:tcPr>
            <w:tcW w:w="534" w:type="pct"/>
            <w:vMerge w:val="continue"/>
            <w:tcBorders>
              <w:tl2br w:val="nil"/>
              <w:tr2bl w:val="nil"/>
            </w:tcBorders>
            <w:vAlign w:val="center"/>
          </w:tcPr>
          <w:p w14:paraId="414FB1BA">
            <w:pPr>
              <w:jc w:val="center"/>
              <w:rPr>
                <w:color w:val="auto"/>
                <w:szCs w:val="21"/>
              </w:rPr>
            </w:pPr>
          </w:p>
        </w:tc>
        <w:tc>
          <w:tcPr>
            <w:tcW w:w="592" w:type="pct"/>
            <w:tcBorders>
              <w:tl2br w:val="nil"/>
              <w:tr2bl w:val="nil"/>
            </w:tcBorders>
            <w:vAlign w:val="center"/>
          </w:tcPr>
          <w:p w14:paraId="5D00D540">
            <w:pPr>
              <w:widowControl/>
              <w:jc w:val="center"/>
              <w:textAlignment w:val="center"/>
              <w:rPr>
                <w:color w:val="auto"/>
                <w:szCs w:val="21"/>
              </w:rPr>
            </w:pPr>
            <w:r>
              <w:rPr>
                <w:color w:val="auto"/>
                <w:kern w:val="0"/>
                <w:szCs w:val="21"/>
                <w:lang w:bidi="ar"/>
              </w:rPr>
              <w:t>平均值</w:t>
            </w:r>
          </w:p>
        </w:tc>
        <w:tc>
          <w:tcPr>
            <w:tcW w:w="696" w:type="pct"/>
            <w:tcBorders>
              <w:tl2br w:val="nil"/>
              <w:tr2bl w:val="nil"/>
            </w:tcBorders>
            <w:vAlign w:val="center"/>
          </w:tcPr>
          <w:p w14:paraId="04BE00D4">
            <w:pPr>
              <w:widowControl/>
              <w:jc w:val="center"/>
              <w:textAlignment w:val="center"/>
              <w:rPr>
                <w:rFonts w:hint="default" w:eastAsia="宋体"/>
                <w:color w:val="auto"/>
                <w:szCs w:val="21"/>
                <w:lang w:val="en-US" w:eastAsia="zh-CN"/>
              </w:rPr>
            </w:pPr>
            <w:r>
              <w:rPr>
                <w:rFonts w:hint="eastAsia"/>
                <w:color w:val="auto"/>
                <w:szCs w:val="21"/>
                <w:lang w:val="en-US" w:eastAsia="zh-CN"/>
              </w:rPr>
              <w:t>0.65</w:t>
            </w:r>
          </w:p>
        </w:tc>
        <w:tc>
          <w:tcPr>
            <w:tcW w:w="681" w:type="pct"/>
            <w:tcBorders>
              <w:tl2br w:val="nil"/>
              <w:tr2bl w:val="nil"/>
            </w:tcBorders>
            <w:vAlign w:val="center"/>
          </w:tcPr>
          <w:p w14:paraId="3AB1AA11">
            <w:pPr>
              <w:widowControl/>
              <w:jc w:val="center"/>
              <w:textAlignment w:val="center"/>
              <w:rPr>
                <w:rFonts w:hint="default" w:eastAsia="宋体"/>
                <w:color w:val="auto"/>
                <w:szCs w:val="21"/>
                <w:lang w:val="en-US" w:eastAsia="zh-CN"/>
              </w:rPr>
            </w:pPr>
            <w:r>
              <w:rPr>
                <w:rFonts w:hint="eastAsia"/>
                <w:color w:val="auto"/>
                <w:szCs w:val="21"/>
                <w:lang w:val="en-US" w:eastAsia="zh-CN"/>
              </w:rPr>
              <w:t>0.83</w:t>
            </w:r>
          </w:p>
        </w:tc>
        <w:tc>
          <w:tcPr>
            <w:tcW w:w="738" w:type="pct"/>
            <w:tcBorders>
              <w:tl2br w:val="nil"/>
              <w:tr2bl w:val="nil"/>
            </w:tcBorders>
            <w:vAlign w:val="center"/>
          </w:tcPr>
          <w:p w14:paraId="6A014895">
            <w:pPr>
              <w:widowControl/>
              <w:jc w:val="center"/>
              <w:textAlignment w:val="center"/>
              <w:rPr>
                <w:rFonts w:hint="default" w:eastAsia="宋体"/>
                <w:color w:val="auto"/>
                <w:szCs w:val="21"/>
                <w:lang w:val="en-US" w:eastAsia="zh-CN"/>
              </w:rPr>
            </w:pPr>
            <w:r>
              <w:rPr>
                <w:rFonts w:hint="eastAsia"/>
                <w:color w:val="auto"/>
                <w:szCs w:val="21"/>
                <w:lang w:val="en-US" w:eastAsia="zh-CN"/>
              </w:rPr>
              <w:t>0.98</w:t>
            </w:r>
          </w:p>
        </w:tc>
        <w:tc>
          <w:tcPr>
            <w:tcW w:w="978" w:type="pct"/>
            <w:tcBorders>
              <w:tl2br w:val="nil"/>
              <w:tr2bl w:val="nil"/>
            </w:tcBorders>
            <w:vAlign w:val="center"/>
          </w:tcPr>
          <w:p w14:paraId="5A88E119">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r>
      <w:tr w14:paraId="39B1CC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2189FAF">
            <w:pPr>
              <w:jc w:val="center"/>
              <w:rPr>
                <w:color w:val="auto"/>
                <w:szCs w:val="21"/>
              </w:rPr>
            </w:pPr>
          </w:p>
        </w:tc>
        <w:tc>
          <w:tcPr>
            <w:tcW w:w="534" w:type="pct"/>
            <w:vMerge w:val="continue"/>
            <w:tcBorders>
              <w:tl2br w:val="nil"/>
              <w:tr2bl w:val="nil"/>
            </w:tcBorders>
            <w:vAlign w:val="center"/>
          </w:tcPr>
          <w:p w14:paraId="7E8350F9">
            <w:pPr>
              <w:jc w:val="center"/>
              <w:rPr>
                <w:color w:val="auto"/>
                <w:szCs w:val="21"/>
              </w:rPr>
            </w:pPr>
          </w:p>
        </w:tc>
        <w:tc>
          <w:tcPr>
            <w:tcW w:w="592" w:type="pct"/>
            <w:tcBorders>
              <w:tl2br w:val="nil"/>
              <w:tr2bl w:val="nil"/>
            </w:tcBorders>
            <w:vAlign w:val="center"/>
          </w:tcPr>
          <w:p w14:paraId="4585CE9D">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0FA7CA10">
            <w:pPr>
              <w:widowControl/>
              <w:jc w:val="center"/>
              <w:textAlignment w:val="center"/>
              <w:rPr>
                <w:color w:val="auto"/>
                <w:kern w:val="0"/>
                <w:szCs w:val="21"/>
                <w:lang w:bidi="ar"/>
              </w:rPr>
            </w:pPr>
            <w:r>
              <w:rPr>
                <w:rFonts w:hint="eastAsia"/>
                <w:color w:val="auto"/>
                <w:szCs w:val="21"/>
                <w:lang w:val="en-US" w:eastAsia="zh-CN"/>
              </w:rPr>
              <w:t>20</w:t>
            </w:r>
          </w:p>
        </w:tc>
      </w:tr>
      <w:tr w14:paraId="4ED0D8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7F08F0F">
            <w:pPr>
              <w:jc w:val="center"/>
              <w:rPr>
                <w:color w:val="auto"/>
                <w:szCs w:val="21"/>
              </w:rPr>
            </w:pPr>
          </w:p>
        </w:tc>
        <w:tc>
          <w:tcPr>
            <w:tcW w:w="534" w:type="pct"/>
            <w:vMerge w:val="continue"/>
            <w:tcBorders>
              <w:tl2br w:val="nil"/>
              <w:tr2bl w:val="nil"/>
            </w:tcBorders>
            <w:vAlign w:val="center"/>
          </w:tcPr>
          <w:p w14:paraId="1255904E">
            <w:pPr>
              <w:jc w:val="center"/>
              <w:rPr>
                <w:color w:val="auto"/>
                <w:szCs w:val="21"/>
              </w:rPr>
            </w:pPr>
          </w:p>
        </w:tc>
        <w:tc>
          <w:tcPr>
            <w:tcW w:w="592" w:type="pct"/>
            <w:tcBorders>
              <w:tl2br w:val="nil"/>
              <w:tr2bl w:val="nil"/>
            </w:tcBorders>
            <w:vAlign w:val="center"/>
          </w:tcPr>
          <w:p w14:paraId="2B1CA9E9">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52337087">
            <w:pPr>
              <w:widowControl/>
              <w:jc w:val="center"/>
              <w:textAlignment w:val="center"/>
              <w:rPr>
                <w:color w:val="auto"/>
                <w:kern w:val="0"/>
                <w:szCs w:val="21"/>
                <w:lang w:bidi="ar"/>
              </w:rPr>
            </w:pPr>
            <w:r>
              <w:rPr>
                <w:rFonts w:hint="eastAsia"/>
                <w:color w:val="auto"/>
                <w:szCs w:val="21"/>
                <w:lang w:val="en-US" w:eastAsia="zh-CN"/>
              </w:rPr>
              <w:t>达标</w:t>
            </w:r>
          </w:p>
        </w:tc>
      </w:tr>
      <w:tr w14:paraId="00306B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22BC3B84">
            <w:pPr>
              <w:jc w:val="center"/>
              <w:rPr>
                <w:rFonts w:hint="eastAsia" w:eastAsia="宋体"/>
                <w:color w:val="auto"/>
                <w:szCs w:val="21"/>
                <w:lang w:val="en-US" w:eastAsia="zh-CN"/>
              </w:rPr>
            </w:pPr>
            <w:r>
              <w:rPr>
                <w:rFonts w:hint="eastAsia"/>
                <w:color w:val="auto"/>
                <w:szCs w:val="21"/>
                <w:lang w:val="en-US" w:eastAsia="zh-CN"/>
              </w:rPr>
              <w:t>氯化氢（mg/m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10CD6B08">
            <w:pPr>
              <w:jc w:val="center"/>
              <w:rPr>
                <w:color w:val="auto"/>
                <w:szCs w:val="21"/>
              </w:rPr>
            </w:pPr>
          </w:p>
        </w:tc>
        <w:tc>
          <w:tcPr>
            <w:tcW w:w="592" w:type="pct"/>
            <w:tcBorders>
              <w:tl2br w:val="nil"/>
              <w:tr2bl w:val="nil"/>
            </w:tcBorders>
            <w:vAlign w:val="center"/>
          </w:tcPr>
          <w:p w14:paraId="300AC82B">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74CF138D">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0.08</w:t>
            </w:r>
          </w:p>
        </w:tc>
        <w:tc>
          <w:tcPr>
            <w:tcW w:w="681" w:type="pct"/>
            <w:tcBorders>
              <w:tl2br w:val="nil"/>
              <w:tr2bl w:val="nil"/>
            </w:tcBorders>
            <w:vAlign w:val="center"/>
          </w:tcPr>
          <w:p w14:paraId="43E426E5">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738" w:type="pct"/>
            <w:tcBorders>
              <w:tl2br w:val="nil"/>
              <w:tr2bl w:val="nil"/>
            </w:tcBorders>
            <w:vAlign w:val="center"/>
          </w:tcPr>
          <w:p w14:paraId="442C677D">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c>
          <w:tcPr>
            <w:tcW w:w="978" w:type="pct"/>
            <w:tcBorders>
              <w:tl2br w:val="nil"/>
              <w:tr2bl w:val="nil"/>
            </w:tcBorders>
            <w:vAlign w:val="center"/>
          </w:tcPr>
          <w:p w14:paraId="64C30012">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0.15</w:t>
            </w:r>
          </w:p>
        </w:tc>
      </w:tr>
      <w:tr w14:paraId="107788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52289BB">
            <w:pPr>
              <w:jc w:val="center"/>
              <w:rPr>
                <w:color w:val="auto"/>
                <w:szCs w:val="21"/>
              </w:rPr>
            </w:pPr>
          </w:p>
        </w:tc>
        <w:tc>
          <w:tcPr>
            <w:tcW w:w="534" w:type="pct"/>
            <w:vMerge w:val="continue"/>
            <w:tcBorders>
              <w:tl2br w:val="nil"/>
              <w:tr2bl w:val="nil"/>
            </w:tcBorders>
            <w:vAlign w:val="center"/>
          </w:tcPr>
          <w:p w14:paraId="5FEF9378">
            <w:pPr>
              <w:jc w:val="center"/>
              <w:rPr>
                <w:color w:val="auto"/>
                <w:szCs w:val="21"/>
              </w:rPr>
            </w:pPr>
          </w:p>
        </w:tc>
        <w:tc>
          <w:tcPr>
            <w:tcW w:w="592" w:type="pct"/>
            <w:tcBorders>
              <w:tl2br w:val="nil"/>
              <w:tr2bl w:val="nil"/>
            </w:tcBorders>
            <w:vAlign w:val="center"/>
          </w:tcPr>
          <w:p w14:paraId="40151251">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51577D3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0.10</w:t>
            </w:r>
          </w:p>
        </w:tc>
        <w:tc>
          <w:tcPr>
            <w:tcW w:w="681" w:type="pct"/>
            <w:tcBorders>
              <w:tl2br w:val="nil"/>
              <w:tr2bl w:val="nil"/>
            </w:tcBorders>
            <w:vAlign w:val="center"/>
          </w:tcPr>
          <w:p w14:paraId="122B915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738" w:type="pct"/>
            <w:tcBorders>
              <w:tl2br w:val="nil"/>
              <w:tr2bl w:val="nil"/>
            </w:tcBorders>
            <w:vAlign w:val="center"/>
          </w:tcPr>
          <w:p w14:paraId="57AE00D6">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c>
          <w:tcPr>
            <w:tcW w:w="978" w:type="pct"/>
            <w:tcBorders>
              <w:tl2br w:val="nil"/>
              <w:tr2bl w:val="nil"/>
            </w:tcBorders>
            <w:vAlign w:val="center"/>
          </w:tcPr>
          <w:p w14:paraId="43F7D9A0">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r>
      <w:tr w14:paraId="5C4EC0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D31D9CC">
            <w:pPr>
              <w:jc w:val="center"/>
              <w:rPr>
                <w:color w:val="auto"/>
                <w:szCs w:val="21"/>
              </w:rPr>
            </w:pPr>
          </w:p>
        </w:tc>
        <w:tc>
          <w:tcPr>
            <w:tcW w:w="534" w:type="pct"/>
            <w:vMerge w:val="continue"/>
            <w:tcBorders>
              <w:tl2br w:val="nil"/>
              <w:tr2bl w:val="nil"/>
            </w:tcBorders>
            <w:vAlign w:val="center"/>
          </w:tcPr>
          <w:p w14:paraId="0A5CEA2B">
            <w:pPr>
              <w:jc w:val="center"/>
              <w:rPr>
                <w:color w:val="auto"/>
                <w:szCs w:val="21"/>
              </w:rPr>
            </w:pPr>
          </w:p>
        </w:tc>
        <w:tc>
          <w:tcPr>
            <w:tcW w:w="592" w:type="pct"/>
            <w:tcBorders>
              <w:tl2br w:val="nil"/>
              <w:tr2bl w:val="nil"/>
            </w:tcBorders>
            <w:vAlign w:val="center"/>
          </w:tcPr>
          <w:p w14:paraId="2272EC6C">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12709AD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0.08</w:t>
            </w:r>
          </w:p>
        </w:tc>
        <w:tc>
          <w:tcPr>
            <w:tcW w:w="681" w:type="pct"/>
            <w:tcBorders>
              <w:tl2br w:val="nil"/>
              <w:tr2bl w:val="nil"/>
            </w:tcBorders>
            <w:vAlign w:val="center"/>
          </w:tcPr>
          <w:p w14:paraId="10A8FC52">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c>
          <w:tcPr>
            <w:tcW w:w="738" w:type="pct"/>
            <w:tcBorders>
              <w:tl2br w:val="nil"/>
              <w:tr2bl w:val="nil"/>
            </w:tcBorders>
            <w:vAlign w:val="center"/>
          </w:tcPr>
          <w:p w14:paraId="45908FC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c>
          <w:tcPr>
            <w:tcW w:w="978" w:type="pct"/>
            <w:tcBorders>
              <w:tl2br w:val="nil"/>
              <w:tr2bl w:val="nil"/>
            </w:tcBorders>
            <w:vAlign w:val="center"/>
          </w:tcPr>
          <w:p w14:paraId="182E282C">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r>
      <w:tr w14:paraId="642D80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07675E6">
            <w:pPr>
              <w:jc w:val="center"/>
              <w:rPr>
                <w:color w:val="auto"/>
                <w:szCs w:val="21"/>
              </w:rPr>
            </w:pPr>
          </w:p>
        </w:tc>
        <w:tc>
          <w:tcPr>
            <w:tcW w:w="534" w:type="pct"/>
            <w:vMerge w:val="continue"/>
            <w:tcBorders>
              <w:tl2br w:val="nil"/>
              <w:tr2bl w:val="nil"/>
            </w:tcBorders>
            <w:vAlign w:val="center"/>
          </w:tcPr>
          <w:p w14:paraId="5AD70A98">
            <w:pPr>
              <w:jc w:val="center"/>
              <w:rPr>
                <w:color w:val="auto"/>
                <w:szCs w:val="21"/>
              </w:rPr>
            </w:pPr>
          </w:p>
        </w:tc>
        <w:tc>
          <w:tcPr>
            <w:tcW w:w="592" w:type="pct"/>
            <w:tcBorders>
              <w:tl2br w:val="nil"/>
              <w:tr2bl w:val="nil"/>
            </w:tcBorders>
            <w:vAlign w:val="center"/>
          </w:tcPr>
          <w:p w14:paraId="52181975">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6F5E5971">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0.10</w:t>
            </w:r>
          </w:p>
        </w:tc>
        <w:tc>
          <w:tcPr>
            <w:tcW w:w="681" w:type="pct"/>
            <w:tcBorders>
              <w:tl2br w:val="nil"/>
              <w:tr2bl w:val="nil"/>
            </w:tcBorders>
            <w:vAlign w:val="center"/>
          </w:tcPr>
          <w:p w14:paraId="3A9726F9">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c>
          <w:tcPr>
            <w:tcW w:w="738" w:type="pct"/>
            <w:tcBorders>
              <w:tl2br w:val="nil"/>
              <w:tr2bl w:val="nil"/>
            </w:tcBorders>
            <w:vAlign w:val="center"/>
          </w:tcPr>
          <w:p w14:paraId="339A1917">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c>
          <w:tcPr>
            <w:tcW w:w="978" w:type="pct"/>
            <w:tcBorders>
              <w:tl2br w:val="nil"/>
              <w:tr2bl w:val="nil"/>
            </w:tcBorders>
            <w:vAlign w:val="center"/>
          </w:tcPr>
          <w:p w14:paraId="50FFB7DE">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r>
      <w:tr w14:paraId="252ADD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DD6560E">
            <w:pPr>
              <w:jc w:val="center"/>
              <w:rPr>
                <w:color w:val="auto"/>
                <w:szCs w:val="21"/>
              </w:rPr>
            </w:pPr>
          </w:p>
        </w:tc>
        <w:tc>
          <w:tcPr>
            <w:tcW w:w="534" w:type="pct"/>
            <w:vMerge w:val="continue"/>
            <w:tcBorders>
              <w:tl2br w:val="nil"/>
              <w:tr2bl w:val="nil"/>
            </w:tcBorders>
            <w:vAlign w:val="center"/>
          </w:tcPr>
          <w:p w14:paraId="091D9923">
            <w:pPr>
              <w:jc w:val="center"/>
              <w:rPr>
                <w:color w:val="auto"/>
                <w:szCs w:val="21"/>
              </w:rPr>
            </w:pPr>
          </w:p>
        </w:tc>
        <w:tc>
          <w:tcPr>
            <w:tcW w:w="592" w:type="pct"/>
            <w:tcBorders>
              <w:tl2br w:val="nil"/>
              <w:tr2bl w:val="nil"/>
            </w:tcBorders>
            <w:vAlign w:val="center"/>
          </w:tcPr>
          <w:p w14:paraId="136882AE">
            <w:pPr>
              <w:widowControl/>
              <w:jc w:val="center"/>
              <w:textAlignment w:val="center"/>
              <w:rPr>
                <w:color w:val="auto"/>
                <w:kern w:val="0"/>
                <w:szCs w:val="21"/>
                <w:lang w:bidi="ar"/>
              </w:rPr>
            </w:pPr>
            <w:r>
              <w:rPr>
                <w:color w:val="auto"/>
                <w:kern w:val="0"/>
                <w:szCs w:val="21"/>
                <w:lang w:bidi="ar"/>
              </w:rPr>
              <w:t>平均值</w:t>
            </w:r>
          </w:p>
        </w:tc>
        <w:tc>
          <w:tcPr>
            <w:tcW w:w="696" w:type="pct"/>
            <w:tcBorders>
              <w:tl2br w:val="nil"/>
              <w:tr2bl w:val="nil"/>
            </w:tcBorders>
            <w:vAlign w:val="center"/>
          </w:tcPr>
          <w:p w14:paraId="166AE21A">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0.09</w:t>
            </w:r>
          </w:p>
        </w:tc>
        <w:tc>
          <w:tcPr>
            <w:tcW w:w="681" w:type="pct"/>
            <w:tcBorders>
              <w:tl2br w:val="nil"/>
              <w:tr2bl w:val="nil"/>
            </w:tcBorders>
            <w:vAlign w:val="center"/>
          </w:tcPr>
          <w:p w14:paraId="7E0E6EBA">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738" w:type="pct"/>
            <w:tcBorders>
              <w:tl2br w:val="nil"/>
              <w:tr2bl w:val="nil"/>
            </w:tcBorders>
            <w:vAlign w:val="center"/>
          </w:tcPr>
          <w:p w14:paraId="1167D11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978" w:type="pct"/>
            <w:tcBorders>
              <w:tl2br w:val="nil"/>
              <w:tr2bl w:val="nil"/>
            </w:tcBorders>
            <w:vAlign w:val="center"/>
          </w:tcPr>
          <w:p w14:paraId="4E9CA308">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r>
      <w:tr w14:paraId="354BE9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FCC06E7">
            <w:pPr>
              <w:jc w:val="center"/>
              <w:rPr>
                <w:color w:val="auto"/>
                <w:szCs w:val="21"/>
              </w:rPr>
            </w:pPr>
          </w:p>
        </w:tc>
        <w:tc>
          <w:tcPr>
            <w:tcW w:w="534" w:type="pct"/>
            <w:vMerge w:val="continue"/>
            <w:tcBorders>
              <w:tl2br w:val="nil"/>
              <w:tr2bl w:val="nil"/>
            </w:tcBorders>
            <w:vAlign w:val="center"/>
          </w:tcPr>
          <w:p w14:paraId="613FFC3F">
            <w:pPr>
              <w:jc w:val="center"/>
              <w:rPr>
                <w:color w:val="auto"/>
                <w:szCs w:val="21"/>
              </w:rPr>
            </w:pPr>
          </w:p>
        </w:tc>
        <w:tc>
          <w:tcPr>
            <w:tcW w:w="592" w:type="pct"/>
            <w:tcBorders>
              <w:tl2br w:val="nil"/>
              <w:tr2bl w:val="nil"/>
            </w:tcBorders>
            <w:vAlign w:val="center"/>
          </w:tcPr>
          <w:p w14:paraId="6E937B96">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6FC188B4">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0.2</w:t>
            </w:r>
          </w:p>
        </w:tc>
      </w:tr>
      <w:tr w14:paraId="7C1854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A38B284">
            <w:pPr>
              <w:jc w:val="center"/>
              <w:rPr>
                <w:color w:val="auto"/>
                <w:szCs w:val="21"/>
              </w:rPr>
            </w:pPr>
          </w:p>
        </w:tc>
        <w:tc>
          <w:tcPr>
            <w:tcW w:w="534" w:type="pct"/>
            <w:vMerge w:val="continue"/>
            <w:tcBorders>
              <w:tl2br w:val="nil"/>
              <w:tr2bl w:val="nil"/>
            </w:tcBorders>
            <w:vAlign w:val="center"/>
          </w:tcPr>
          <w:p w14:paraId="07ED836D">
            <w:pPr>
              <w:jc w:val="center"/>
              <w:rPr>
                <w:color w:val="auto"/>
                <w:szCs w:val="21"/>
              </w:rPr>
            </w:pPr>
          </w:p>
        </w:tc>
        <w:tc>
          <w:tcPr>
            <w:tcW w:w="592" w:type="pct"/>
            <w:tcBorders>
              <w:tl2br w:val="nil"/>
              <w:tr2bl w:val="nil"/>
            </w:tcBorders>
            <w:vAlign w:val="center"/>
          </w:tcPr>
          <w:p w14:paraId="0931D34E">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3A1D9CAA">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4E6784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3E56412E">
            <w:pPr>
              <w:jc w:val="center"/>
              <w:rPr>
                <w:color w:val="auto"/>
                <w:szCs w:val="21"/>
              </w:rPr>
            </w:pPr>
            <w:r>
              <w:rPr>
                <w:rFonts w:hint="eastAsia"/>
                <w:color w:val="auto"/>
                <w:kern w:val="0"/>
                <w:szCs w:val="21"/>
                <w:lang w:val="en-US" w:eastAsia="zh-CN" w:bidi="ar"/>
              </w:rPr>
              <w:t>锡及其化合物</w:t>
            </w:r>
            <w:r>
              <w:rPr>
                <w:color w:val="auto"/>
                <w:kern w:val="0"/>
                <w:szCs w:val="21"/>
                <w:lang w:bidi="ar"/>
              </w:rPr>
              <w:br w:type="textWrapping"/>
            </w:r>
            <w:r>
              <w:rPr>
                <w:rFonts w:hint="eastAsia"/>
                <w:color w:val="auto"/>
                <w:kern w:val="0"/>
                <w:szCs w:val="21"/>
                <w:lang w:eastAsia="zh-CN" w:bidi="ar"/>
              </w:rPr>
              <w:t>（</w:t>
            </w:r>
            <w:r>
              <w:rPr>
                <w:color w:val="auto"/>
                <w:kern w:val="0"/>
                <w:szCs w:val="21"/>
                <w:lang w:bidi="ar"/>
              </w:rPr>
              <w:t>μg/m</w:t>
            </w:r>
            <w:r>
              <w:rPr>
                <w:rFonts w:hint="eastAsia"/>
                <w:color w:val="auto"/>
                <w:kern w:val="0"/>
                <w:szCs w:val="21"/>
                <w:vertAlign w:val="superscript"/>
                <w:lang w:val="en-US" w:eastAsia="zh-CN" w:bidi="ar"/>
              </w:rPr>
              <w:t>3</w:t>
            </w:r>
            <w:r>
              <w:rPr>
                <w:rFonts w:hint="eastAsia"/>
                <w:color w:val="auto"/>
                <w:kern w:val="0"/>
                <w:szCs w:val="21"/>
                <w:lang w:val="en-US" w:eastAsia="zh-CN" w:bidi="ar"/>
              </w:rPr>
              <w:t>）</w:t>
            </w:r>
          </w:p>
        </w:tc>
        <w:tc>
          <w:tcPr>
            <w:tcW w:w="534" w:type="pct"/>
            <w:vMerge w:val="continue"/>
            <w:tcBorders>
              <w:tl2br w:val="nil"/>
              <w:tr2bl w:val="nil"/>
            </w:tcBorders>
            <w:vAlign w:val="center"/>
          </w:tcPr>
          <w:p w14:paraId="2952CCEA">
            <w:pPr>
              <w:jc w:val="center"/>
              <w:rPr>
                <w:color w:val="auto"/>
                <w:szCs w:val="21"/>
              </w:rPr>
            </w:pPr>
          </w:p>
        </w:tc>
        <w:tc>
          <w:tcPr>
            <w:tcW w:w="592" w:type="pct"/>
            <w:tcBorders>
              <w:tl2br w:val="nil"/>
              <w:tr2bl w:val="nil"/>
            </w:tcBorders>
            <w:vAlign w:val="center"/>
          </w:tcPr>
          <w:p w14:paraId="04E16EC2">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34C8AA5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ND</w:t>
            </w:r>
          </w:p>
        </w:tc>
        <w:tc>
          <w:tcPr>
            <w:tcW w:w="681" w:type="pct"/>
            <w:tcBorders>
              <w:tl2br w:val="nil"/>
              <w:tr2bl w:val="nil"/>
            </w:tcBorders>
            <w:vAlign w:val="center"/>
          </w:tcPr>
          <w:p w14:paraId="5B602A1C">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5F2FFAA6">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50DA3E60">
            <w:pPr>
              <w:widowControl/>
              <w:jc w:val="center"/>
              <w:textAlignment w:val="center"/>
              <w:rPr>
                <w:color w:val="auto"/>
                <w:kern w:val="0"/>
                <w:szCs w:val="21"/>
                <w:lang w:bidi="ar"/>
              </w:rPr>
            </w:pPr>
            <w:r>
              <w:rPr>
                <w:rFonts w:hint="eastAsia"/>
                <w:color w:val="auto"/>
                <w:kern w:val="0"/>
                <w:szCs w:val="21"/>
                <w:lang w:val="en-US" w:eastAsia="zh-CN" w:bidi="ar"/>
              </w:rPr>
              <w:t>ND</w:t>
            </w:r>
          </w:p>
        </w:tc>
      </w:tr>
      <w:tr w14:paraId="53E37C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AE0BB09">
            <w:pPr>
              <w:jc w:val="center"/>
              <w:rPr>
                <w:color w:val="auto"/>
                <w:szCs w:val="21"/>
              </w:rPr>
            </w:pPr>
          </w:p>
        </w:tc>
        <w:tc>
          <w:tcPr>
            <w:tcW w:w="534" w:type="pct"/>
            <w:vMerge w:val="continue"/>
            <w:tcBorders>
              <w:tl2br w:val="nil"/>
              <w:tr2bl w:val="nil"/>
            </w:tcBorders>
            <w:vAlign w:val="center"/>
          </w:tcPr>
          <w:p w14:paraId="416BB711">
            <w:pPr>
              <w:jc w:val="center"/>
              <w:rPr>
                <w:color w:val="auto"/>
                <w:szCs w:val="21"/>
              </w:rPr>
            </w:pPr>
          </w:p>
        </w:tc>
        <w:tc>
          <w:tcPr>
            <w:tcW w:w="592" w:type="pct"/>
            <w:tcBorders>
              <w:tl2br w:val="nil"/>
              <w:tr2bl w:val="nil"/>
            </w:tcBorders>
            <w:vAlign w:val="center"/>
          </w:tcPr>
          <w:p w14:paraId="4B02D63C">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1E54DE64">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959796C">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C358C62">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7D890269">
            <w:pPr>
              <w:widowControl/>
              <w:jc w:val="center"/>
              <w:textAlignment w:val="center"/>
              <w:rPr>
                <w:color w:val="auto"/>
                <w:kern w:val="0"/>
                <w:szCs w:val="21"/>
                <w:lang w:bidi="ar"/>
              </w:rPr>
            </w:pPr>
            <w:r>
              <w:rPr>
                <w:rFonts w:hint="eastAsia"/>
                <w:color w:val="auto"/>
                <w:kern w:val="0"/>
                <w:szCs w:val="21"/>
                <w:lang w:val="en-US" w:eastAsia="zh-CN" w:bidi="ar"/>
              </w:rPr>
              <w:t>ND</w:t>
            </w:r>
          </w:p>
        </w:tc>
      </w:tr>
      <w:tr w14:paraId="1BF047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0C4787E">
            <w:pPr>
              <w:jc w:val="center"/>
              <w:rPr>
                <w:color w:val="auto"/>
                <w:szCs w:val="21"/>
              </w:rPr>
            </w:pPr>
          </w:p>
        </w:tc>
        <w:tc>
          <w:tcPr>
            <w:tcW w:w="534" w:type="pct"/>
            <w:vMerge w:val="continue"/>
            <w:tcBorders>
              <w:tl2br w:val="nil"/>
              <w:tr2bl w:val="nil"/>
            </w:tcBorders>
            <w:vAlign w:val="center"/>
          </w:tcPr>
          <w:p w14:paraId="72CF8E30">
            <w:pPr>
              <w:jc w:val="center"/>
              <w:rPr>
                <w:color w:val="auto"/>
                <w:szCs w:val="21"/>
              </w:rPr>
            </w:pPr>
          </w:p>
        </w:tc>
        <w:tc>
          <w:tcPr>
            <w:tcW w:w="592" w:type="pct"/>
            <w:tcBorders>
              <w:tl2br w:val="nil"/>
              <w:tr2bl w:val="nil"/>
            </w:tcBorders>
            <w:vAlign w:val="center"/>
          </w:tcPr>
          <w:p w14:paraId="1E8346D9">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15B88ECF">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00D3FAD">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B8B153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36D5D3A">
            <w:pPr>
              <w:widowControl/>
              <w:jc w:val="center"/>
              <w:textAlignment w:val="center"/>
              <w:rPr>
                <w:color w:val="auto"/>
                <w:kern w:val="0"/>
                <w:szCs w:val="21"/>
                <w:lang w:bidi="ar"/>
              </w:rPr>
            </w:pPr>
            <w:r>
              <w:rPr>
                <w:rFonts w:hint="eastAsia"/>
                <w:color w:val="auto"/>
                <w:kern w:val="0"/>
                <w:szCs w:val="21"/>
                <w:lang w:val="en-US" w:eastAsia="zh-CN" w:bidi="ar"/>
              </w:rPr>
              <w:t>ND</w:t>
            </w:r>
          </w:p>
        </w:tc>
      </w:tr>
      <w:tr w14:paraId="6CCB62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58BB8CD">
            <w:pPr>
              <w:jc w:val="center"/>
              <w:rPr>
                <w:color w:val="auto"/>
                <w:szCs w:val="21"/>
              </w:rPr>
            </w:pPr>
          </w:p>
        </w:tc>
        <w:tc>
          <w:tcPr>
            <w:tcW w:w="534" w:type="pct"/>
            <w:vMerge w:val="continue"/>
            <w:tcBorders>
              <w:tl2br w:val="nil"/>
              <w:tr2bl w:val="nil"/>
            </w:tcBorders>
            <w:vAlign w:val="center"/>
          </w:tcPr>
          <w:p w14:paraId="6B7007FA">
            <w:pPr>
              <w:jc w:val="center"/>
              <w:rPr>
                <w:color w:val="auto"/>
                <w:szCs w:val="21"/>
              </w:rPr>
            </w:pPr>
          </w:p>
        </w:tc>
        <w:tc>
          <w:tcPr>
            <w:tcW w:w="592" w:type="pct"/>
            <w:tcBorders>
              <w:tl2br w:val="nil"/>
              <w:tr2bl w:val="nil"/>
            </w:tcBorders>
            <w:vAlign w:val="center"/>
          </w:tcPr>
          <w:p w14:paraId="73203913">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70146C58">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4660C22F">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C6BC65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06D5C4F2">
            <w:pPr>
              <w:widowControl/>
              <w:jc w:val="center"/>
              <w:textAlignment w:val="center"/>
              <w:rPr>
                <w:color w:val="auto"/>
                <w:kern w:val="0"/>
                <w:szCs w:val="21"/>
                <w:lang w:bidi="ar"/>
              </w:rPr>
            </w:pPr>
            <w:r>
              <w:rPr>
                <w:rFonts w:hint="eastAsia"/>
                <w:color w:val="auto"/>
                <w:kern w:val="0"/>
                <w:szCs w:val="21"/>
                <w:lang w:val="en-US" w:eastAsia="zh-CN" w:bidi="ar"/>
              </w:rPr>
              <w:t>ND</w:t>
            </w:r>
          </w:p>
        </w:tc>
      </w:tr>
      <w:tr w14:paraId="621426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0CF60B2">
            <w:pPr>
              <w:jc w:val="center"/>
              <w:rPr>
                <w:color w:val="auto"/>
                <w:szCs w:val="21"/>
              </w:rPr>
            </w:pPr>
          </w:p>
        </w:tc>
        <w:tc>
          <w:tcPr>
            <w:tcW w:w="534" w:type="pct"/>
            <w:vMerge w:val="continue"/>
            <w:tcBorders>
              <w:tl2br w:val="nil"/>
              <w:tr2bl w:val="nil"/>
            </w:tcBorders>
            <w:vAlign w:val="center"/>
          </w:tcPr>
          <w:p w14:paraId="2381C863">
            <w:pPr>
              <w:jc w:val="center"/>
              <w:rPr>
                <w:color w:val="auto"/>
                <w:szCs w:val="21"/>
              </w:rPr>
            </w:pPr>
          </w:p>
        </w:tc>
        <w:tc>
          <w:tcPr>
            <w:tcW w:w="592" w:type="pct"/>
            <w:tcBorders>
              <w:tl2br w:val="nil"/>
              <w:tr2bl w:val="nil"/>
            </w:tcBorders>
            <w:vAlign w:val="center"/>
          </w:tcPr>
          <w:p w14:paraId="3C177995">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266411BD">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240</w:t>
            </w:r>
          </w:p>
        </w:tc>
      </w:tr>
      <w:tr w14:paraId="70FBFC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8925AC1">
            <w:pPr>
              <w:jc w:val="center"/>
              <w:rPr>
                <w:color w:val="auto"/>
                <w:szCs w:val="21"/>
              </w:rPr>
            </w:pPr>
          </w:p>
        </w:tc>
        <w:tc>
          <w:tcPr>
            <w:tcW w:w="534" w:type="pct"/>
            <w:vMerge w:val="continue"/>
            <w:tcBorders>
              <w:tl2br w:val="nil"/>
              <w:tr2bl w:val="nil"/>
            </w:tcBorders>
            <w:vAlign w:val="center"/>
          </w:tcPr>
          <w:p w14:paraId="6EFE8ADB">
            <w:pPr>
              <w:jc w:val="center"/>
              <w:rPr>
                <w:color w:val="auto"/>
                <w:szCs w:val="21"/>
              </w:rPr>
            </w:pPr>
          </w:p>
        </w:tc>
        <w:tc>
          <w:tcPr>
            <w:tcW w:w="592" w:type="pct"/>
            <w:tcBorders>
              <w:tl2br w:val="nil"/>
              <w:tr2bl w:val="nil"/>
            </w:tcBorders>
            <w:vAlign w:val="center"/>
          </w:tcPr>
          <w:p w14:paraId="5A59A6FF">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05F22288">
            <w:pPr>
              <w:widowControl/>
              <w:jc w:val="center"/>
              <w:textAlignment w:val="center"/>
              <w:rPr>
                <w:color w:val="auto"/>
                <w:kern w:val="0"/>
                <w:szCs w:val="21"/>
                <w:lang w:bidi="ar"/>
              </w:rPr>
            </w:pPr>
            <w:r>
              <w:rPr>
                <w:rFonts w:hint="eastAsia"/>
                <w:color w:val="auto"/>
                <w:kern w:val="0"/>
                <w:szCs w:val="21"/>
                <w:lang w:val="en-US" w:eastAsia="zh-CN" w:bidi="ar"/>
              </w:rPr>
              <w:t>达标</w:t>
            </w:r>
          </w:p>
        </w:tc>
      </w:tr>
      <w:tr w14:paraId="4455DE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49AC4E2C">
            <w:pPr>
              <w:jc w:val="center"/>
              <w:rPr>
                <w:rFonts w:hint="default" w:eastAsia="宋体"/>
                <w:color w:val="auto"/>
                <w:szCs w:val="21"/>
                <w:lang w:val="en-US" w:eastAsia="zh-CN"/>
              </w:rPr>
            </w:pPr>
            <w:r>
              <w:rPr>
                <w:rFonts w:hint="eastAsia"/>
                <w:color w:val="auto"/>
                <w:szCs w:val="21"/>
                <w:lang w:val="en-US" w:eastAsia="zh-CN"/>
              </w:rPr>
              <w:t>砷及其化合物（mg/m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25C332AC">
            <w:pPr>
              <w:jc w:val="center"/>
              <w:rPr>
                <w:color w:val="auto"/>
                <w:szCs w:val="21"/>
              </w:rPr>
            </w:pPr>
          </w:p>
        </w:tc>
        <w:tc>
          <w:tcPr>
            <w:tcW w:w="592" w:type="pct"/>
            <w:tcBorders>
              <w:tl2br w:val="nil"/>
              <w:tr2bl w:val="nil"/>
            </w:tcBorders>
            <w:vAlign w:val="center"/>
          </w:tcPr>
          <w:p w14:paraId="47C15E46">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01C909EE">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26BD607F">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2D814DBE">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BEE68D2">
            <w:pPr>
              <w:widowControl/>
              <w:jc w:val="center"/>
              <w:textAlignment w:val="center"/>
              <w:rPr>
                <w:color w:val="auto"/>
                <w:kern w:val="0"/>
                <w:szCs w:val="21"/>
                <w:lang w:bidi="ar"/>
              </w:rPr>
            </w:pPr>
            <w:r>
              <w:rPr>
                <w:rFonts w:hint="eastAsia"/>
                <w:color w:val="auto"/>
                <w:kern w:val="0"/>
                <w:szCs w:val="21"/>
                <w:lang w:val="en-US" w:eastAsia="zh-CN" w:bidi="ar"/>
              </w:rPr>
              <w:t>ND</w:t>
            </w:r>
          </w:p>
        </w:tc>
      </w:tr>
      <w:tr w14:paraId="21ED46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162A4026">
            <w:pPr>
              <w:jc w:val="center"/>
              <w:rPr>
                <w:color w:val="auto"/>
                <w:szCs w:val="21"/>
              </w:rPr>
            </w:pPr>
          </w:p>
        </w:tc>
        <w:tc>
          <w:tcPr>
            <w:tcW w:w="534" w:type="pct"/>
            <w:vMerge w:val="continue"/>
            <w:tcBorders>
              <w:tl2br w:val="nil"/>
              <w:tr2bl w:val="nil"/>
            </w:tcBorders>
            <w:vAlign w:val="center"/>
          </w:tcPr>
          <w:p w14:paraId="5AA33ECF">
            <w:pPr>
              <w:jc w:val="center"/>
              <w:rPr>
                <w:color w:val="auto"/>
                <w:szCs w:val="21"/>
              </w:rPr>
            </w:pPr>
          </w:p>
        </w:tc>
        <w:tc>
          <w:tcPr>
            <w:tcW w:w="592" w:type="pct"/>
            <w:tcBorders>
              <w:tl2br w:val="nil"/>
              <w:tr2bl w:val="nil"/>
            </w:tcBorders>
            <w:vAlign w:val="center"/>
          </w:tcPr>
          <w:p w14:paraId="289A02F8">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4F370499">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9027F3F">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A874925">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2DFF1AF8">
            <w:pPr>
              <w:widowControl/>
              <w:jc w:val="center"/>
              <w:textAlignment w:val="center"/>
              <w:rPr>
                <w:color w:val="auto"/>
                <w:kern w:val="0"/>
                <w:szCs w:val="21"/>
                <w:lang w:bidi="ar"/>
              </w:rPr>
            </w:pPr>
            <w:r>
              <w:rPr>
                <w:rFonts w:hint="eastAsia"/>
                <w:color w:val="auto"/>
                <w:kern w:val="0"/>
                <w:szCs w:val="21"/>
                <w:lang w:val="en-US" w:eastAsia="zh-CN" w:bidi="ar"/>
              </w:rPr>
              <w:t>ND</w:t>
            </w:r>
          </w:p>
        </w:tc>
      </w:tr>
      <w:tr w14:paraId="4903DD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9032194">
            <w:pPr>
              <w:jc w:val="center"/>
              <w:rPr>
                <w:color w:val="auto"/>
                <w:szCs w:val="21"/>
              </w:rPr>
            </w:pPr>
          </w:p>
        </w:tc>
        <w:tc>
          <w:tcPr>
            <w:tcW w:w="534" w:type="pct"/>
            <w:vMerge w:val="continue"/>
            <w:tcBorders>
              <w:tl2br w:val="nil"/>
              <w:tr2bl w:val="nil"/>
            </w:tcBorders>
            <w:vAlign w:val="center"/>
          </w:tcPr>
          <w:p w14:paraId="028C9D04">
            <w:pPr>
              <w:jc w:val="center"/>
              <w:rPr>
                <w:color w:val="auto"/>
                <w:szCs w:val="21"/>
              </w:rPr>
            </w:pPr>
          </w:p>
        </w:tc>
        <w:tc>
          <w:tcPr>
            <w:tcW w:w="592" w:type="pct"/>
            <w:tcBorders>
              <w:tl2br w:val="nil"/>
              <w:tr2bl w:val="nil"/>
            </w:tcBorders>
            <w:vAlign w:val="center"/>
          </w:tcPr>
          <w:p w14:paraId="74FC7E14">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6FE985B1">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303E4C2">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17C598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2E67EC45">
            <w:pPr>
              <w:widowControl/>
              <w:jc w:val="center"/>
              <w:textAlignment w:val="center"/>
              <w:rPr>
                <w:color w:val="auto"/>
                <w:kern w:val="0"/>
                <w:szCs w:val="21"/>
                <w:lang w:bidi="ar"/>
              </w:rPr>
            </w:pPr>
            <w:r>
              <w:rPr>
                <w:rFonts w:hint="eastAsia"/>
                <w:color w:val="auto"/>
                <w:kern w:val="0"/>
                <w:szCs w:val="21"/>
                <w:lang w:val="en-US" w:eastAsia="zh-CN" w:bidi="ar"/>
              </w:rPr>
              <w:t>ND</w:t>
            </w:r>
          </w:p>
        </w:tc>
      </w:tr>
      <w:tr w14:paraId="575295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E76893C">
            <w:pPr>
              <w:jc w:val="center"/>
              <w:rPr>
                <w:color w:val="auto"/>
                <w:szCs w:val="21"/>
              </w:rPr>
            </w:pPr>
          </w:p>
        </w:tc>
        <w:tc>
          <w:tcPr>
            <w:tcW w:w="534" w:type="pct"/>
            <w:vMerge w:val="continue"/>
            <w:tcBorders>
              <w:tl2br w:val="nil"/>
              <w:tr2bl w:val="nil"/>
            </w:tcBorders>
            <w:vAlign w:val="center"/>
          </w:tcPr>
          <w:p w14:paraId="02990908">
            <w:pPr>
              <w:jc w:val="center"/>
              <w:rPr>
                <w:color w:val="auto"/>
                <w:szCs w:val="21"/>
              </w:rPr>
            </w:pPr>
          </w:p>
        </w:tc>
        <w:tc>
          <w:tcPr>
            <w:tcW w:w="592" w:type="pct"/>
            <w:tcBorders>
              <w:tl2br w:val="nil"/>
              <w:tr2bl w:val="nil"/>
            </w:tcBorders>
            <w:vAlign w:val="center"/>
          </w:tcPr>
          <w:p w14:paraId="1B4F3C9D">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shd w:val="clear" w:color="auto" w:fill="auto"/>
            <w:vAlign w:val="center"/>
          </w:tcPr>
          <w:p w14:paraId="0BB76B5A">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c>
          <w:tcPr>
            <w:tcW w:w="681" w:type="pct"/>
            <w:tcBorders>
              <w:tl2br w:val="nil"/>
              <w:tr2bl w:val="nil"/>
            </w:tcBorders>
            <w:shd w:val="clear" w:color="auto" w:fill="auto"/>
            <w:vAlign w:val="center"/>
          </w:tcPr>
          <w:p w14:paraId="0C9E94E0">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c>
          <w:tcPr>
            <w:tcW w:w="738" w:type="pct"/>
            <w:tcBorders>
              <w:tl2br w:val="nil"/>
              <w:tr2bl w:val="nil"/>
            </w:tcBorders>
            <w:shd w:val="clear" w:color="auto" w:fill="auto"/>
            <w:vAlign w:val="center"/>
          </w:tcPr>
          <w:p w14:paraId="376A420B">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c>
          <w:tcPr>
            <w:tcW w:w="978" w:type="pct"/>
            <w:tcBorders>
              <w:tl2br w:val="nil"/>
              <w:tr2bl w:val="nil"/>
            </w:tcBorders>
            <w:shd w:val="clear" w:color="auto" w:fill="auto"/>
            <w:vAlign w:val="center"/>
          </w:tcPr>
          <w:p w14:paraId="1470098B">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r>
      <w:tr w14:paraId="253ECE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D8EC428">
            <w:pPr>
              <w:jc w:val="center"/>
              <w:rPr>
                <w:color w:val="auto"/>
                <w:szCs w:val="21"/>
              </w:rPr>
            </w:pPr>
          </w:p>
        </w:tc>
        <w:tc>
          <w:tcPr>
            <w:tcW w:w="534" w:type="pct"/>
            <w:vMerge w:val="continue"/>
            <w:tcBorders>
              <w:tl2br w:val="nil"/>
              <w:tr2bl w:val="nil"/>
            </w:tcBorders>
            <w:vAlign w:val="center"/>
          </w:tcPr>
          <w:p w14:paraId="125C6D18">
            <w:pPr>
              <w:jc w:val="center"/>
              <w:rPr>
                <w:color w:val="auto"/>
                <w:szCs w:val="21"/>
              </w:rPr>
            </w:pPr>
          </w:p>
        </w:tc>
        <w:tc>
          <w:tcPr>
            <w:tcW w:w="592" w:type="pct"/>
            <w:tcBorders>
              <w:tl2br w:val="nil"/>
              <w:tr2bl w:val="nil"/>
            </w:tcBorders>
            <w:vAlign w:val="center"/>
          </w:tcPr>
          <w:p w14:paraId="30E53A58">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4D3002C7">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0.01</w:t>
            </w:r>
          </w:p>
        </w:tc>
      </w:tr>
      <w:tr w14:paraId="13020D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6C4409C">
            <w:pPr>
              <w:jc w:val="center"/>
              <w:rPr>
                <w:color w:val="auto"/>
                <w:szCs w:val="21"/>
              </w:rPr>
            </w:pPr>
          </w:p>
        </w:tc>
        <w:tc>
          <w:tcPr>
            <w:tcW w:w="534" w:type="pct"/>
            <w:vMerge w:val="continue"/>
            <w:tcBorders>
              <w:tl2br w:val="nil"/>
              <w:tr2bl w:val="nil"/>
            </w:tcBorders>
            <w:vAlign w:val="center"/>
          </w:tcPr>
          <w:p w14:paraId="7F7077C4">
            <w:pPr>
              <w:jc w:val="center"/>
              <w:rPr>
                <w:color w:val="auto"/>
                <w:szCs w:val="21"/>
              </w:rPr>
            </w:pPr>
          </w:p>
        </w:tc>
        <w:tc>
          <w:tcPr>
            <w:tcW w:w="592" w:type="pct"/>
            <w:tcBorders>
              <w:tl2br w:val="nil"/>
              <w:tr2bl w:val="nil"/>
            </w:tcBorders>
            <w:vAlign w:val="center"/>
          </w:tcPr>
          <w:p w14:paraId="1787F6A3">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041A2D9C">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7257EB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098236FF">
            <w:pPr>
              <w:jc w:val="center"/>
              <w:rPr>
                <w:color w:val="auto"/>
                <w:szCs w:val="21"/>
              </w:rPr>
            </w:pPr>
            <w:r>
              <w:rPr>
                <w:rFonts w:hint="eastAsia"/>
                <w:color w:val="auto"/>
                <w:szCs w:val="21"/>
                <w:lang w:val="en-US" w:eastAsia="zh-CN"/>
              </w:rPr>
              <w:t>镉及其化合物（mg/m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5602BD03">
            <w:pPr>
              <w:jc w:val="center"/>
              <w:rPr>
                <w:color w:val="auto"/>
                <w:szCs w:val="21"/>
              </w:rPr>
            </w:pPr>
          </w:p>
        </w:tc>
        <w:tc>
          <w:tcPr>
            <w:tcW w:w="592" w:type="pct"/>
            <w:tcBorders>
              <w:tl2br w:val="nil"/>
              <w:tr2bl w:val="nil"/>
            </w:tcBorders>
            <w:vAlign w:val="center"/>
          </w:tcPr>
          <w:p w14:paraId="67243C81">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781C1997">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8652BDB">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6A80FB2">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053E7DC2">
            <w:pPr>
              <w:widowControl/>
              <w:jc w:val="center"/>
              <w:textAlignment w:val="center"/>
              <w:rPr>
                <w:color w:val="auto"/>
                <w:kern w:val="0"/>
                <w:szCs w:val="21"/>
                <w:lang w:bidi="ar"/>
              </w:rPr>
            </w:pPr>
            <w:r>
              <w:rPr>
                <w:rFonts w:hint="eastAsia"/>
                <w:color w:val="auto"/>
                <w:kern w:val="0"/>
                <w:szCs w:val="21"/>
                <w:lang w:val="en-US" w:eastAsia="zh-CN" w:bidi="ar"/>
              </w:rPr>
              <w:t>ND</w:t>
            </w:r>
          </w:p>
        </w:tc>
      </w:tr>
      <w:tr w14:paraId="77C5C1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6D17E2C">
            <w:pPr>
              <w:jc w:val="center"/>
              <w:rPr>
                <w:color w:val="auto"/>
                <w:szCs w:val="21"/>
              </w:rPr>
            </w:pPr>
          </w:p>
        </w:tc>
        <w:tc>
          <w:tcPr>
            <w:tcW w:w="534" w:type="pct"/>
            <w:vMerge w:val="continue"/>
            <w:tcBorders>
              <w:tl2br w:val="nil"/>
              <w:tr2bl w:val="nil"/>
            </w:tcBorders>
            <w:vAlign w:val="center"/>
          </w:tcPr>
          <w:p w14:paraId="1B96F321">
            <w:pPr>
              <w:jc w:val="center"/>
              <w:rPr>
                <w:color w:val="auto"/>
                <w:szCs w:val="21"/>
              </w:rPr>
            </w:pPr>
          </w:p>
        </w:tc>
        <w:tc>
          <w:tcPr>
            <w:tcW w:w="592" w:type="pct"/>
            <w:tcBorders>
              <w:tl2br w:val="nil"/>
              <w:tr2bl w:val="nil"/>
            </w:tcBorders>
            <w:vAlign w:val="center"/>
          </w:tcPr>
          <w:p w14:paraId="2A67CCC5">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5E51E375">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3FF7FEC0">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9005899">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552A2DB">
            <w:pPr>
              <w:widowControl/>
              <w:jc w:val="center"/>
              <w:textAlignment w:val="center"/>
              <w:rPr>
                <w:color w:val="auto"/>
                <w:kern w:val="0"/>
                <w:szCs w:val="21"/>
                <w:lang w:bidi="ar"/>
              </w:rPr>
            </w:pPr>
            <w:r>
              <w:rPr>
                <w:rFonts w:hint="eastAsia"/>
                <w:color w:val="auto"/>
                <w:kern w:val="0"/>
                <w:szCs w:val="21"/>
                <w:lang w:val="en-US" w:eastAsia="zh-CN" w:bidi="ar"/>
              </w:rPr>
              <w:t>ND</w:t>
            </w:r>
          </w:p>
        </w:tc>
      </w:tr>
      <w:tr w14:paraId="749D0A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0E4C9A2">
            <w:pPr>
              <w:jc w:val="center"/>
              <w:rPr>
                <w:color w:val="auto"/>
                <w:szCs w:val="21"/>
              </w:rPr>
            </w:pPr>
          </w:p>
        </w:tc>
        <w:tc>
          <w:tcPr>
            <w:tcW w:w="534" w:type="pct"/>
            <w:vMerge w:val="continue"/>
            <w:tcBorders>
              <w:tl2br w:val="nil"/>
              <w:tr2bl w:val="nil"/>
            </w:tcBorders>
            <w:vAlign w:val="center"/>
          </w:tcPr>
          <w:p w14:paraId="705A7DD8">
            <w:pPr>
              <w:jc w:val="center"/>
              <w:rPr>
                <w:color w:val="auto"/>
                <w:szCs w:val="21"/>
              </w:rPr>
            </w:pPr>
          </w:p>
        </w:tc>
        <w:tc>
          <w:tcPr>
            <w:tcW w:w="592" w:type="pct"/>
            <w:tcBorders>
              <w:tl2br w:val="nil"/>
              <w:tr2bl w:val="nil"/>
            </w:tcBorders>
            <w:vAlign w:val="center"/>
          </w:tcPr>
          <w:p w14:paraId="3C399444">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34191480">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6A756C6">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C0EAEB4">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0BA1B49">
            <w:pPr>
              <w:widowControl/>
              <w:jc w:val="center"/>
              <w:textAlignment w:val="center"/>
              <w:rPr>
                <w:color w:val="auto"/>
                <w:kern w:val="0"/>
                <w:szCs w:val="21"/>
                <w:lang w:bidi="ar"/>
              </w:rPr>
            </w:pPr>
            <w:r>
              <w:rPr>
                <w:rFonts w:hint="eastAsia"/>
                <w:color w:val="auto"/>
                <w:kern w:val="0"/>
                <w:szCs w:val="21"/>
                <w:lang w:val="en-US" w:eastAsia="zh-CN" w:bidi="ar"/>
              </w:rPr>
              <w:t>ND</w:t>
            </w:r>
          </w:p>
        </w:tc>
      </w:tr>
      <w:tr w14:paraId="78AC29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1D4A31D1">
            <w:pPr>
              <w:jc w:val="center"/>
              <w:rPr>
                <w:color w:val="auto"/>
                <w:szCs w:val="21"/>
              </w:rPr>
            </w:pPr>
          </w:p>
        </w:tc>
        <w:tc>
          <w:tcPr>
            <w:tcW w:w="534" w:type="pct"/>
            <w:vMerge w:val="continue"/>
            <w:tcBorders>
              <w:tl2br w:val="nil"/>
              <w:tr2bl w:val="nil"/>
            </w:tcBorders>
            <w:vAlign w:val="center"/>
          </w:tcPr>
          <w:p w14:paraId="5037FD37">
            <w:pPr>
              <w:jc w:val="center"/>
              <w:rPr>
                <w:color w:val="auto"/>
                <w:szCs w:val="21"/>
              </w:rPr>
            </w:pPr>
          </w:p>
        </w:tc>
        <w:tc>
          <w:tcPr>
            <w:tcW w:w="592" w:type="pct"/>
            <w:tcBorders>
              <w:tl2br w:val="nil"/>
              <w:tr2bl w:val="nil"/>
            </w:tcBorders>
            <w:vAlign w:val="center"/>
          </w:tcPr>
          <w:p w14:paraId="0A6A4954">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77EB7286">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31F19378">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BAE2B47">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5258A60E">
            <w:pPr>
              <w:widowControl/>
              <w:jc w:val="center"/>
              <w:textAlignment w:val="center"/>
              <w:rPr>
                <w:color w:val="auto"/>
                <w:kern w:val="0"/>
                <w:szCs w:val="21"/>
                <w:lang w:bidi="ar"/>
              </w:rPr>
            </w:pPr>
            <w:r>
              <w:rPr>
                <w:rFonts w:hint="eastAsia"/>
                <w:color w:val="auto"/>
                <w:kern w:val="0"/>
                <w:szCs w:val="21"/>
                <w:lang w:val="en-US" w:eastAsia="zh-CN" w:bidi="ar"/>
              </w:rPr>
              <w:t>ND</w:t>
            </w:r>
          </w:p>
        </w:tc>
      </w:tr>
      <w:tr w14:paraId="379640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D02A8FE">
            <w:pPr>
              <w:jc w:val="center"/>
              <w:rPr>
                <w:color w:val="auto"/>
                <w:szCs w:val="21"/>
              </w:rPr>
            </w:pPr>
          </w:p>
        </w:tc>
        <w:tc>
          <w:tcPr>
            <w:tcW w:w="534" w:type="pct"/>
            <w:vMerge w:val="continue"/>
            <w:tcBorders>
              <w:tl2br w:val="nil"/>
              <w:tr2bl w:val="nil"/>
            </w:tcBorders>
            <w:vAlign w:val="center"/>
          </w:tcPr>
          <w:p w14:paraId="435025F8">
            <w:pPr>
              <w:jc w:val="center"/>
              <w:rPr>
                <w:color w:val="auto"/>
                <w:szCs w:val="21"/>
              </w:rPr>
            </w:pPr>
          </w:p>
        </w:tc>
        <w:tc>
          <w:tcPr>
            <w:tcW w:w="592" w:type="pct"/>
            <w:tcBorders>
              <w:tl2br w:val="nil"/>
              <w:tr2bl w:val="nil"/>
            </w:tcBorders>
            <w:vAlign w:val="center"/>
          </w:tcPr>
          <w:p w14:paraId="79F9E890">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65F106EF">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0.0002</w:t>
            </w:r>
          </w:p>
        </w:tc>
      </w:tr>
      <w:tr w14:paraId="67FD9D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CD47D6B">
            <w:pPr>
              <w:jc w:val="center"/>
              <w:rPr>
                <w:color w:val="auto"/>
                <w:szCs w:val="21"/>
              </w:rPr>
            </w:pPr>
          </w:p>
        </w:tc>
        <w:tc>
          <w:tcPr>
            <w:tcW w:w="534" w:type="pct"/>
            <w:vMerge w:val="continue"/>
            <w:tcBorders>
              <w:tl2br w:val="nil"/>
              <w:tr2bl w:val="nil"/>
            </w:tcBorders>
            <w:vAlign w:val="center"/>
          </w:tcPr>
          <w:p w14:paraId="69999D56">
            <w:pPr>
              <w:jc w:val="center"/>
              <w:rPr>
                <w:color w:val="auto"/>
                <w:szCs w:val="21"/>
              </w:rPr>
            </w:pPr>
          </w:p>
        </w:tc>
        <w:tc>
          <w:tcPr>
            <w:tcW w:w="592" w:type="pct"/>
            <w:tcBorders>
              <w:tl2br w:val="nil"/>
              <w:tr2bl w:val="nil"/>
            </w:tcBorders>
            <w:vAlign w:val="center"/>
          </w:tcPr>
          <w:p w14:paraId="28A8581F">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5DA11E9C">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08339C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6E5CD530">
            <w:pPr>
              <w:jc w:val="center"/>
              <w:rPr>
                <w:rFonts w:hint="default" w:eastAsia="宋体"/>
                <w:color w:val="auto"/>
                <w:szCs w:val="21"/>
                <w:lang w:val="en-US" w:eastAsia="zh-CN"/>
              </w:rPr>
            </w:pPr>
            <w:r>
              <w:rPr>
                <w:rFonts w:hint="eastAsia"/>
                <w:color w:val="auto"/>
                <w:szCs w:val="21"/>
                <w:lang w:val="en-US" w:eastAsia="zh-CN"/>
              </w:rPr>
              <w:t>铬及其化合物（mg/m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07D668E3">
            <w:pPr>
              <w:jc w:val="center"/>
              <w:rPr>
                <w:color w:val="auto"/>
                <w:szCs w:val="21"/>
              </w:rPr>
            </w:pPr>
          </w:p>
        </w:tc>
        <w:tc>
          <w:tcPr>
            <w:tcW w:w="592" w:type="pct"/>
            <w:tcBorders>
              <w:tl2br w:val="nil"/>
              <w:tr2bl w:val="nil"/>
            </w:tcBorders>
            <w:vAlign w:val="center"/>
          </w:tcPr>
          <w:p w14:paraId="48D5BA5B">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17D51276">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4BC0D103">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0040A9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458A1272">
            <w:pPr>
              <w:widowControl/>
              <w:jc w:val="center"/>
              <w:textAlignment w:val="center"/>
              <w:rPr>
                <w:color w:val="auto"/>
                <w:kern w:val="0"/>
                <w:szCs w:val="21"/>
                <w:lang w:bidi="ar"/>
              </w:rPr>
            </w:pPr>
            <w:r>
              <w:rPr>
                <w:rFonts w:hint="eastAsia"/>
                <w:color w:val="auto"/>
                <w:kern w:val="0"/>
                <w:szCs w:val="21"/>
                <w:lang w:val="en-US" w:eastAsia="zh-CN" w:bidi="ar"/>
              </w:rPr>
              <w:t>ND</w:t>
            </w:r>
          </w:p>
        </w:tc>
      </w:tr>
      <w:tr w14:paraId="3E731A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1D1B134">
            <w:pPr>
              <w:jc w:val="center"/>
              <w:rPr>
                <w:color w:val="auto"/>
                <w:szCs w:val="21"/>
              </w:rPr>
            </w:pPr>
          </w:p>
        </w:tc>
        <w:tc>
          <w:tcPr>
            <w:tcW w:w="534" w:type="pct"/>
            <w:vMerge w:val="continue"/>
            <w:tcBorders>
              <w:tl2br w:val="nil"/>
              <w:tr2bl w:val="nil"/>
            </w:tcBorders>
            <w:vAlign w:val="center"/>
          </w:tcPr>
          <w:p w14:paraId="7077CBCB">
            <w:pPr>
              <w:jc w:val="center"/>
              <w:rPr>
                <w:color w:val="auto"/>
                <w:szCs w:val="21"/>
              </w:rPr>
            </w:pPr>
          </w:p>
        </w:tc>
        <w:tc>
          <w:tcPr>
            <w:tcW w:w="592" w:type="pct"/>
            <w:tcBorders>
              <w:tl2br w:val="nil"/>
              <w:tr2bl w:val="nil"/>
            </w:tcBorders>
            <w:vAlign w:val="center"/>
          </w:tcPr>
          <w:p w14:paraId="1C90AB6F">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4783898C">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7C64D08C">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28F29C0">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267DA669">
            <w:pPr>
              <w:widowControl/>
              <w:jc w:val="center"/>
              <w:textAlignment w:val="center"/>
              <w:rPr>
                <w:color w:val="auto"/>
                <w:kern w:val="0"/>
                <w:szCs w:val="21"/>
                <w:lang w:bidi="ar"/>
              </w:rPr>
            </w:pPr>
            <w:r>
              <w:rPr>
                <w:rFonts w:hint="eastAsia"/>
                <w:color w:val="auto"/>
                <w:kern w:val="0"/>
                <w:szCs w:val="21"/>
                <w:lang w:val="en-US" w:eastAsia="zh-CN" w:bidi="ar"/>
              </w:rPr>
              <w:t>ND</w:t>
            </w:r>
          </w:p>
        </w:tc>
      </w:tr>
      <w:tr w14:paraId="1B44ED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E51CE21">
            <w:pPr>
              <w:jc w:val="center"/>
              <w:rPr>
                <w:color w:val="auto"/>
                <w:szCs w:val="21"/>
              </w:rPr>
            </w:pPr>
          </w:p>
        </w:tc>
        <w:tc>
          <w:tcPr>
            <w:tcW w:w="534" w:type="pct"/>
            <w:vMerge w:val="continue"/>
            <w:tcBorders>
              <w:tl2br w:val="nil"/>
              <w:tr2bl w:val="nil"/>
            </w:tcBorders>
            <w:vAlign w:val="center"/>
          </w:tcPr>
          <w:p w14:paraId="6ABC8EA0">
            <w:pPr>
              <w:jc w:val="center"/>
              <w:rPr>
                <w:color w:val="auto"/>
                <w:szCs w:val="21"/>
              </w:rPr>
            </w:pPr>
          </w:p>
        </w:tc>
        <w:tc>
          <w:tcPr>
            <w:tcW w:w="592" w:type="pct"/>
            <w:tcBorders>
              <w:tl2br w:val="nil"/>
              <w:tr2bl w:val="nil"/>
            </w:tcBorders>
            <w:vAlign w:val="center"/>
          </w:tcPr>
          <w:p w14:paraId="08454532">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24CB0693">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495EAF05">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79766A77">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55C6F306">
            <w:pPr>
              <w:widowControl/>
              <w:jc w:val="center"/>
              <w:textAlignment w:val="center"/>
              <w:rPr>
                <w:color w:val="auto"/>
                <w:kern w:val="0"/>
                <w:szCs w:val="21"/>
                <w:lang w:bidi="ar"/>
              </w:rPr>
            </w:pPr>
            <w:r>
              <w:rPr>
                <w:rFonts w:hint="eastAsia"/>
                <w:color w:val="auto"/>
                <w:kern w:val="0"/>
                <w:szCs w:val="21"/>
                <w:lang w:val="en-US" w:eastAsia="zh-CN" w:bidi="ar"/>
              </w:rPr>
              <w:t>ND</w:t>
            </w:r>
          </w:p>
        </w:tc>
      </w:tr>
      <w:tr w14:paraId="483F30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E8CF41A">
            <w:pPr>
              <w:jc w:val="center"/>
              <w:rPr>
                <w:color w:val="auto"/>
                <w:szCs w:val="21"/>
              </w:rPr>
            </w:pPr>
          </w:p>
        </w:tc>
        <w:tc>
          <w:tcPr>
            <w:tcW w:w="534" w:type="pct"/>
            <w:vMerge w:val="continue"/>
            <w:tcBorders>
              <w:tl2br w:val="nil"/>
              <w:tr2bl w:val="nil"/>
            </w:tcBorders>
            <w:vAlign w:val="center"/>
          </w:tcPr>
          <w:p w14:paraId="78B2BB00">
            <w:pPr>
              <w:jc w:val="center"/>
              <w:rPr>
                <w:color w:val="auto"/>
                <w:szCs w:val="21"/>
              </w:rPr>
            </w:pPr>
          </w:p>
        </w:tc>
        <w:tc>
          <w:tcPr>
            <w:tcW w:w="592" w:type="pct"/>
            <w:tcBorders>
              <w:tl2br w:val="nil"/>
              <w:tr2bl w:val="nil"/>
            </w:tcBorders>
            <w:vAlign w:val="center"/>
          </w:tcPr>
          <w:p w14:paraId="434BA8BA">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39C25401">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F2DE84E">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177DE50">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2F5A6BB">
            <w:pPr>
              <w:widowControl/>
              <w:jc w:val="center"/>
              <w:textAlignment w:val="center"/>
              <w:rPr>
                <w:color w:val="auto"/>
                <w:kern w:val="0"/>
                <w:szCs w:val="21"/>
                <w:lang w:bidi="ar"/>
              </w:rPr>
            </w:pPr>
            <w:r>
              <w:rPr>
                <w:rFonts w:hint="eastAsia"/>
                <w:color w:val="auto"/>
                <w:kern w:val="0"/>
                <w:szCs w:val="21"/>
                <w:lang w:val="en-US" w:eastAsia="zh-CN" w:bidi="ar"/>
              </w:rPr>
              <w:t>ND</w:t>
            </w:r>
          </w:p>
        </w:tc>
      </w:tr>
      <w:tr w14:paraId="31E188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DA6B7BD">
            <w:pPr>
              <w:jc w:val="center"/>
              <w:rPr>
                <w:color w:val="auto"/>
                <w:szCs w:val="21"/>
              </w:rPr>
            </w:pPr>
          </w:p>
        </w:tc>
        <w:tc>
          <w:tcPr>
            <w:tcW w:w="534" w:type="pct"/>
            <w:vMerge w:val="continue"/>
            <w:tcBorders>
              <w:tl2br w:val="nil"/>
              <w:tr2bl w:val="nil"/>
            </w:tcBorders>
            <w:vAlign w:val="center"/>
          </w:tcPr>
          <w:p w14:paraId="1856724D">
            <w:pPr>
              <w:jc w:val="center"/>
              <w:rPr>
                <w:color w:val="auto"/>
                <w:szCs w:val="21"/>
              </w:rPr>
            </w:pPr>
          </w:p>
        </w:tc>
        <w:tc>
          <w:tcPr>
            <w:tcW w:w="592" w:type="pct"/>
            <w:tcBorders>
              <w:tl2br w:val="nil"/>
              <w:tr2bl w:val="nil"/>
            </w:tcBorders>
            <w:vAlign w:val="center"/>
          </w:tcPr>
          <w:p w14:paraId="7E52855D">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278BE169">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0.006</w:t>
            </w:r>
          </w:p>
        </w:tc>
      </w:tr>
      <w:tr w14:paraId="5A3CC4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A756FA7">
            <w:pPr>
              <w:jc w:val="center"/>
              <w:rPr>
                <w:color w:val="auto"/>
                <w:szCs w:val="21"/>
              </w:rPr>
            </w:pPr>
          </w:p>
        </w:tc>
        <w:tc>
          <w:tcPr>
            <w:tcW w:w="534" w:type="pct"/>
            <w:vMerge w:val="continue"/>
            <w:tcBorders>
              <w:tl2br w:val="nil"/>
              <w:tr2bl w:val="nil"/>
            </w:tcBorders>
            <w:vAlign w:val="center"/>
          </w:tcPr>
          <w:p w14:paraId="43340630">
            <w:pPr>
              <w:jc w:val="center"/>
              <w:rPr>
                <w:color w:val="auto"/>
                <w:szCs w:val="21"/>
              </w:rPr>
            </w:pPr>
          </w:p>
        </w:tc>
        <w:tc>
          <w:tcPr>
            <w:tcW w:w="592" w:type="pct"/>
            <w:tcBorders>
              <w:tl2br w:val="nil"/>
              <w:tr2bl w:val="nil"/>
            </w:tcBorders>
            <w:vAlign w:val="center"/>
          </w:tcPr>
          <w:p w14:paraId="7D170880">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7430D208">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037E3F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24335C57">
            <w:pPr>
              <w:jc w:val="center"/>
              <w:rPr>
                <w:rFonts w:hint="eastAsia" w:eastAsia="宋体"/>
                <w:color w:val="auto"/>
                <w:szCs w:val="21"/>
                <w:lang w:val="en-US" w:eastAsia="zh-CN"/>
              </w:rPr>
            </w:pPr>
            <w:r>
              <w:rPr>
                <w:rFonts w:hint="eastAsia"/>
                <w:color w:val="auto"/>
                <w:szCs w:val="21"/>
                <w:lang w:val="en-US" w:eastAsia="zh-CN"/>
              </w:rPr>
              <w:t>铅及其化合物（mg/m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7FBCA083">
            <w:pPr>
              <w:jc w:val="center"/>
              <w:rPr>
                <w:color w:val="auto"/>
                <w:szCs w:val="21"/>
              </w:rPr>
            </w:pPr>
          </w:p>
        </w:tc>
        <w:tc>
          <w:tcPr>
            <w:tcW w:w="592" w:type="pct"/>
            <w:tcBorders>
              <w:tl2br w:val="nil"/>
              <w:tr2bl w:val="nil"/>
            </w:tcBorders>
            <w:vAlign w:val="center"/>
          </w:tcPr>
          <w:p w14:paraId="3623A9FE">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56287701">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0EC5D011">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3B8B1CA">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BFDFFDA">
            <w:pPr>
              <w:widowControl/>
              <w:jc w:val="center"/>
              <w:textAlignment w:val="center"/>
              <w:rPr>
                <w:color w:val="auto"/>
                <w:kern w:val="0"/>
                <w:szCs w:val="21"/>
                <w:lang w:bidi="ar"/>
              </w:rPr>
            </w:pPr>
            <w:r>
              <w:rPr>
                <w:rFonts w:hint="eastAsia"/>
                <w:color w:val="auto"/>
                <w:kern w:val="0"/>
                <w:szCs w:val="21"/>
                <w:lang w:val="en-US" w:eastAsia="zh-CN" w:bidi="ar"/>
              </w:rPr>
              <w:t>ND</w:t>
            </w:r>
          </w:p>
        </w:tc>
      </w:tr>
      <w:tr w14:paraId="288BC66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D52E954">
            <w:pPr>
              <w:jc w:val="center"/>
              <w:rPr>
                <w:color w:val="auto"/>
                <w:szCs w:val="21"/>
              </w:rPr>
            </w:pPr>
          </w:p>
        </w:tc>
        <w:tc>
          <w:tcPr>
            <w:tcW w:w="534" w:type="pct"/>
            <w:vMerge w:val="continue"/>
            <w:tcBorders>
              <w:tl2br w:val="nil"/>
              <w:tr2bl w:val="nil"/>
            </w:tcBorders>
            <w:vAlign w:val="center"/>
          </w:tcPr>
          <w:p w14:paraId="79F4C138">
            <w:pPr>
              <w:jc w:val="center"/>
              <w:rPr>
                <w:color w:val="auto"/>
                <w:szCs w:val="21"/>
              </w:rPr>
            </w:pPr>
          </w:p>
        </w:tc>
        <w:tc>
          <w:tcPr>
            <w:tcW w:w="592" w:type="pct"/>
            <w:tcBorders>
              <w:tl2br w:val="nil"/>
              <w:tr2bl w:val="nil"/>
            </w:tcBorders>
            <w:vAlign w:val="center"/>
          </w:tcPr>
          <w:p w14:paraId="601A3679">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4851AE84">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DDC64A4">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06169A47">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4D950D79">
            <w:pPr>
              <w:widowControl/>
              <w:jc w:val="center"/>
              <w:textAlignment w:val="center"/>
              <w:rPr>
                <w:color w:val="auto"/>
                <w:kern w:val="0"/>
                <w:szCs w:val="21"/>
                <w:lang w:bidi="ar"/>
              </w:rPr>
            </w:pPr>
            <w:r>
              <w:rPr>
                <w:rFonts w:hint="eastAsia"/>
                <w:color w:val="auto"/>
                <w:kern w:val="0"/>
                <w:szCs w:val="21"/>
                <w:lang w:val="en-US" w:eastAsia="zh-CN" w:bidi="ar"/>
              </w:rPr>
              <w:t>ND</w:t>
            </w:r>
          </w:p>
        </w:tc>
      </w:tr>
      <w:tr w14:paraId="3F2D2D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A6B994B">
            <w:pPr>
              <w:jc w:val="center"/>
              <w:rPr>
                <w:color w:val="auto"/>
                <w:szCs w:val="21"/>
              </w:rPr>
            </w:pPr>
          </w:p>
        </w:tc>
        <w:tc>
          <w:tcPr>
            <w:tcW w:w="534" w:type="pct"/>
            <w:vMerge w:val="continue"/>
            <w:tcBorders>
              <w:tl2br w:val="nil"/>
              <w:tr2bl w:val="nil"/>
            </w:tcBorders>
            <w:vAlign w:val="center"/>
          </w:tcPr>
          <w:p w14:paraId="6ED24E4B">
            <w:pPr>
              <w:jc w:val="center"/>
              <w:rPr>
                <w:color w:val="auto"/>
                <w:szCs w:val="21"/>
              </w:rPr>
            </w:pPr>
          </w:p>
        </w:tc>
        <w:tc>
          <w:tcPr>
            <w:tcW w:w="592" w:type="pct"/>
            <w:tcBorders>
              <w:tl2br w:val="nil"/>
              <w:tr2bl w:val="nil"/>
            </w:tcBorders>
            <w:vAlign w:val="center"/>
          </w:tcPr>
          <w:p w14:paraId="4F3D9327">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7D16E133">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D0539EE">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34614119">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369ED7F3">
            <w:pPr>
              <w:widowControl/>
              <w:jc w:val="center"/>
              <w:textAlignment w:val="center"/>
              <w:rPr>
                <w:color w:val="auto"/>
                <w:kern w:val="0"/>
                <w:szCs w:val="21"/>
                <w:lang w:bidi="ar"/>
              </w:rPr>
            </w:pPr>
            <w:r>
              <w:rPr>
                <w:rFonts w:hint="eastAsia"/>
                <w:color w:val="auto"/>
                <w:kern w:val="0"/>
                <w:szCs w:val="21"/>
                <w:lang w:val="en-US" w:eastAsia="zh-CN" w:bidi="ar"/>
              </w:rPr>
              <w:t>ND</w:t>
            </w:r>
          </w:p>
        </w:tc>
      </w:tr>
      <w:tr w14:paraId="41E5B81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1F4CF00">
            <w:pPr>
              <w:jc w:val="center"/>
              <w:rPr>
                <w:color w:val="auto"/>
                <w:szCs w:val="21"/>
              </w:rPr>
            </w:pPr>
          </w:p>
        </w:tc>
        <w:tc>
          <w:tcPr>
            <w:tcW w:w="534" w:type="pct"/>
            <w:vMerge w:val="continue"/>
            <w:tcBorders>
              <w:tl2br w:val="nil"/>
              <w:tr2bl w:val="nil"/>
            </w:tcBorders>
            <w:vAlign w:val="center"/>
          </w:tcPr>
          <w:p w14:paraId="3935A457">
            <w:pPr>
              <w:jc w:val="center"/>
              <w:rPr>
                <w:color w:val="auto"/>
                <w:szCs w:val="21"/>
              </w:rPr>
            </w:pPr>
          </w:p>
        </w:tc>
        <w:tc>
          <w:tcPr>
            <w:tcW w:w="592" w:type="pct"/>
            <w:tcBorders>
              <w:tl2br w:val="nil"/>
              <w:tr2bl w:val="nil"/>
            </w:tcBorders>
            <w:vAlign w:val="center"/>
          </w:tcPr>
          <w:p w14:paraId="659E8B6C">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52631879">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744CA370">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2A4DE9AA">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74697C21">
            <w:pPr>
              <w:widowControl/>
              <w:jc w:val="center"/>
              <w:textAlignment w:val="center"/>
              <w:rPr>
                <w:color w:val="auto"/>
                <w:kern w:val="0"/>
                <w:szCs w:val="21"/>
                <w:lang w:bidi="ar"/>
              </w:rPr>
            </w:pPr>
            <w:r>
              <w:rPr>
                <w:rFonts w:hint="eastAsia"/>
                <w:color w:val="auto"/>
                <w:kern w:val="0"/>
                <w:szCs w:val="21"/>
                <w:lang w:val="en-US" w:eastAsia="zh-CN" w:bidi="ar"/>
              </w:rPr>
              <w:t>ND</w:t>
            </w:r>
          </w:p>
        </w:tc>
      </w:tr>
      <w:tr w14:paraId="2DD464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BB7EE9C">
            <w:pPr>
              <w:jc w:val="center"/>
              <w:rPr>
                <w:color w:val="auto"/>
                <w:szCs w:val="21"/>
              </w:rPr>
            </w:pPr>
          </w:p>
        </w:tc>
        <w:tc>
          <w:tcPr>
            <w:tcW w:w="534" w:type="pct"/>
            <w:vMerge w:val="continue"/>
            <w:tcBorders>
              <w:tl2br w:val="nil"/>
              <w:tr2bl w:val="nil"/>
            </w:tcBorders>
            <w:vAlign w:val="center"/>
          </w:tcPr>
          <w:p w14:paraId="43C0B019">
            <w:pPr>
              <w:jc w:val="center"/>
              <w:rPr>
                <w:color w:val="auto"/>
                <w:szCs w:val="21"/>
              </w:rPr>
            </w:pPr>
          </w:p>
        </w:tc>
        <w:tc>
          <w:tcPr>
            <w:tcW w:w="592" w:type="pct"/>
            <w:tcBorders>
              <w:tl2br w:val="nil"/>
              <w:tr2bl w:val="nil"/>
            </w:tcBorders>
            <w:vAlign w:val="center"/>
          </w:tcPr>
          <w:p w14:paraId="7C57A59E">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07ECA0A6">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0.006</w:t>
            </w:r>
          </w:p>
        </w:tc>
      </w:tr>
      <w:tr w14:paraId="3B66BE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3A7B275">
            <w:pPr>
              <w:jc w:val="center"/>
              <w:rPr>
                <w:color w:val="auto"/>
                <w:szCs w:val="21"/>
              </w:rPr>
            </w:pPr>
          </w:p>
        </w:tc>
        <w:tc>
          <w:tcPr>
            <w:tcW w:w="534" w:type="pct"/>
            <w:vMerge w:val="continue"/>
            <w:tcBorders>
              <w:tl2br w:val="nil"/>
              <w:tr2bl w:val="nil"/>
            </w:tcBorders>
            <w:vAlign w:val="center"/>
          </w:tcPr>
          <w:p w14:paraId="6E7D67E8">
            <w:pPr>
              <w:jc w:val="center"/>
              <w:rPr>
                <w:color w:val="auto"/>
                <w:szCs w:val="21"/>
              </w:rPr>
            </w:pPr>
          </w:p>
        </w:tc>
        <w:tc>
          <w:tcPr>
            <w:tcW w:w="592" w:type="pct"/>
            <w:tcBorders>
              <w:tl2br w:val="nil"/>
              <w:tr2bl w:val="nil"/>
            </w:tcBorders>
            <w:vAlign w:val="center"/>
          </w:tcPr>
          <w:p w14:paraId="2583532B">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397D0B19">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2EC460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000" w:type="pct"/>
            <w:gridSpan w:val="7"/>
            <w:tcBorders>
              <w:tl2br w:val="nil"/>
              <w:tr2bl w:val="nil"/>
            </w:tcBorders>
          </w:tcPr>
          <w:p w14:paraId="051A6874">
            <w:pPr>
              <w:widowControl/>
              <w:jc w:val="left"/>
              <w:textAlignment w:val="top"/>
              <w:rPr>
                <w:color w:val="auto"/>
                <w:szCs w:val="21"/>
              </w:rPr>
            </w:pPr>
            <w:r>
              <w:rPr>
                <w:color w:val="auto"/>
                <w:kern w:val="0"/>
                <w:szCs w:val="21"/>
                <w:lang w:bidi="ar"/>
              </w:rPr>
              <w:t>备注：ND表示未检出，检出限详见检测依据表。</w:t>
            </w:r>
          </w:p>
        </w:tc>
      </w:tr>
    </w:tbl>
    <w:p w14:paraId="216F8F9B">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b w:val="0"/>
          <w:bCs w:val="0"/>
          <w:color w:val="auto"/>
          <w:sz w:val="24"/>
          <w:szCs w:val="32"/>
          <w:lang w:val="en-US" w:eastAsia="zh-CN"/>
        </w:rPr>
      </w:pPr>
    </w:p>
    <w:p w14:paraId="17DB47CE">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由上表可知，无组织废气颗粒物浓度满足《大气污染物综合排放标准》（GB16297-1996）无组织监控浓度限值，氯化氢、氟化物、锡及其化合物、砷及其化合物、镉及其化合物、铬及其化合物、铅及其化合物浓度满足《再生铜、铝、铅、锌工业污染物排放标准》（GB 31574-2015）中表5企业边界大气污染物限值。</w:t>
      </w:r>
    </w:p>
    <w:p w14:paraId="4EA160E4">
      <w:pPr>
        <w:spacing w:line="360" w:lineRule="auto"/>
        <w:outlineLvl w:val="2"/>
        <w:rPr>
          <w:rFonts w:hint="eastAsia"/>
          <w:b/>
          <w:bCs/>
          <w:color w:val="auto"/>
          <w:sz w:val="24"/>
          <w:lang w:val="en-US" w:eastAsia="zh-CN"/>
        </w:rPr>
      </w:pPr>
      <w:r>
        <w:rPr>
          <w:rFonts w:hint="eastAsia"/>
          <w:b/>
          <w:bCs/>
          <w:color w:val="auto"/>
          <w:sz w:val="24"/>
          <w:lang w:val="en-US" w:eastAsia="zh-CN"/>
        </w:rPr>
        <w:t>3.3.2废水污染源及其治理措施分析</w:t>
      </w:r>
    </w:p>
    <w:p w14:paraId="3B15F31B">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rPr>
      </w:pPr>
      <w:r>
        <w:rPr>
          <w:rFonts w:hint="eastAsia"/>
          <w:color w:val="auto"/>
          <w:szCs w:val="21"/>
          <w:lang w:val="en-US" w:eastAsia="zh-CN"/>
        </w:rPr>
        <w:t>项目无生产废水外排，项目采用“雨污分流、清污分流”系统。循环冷却水回用于生产，不外排；生活污水经化粪池处理后排入开发区污水管网</w:t>
      </w:r>
      <w:r>
        <w:rPr>
          <w:rFonts w:hint="eastAsia"/>
          <w:bCs/>
          <w:color w:val="auto"/>
          <w:spacing w:val="6"/>
          <w:szCs w:val="21"/>
        </w:rPr>
        <w:t>进入滩溪县第二污水处理厂集中处理</w:t>
      </w:r>
      <w:r>
        <w:rPr>
          <w:rFonts w:hint="eastAsia"/>
          <w:bCs/>
          <w:color w:val="auto"/>
          <w:spacing w:val="6"/>
          <w:szCs w:val="21"/>
          <w:lang w:eastAsia="zh-CN"/>
        </w:rPr>
        <w:t>。</w:t>
      </w:r>
      <w:r>
        <w:rPr>
          <w:rFonts w:hint="eastAsia"/>
          <w:color w:val="auto"/>
          <w:kern w:val="24"/>
          <w:sz w:val="24"/>
          <w:lang w:val="en-US" w:eastAsia="zh-CN"/>
        </w:rPr>
        <w:t>安徽省裕康铝业有限公司经营该项目期间</w:t>
      </w:r>
      <w:r>
        <w:rPr>
          <w:rFonts w:hint="default" w:ascii="Times New Roman" w:hAnsi="Times New Roman" w:cs="Times New Roman"/>
          <w:b w:val="0"/>
          <w:bCs w:val="0"/>
          <w:color w:val="auto"/>
          <w:sz w:val="24"/>
          <w:lang w:val="en-US" w:eastAsia="zh-CN"/>
        </w:rPr>
        <w:t>于202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27</w:t>
      </w:r>
      <w:r>
        <w:rPr>
          <w:rFonts w:hint="default" w:ascii="Times New Roman" w:hAnsi="Times New Roman" w:cs="Times New Roman"/>
          <w:b w:val="0"/>
          <w:bCs w:val="0"/>
          <w:color w:val="auto"/>
          <w:sz w:val="24"/>
          <w:lang w:val="en-US" w:eastAsia="zh-CN"/>
        </w:rPr>
        <w:t>日委托</w:t>
      </w:r>
      <w:r>
        <w:rPr>
          <w:rFonts w:hint="default" w:ascii="Times New Roman" w:hAnsi="Times New Roman" w:cs="Times New Roman"/>
          <w:b w:val="0"/>
          <w:bCs w:val="0"/>
          <w:color w:val="auto"/>
          <w:sz w:val="24"/>
          <w:szCs w:val="32"/>
        </w:rPr>
        <w:t>安徽阿尔发环境工程有限公司对</w:t>
      </w:r>
      <w:r>
        <w:rPr>
          <w:rFonts w:hint="eastAsia" w:ascii="Times New Roman" w:hAnsi="Times New Roman" w:cs="Times New Roman"/>
          <w:b w:val="0"/>
          <w:bCs w:val="0"/>
          <w:color w:val="auto"/>
          <w:sz w:val="24"/>
          <w:szCs w:val="32"/>
          <w:lang w:val="en-US" w:eastAsia="zh-CN"/>
        </w:rPr>
        <w:t>生活污水排放口</w:t>
      </w:r>
      <w:r>
        <w:rPr>
          <w:rFonts w:hint="default" w:ascii="Times New Roman" w:hAnsi="Times New Roman" w:cs="Times New Roman"/>
          <w:b w:val="0"/>
          <w:bCs w:val="0"/>
          <w:color w:val="auto"/>
          <w:sz w:val="24"/>
          <w:szCs w:val="32"/>
        </w:rPr>
        <w:t>进行了检测，具体检测结果如下：</w:t>
      </w:r>
    </w:p>
    <w:p w14:paraId="6042A697">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ascii="Times New Roman" w:hAnsi="Times New Roman" w:eastAsia="宋体" w:cs="Times New Roman"/>
          <w:b/>
          <w:bCs/>
          <w:color w:val="auto"/>
          <w:sz w:val="24"/>
          <w:szCs w:val="32"/>
          <w:lang w:val="en-US" w:eastAsia="zh-CN"/>
        </w:rPr>
      </w:pPr>
      <w:r>
        <w:rPr>
          <w:rFonts w:hint="eastAsia" w:ascii="Times New Roman" w:hAnsi="Times New Roman" w:cs="Times New Roman"/>
          <w:b/>
          <w:bCs/>
          <w:color w:val="auto"/>
          <w:sz w:val="24"/>
          <w:szCs w:val="32"/>
          <w:lang w:val="en-US" w:eastAsia="zh-CN"/>
        </w:rPr>
        <w:t>表3-10 厂区污水排放口监测结果一览表  单位：mg/L，pH无量纲</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1563"/>
        <w:gridCol w:w="1422"/>
        <w:gridCol w:w="1422"/>
        <w:gridCol w:w="1422"/>
        <w:gridCol w:w="1423"/>
        <w:gridCol w:w="1423"/>
      </w:tblGrid>
      <w:tr w14:paraId="565433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1282" w:type="dxa"/>
            <w:tcBorders>
              <w:tl2br w:val="nil"/>
              <w:tr2bl w:val="nil"/>
            </w:tcBorders>
            <w:vAlign w:val="center"/>
          </w:tcPr>
          <w:p w14:paraId="47B21378">
            <w:pPr>
              <w:bidi w:val="0"/>
              <w:jc w:val="center"/>
              <w:rPr>
                <w:rFonts w:hint="default"/>
                <w:b/>
                <w:bCs/>
                <w:color w:val="auto"/>
                <w:lang w:val="en-US" w:eastAsia="zh-CN"/>
              </w:rPr>
            </w:pPr>
            <w:r>
              <w:rPr>
                <w:rFonts w:hint="eastAsia"/>
                <w:b/>
                <w:bCs/>
                <w:color w:val="auto"/>
                <w:lang w:val="en-US" w:eastAsia="zh-CN"/>
              </w:rPr>
              <w:t>监测点位</w:t>
            </w:r>
          </w:p>
        </w:tc>
        <w:tc>
          <w:tcPr>
            <w:tcW w:w="1563" w:type="dxa"/>
            <w:tcBorders>
              <w:tl2br w:val="nil"/>
              <w:tr2bl w:val="nil"/>
            </w:tcBorders>
            <w:vAlign w:val="center"/>
          </w:tcPr>
          <w:p w14:paraId="011CB4B5">
            <w:pPr>
              <w:bidi w:val="0"/>
              <w:jc w:val="center"/>
              <w:rPr>
                <w:rFonts w:hint="default"/>
                <w:b/>
                <w:bCs/>
                <w:color w:val="auto"/>
                <w:lang w:val="en-US" w:eastAsia="zh-CN"/>
              </w:rPr>
            </w:pPr>
            <w:r>
              <w:rPr>
                <w:rFonts w:hint="eastAsia"/>
                <w:b/>
                <w:bCs/>
                <w:color w:val="auto"/>
                <w:lang w:val="en-US" w:eastAsia="zh-CN"/>
              </w:rPr>
              <w:t>监测日期</w:t>
            </w:r>
          </w:p>
        </w:tc>
        <w:tc>
          <w:tcPr>
            <w:tcW w:w="1422" w:type="dxa"/>
            <w:tcBorders>
              <w:tl2br w:val="nil"/>
              <w:tr2bl w:val="nil"/>
            </w:tcBorders>
            <w:vAlign w:val="center"/>
          </w:tcPr>
          <w:p w14:paraId="20C6EC79">
            <w:pPr>
              <w:bidi w:val="0"/>
              <w:jc w:val="center"/>
              <w:rPr>
                <w:rFonts w:hint="default"/>
                <w:b/>
                <w:bCs/>
                <w:color w:val="auto"/>
                <w:lang w:val="en-US" w:eastAsia="zh-CN"/>
              </w:rPr>
            </w:pPr>
            <w:r>
              <w:rPr>
                <w:rFonts w:hint="eastAsia"/>
                <w:b/>
                <w:bCs/>
                <w:color w:val="auto"/>
                <w:lang w:val="en-US" w:eastAsia="zh-CN"/>
              </w:rPr>
              <w:t>监测项目</w:t>
            </w:r>
          </w:p>
        </w:tc>
        <w:tc>
          <w:tcPr>
            <w:tcW w:w="1422" w:type="dxa"/>
            <w:tcBorders>
              <w:tl2br w:val="nil"/>
              <w:tr2bl w:val="nil"/>
            </w:tcBorders>
            <w:vAlign w:val="center"/>
          </w:tcPr>
          <w:p w14:paraId="151211EB">
            <w:pPr>
              <w:bidi w:val="0"/>
              <w:jc w:val="center"/>
              <w:rPr>
                <w:rFonts w:hint="default"/>
                <w:b/>
                <w:bCs/>
                <w:color w:val="auto"/>
                <w:lang w:val="en-US" w:eastAsia="zh-CN"/>
              </w:rPr>
            </w:pPr>
            <w:r>
              <w:rPr>
                <w:rFonts w:hint="eastAsia"/>
                <w:b/>
                <w:bCs/>
                <w:color w:val="auto"/>
                <w:lang w:val="en-US" w:eastAsia="zh-CN"/>
              </w:rPr>
              <w:t>监测频次</w:t>
            </w:r>
          </w:p>
        </w:tc>
        <w:tc>
          <w:tcPr>
            <w:tcW w:w="1422" w:type="dxa"/>
            <w:tcBorders>
              <w:tl2br w:val="nil"/>
              <w:tr2bl w:val="nil"/>
            </w:tcBorders>
            <w:vAlign w:val="center"/>
          </w:tcPr>
          <w:p w14:paraId="4C196074">
            <w:pPr>
              <w:bidi w:val="0"/>
              <w:jc w:val="center"/>
              <w:rPr>
                <w:rFonts w:hint="default"/>
                <w:b/>
                <w:bCs/>
                <w:color w:val="auto"/>
                <w:lang w:val="en-US" w:eastAsia="zh-CN"/>
              </w:rPr>
            </w:pPr>
            <w:r>
              <w:rPr>
                <w:rFonts w:hint="eastAsia"/>
                <w:b/>
                <w:bCs/>
                <w:color w:val="auto"/>
                <w:lang w:val="en-US" w:eastAsia="zh-CN"/>
              </w:rPr>
              <w:t>监测浓度</w:t>
            </w:r>
          </w:p>
        </w:tc>
        <w:tc>
          <w:tcPr>
            <w:tcW w:w="1423" w:type="dxa"/>
            <w:tcBorders>
              <w:tl2br w:val="nil"/>
              <w:tr2bl w:val="nil"/>
            </w:tcBorders>
            <w:vAlign w:val="center"/>
          </w:tcPr>
          <w:p w14:paraId="577D0160">
            <w:pPr>
              <w:bidi w:val="0"/>
              <w:jc w:val="center"/>
              <w:rPr>
                <w:rFonts w:hint="default"/>
                <w:b/>
                <w:bCs/>
                <w:color w:val="auto"/>
                <w:lang w:val="en-US" w:eastAsia="zh-CN"/>
              </w:rPr>
            </w:pPr>
            <w:r>
              <w:rPr>
                <w:rFonts w:hint="eastAsia"/>
                <w:b/>
                <w:bCs/>
                <w:color w:val="auto"/>
                <w:lang w:val="en-US" w:eastAsia="zh-CN"/>
              </w:rPr>
              <w:t>标准限值</w:t>
            </w:r>
          </w:p>
        </w:tc>
        <w:tc>
          <w:tcPr>
            <w:tcW w:w="1423" w:type="dxa"/>
            <w:tcBorders>
              <w:tl2br w:val="nil"/>
              <w:tr2bl w:val="nil"/>
            </w:tcBorders>
            <w:vAlign w:val="center"/>
          </w:tcPr>
          <w:p w14:paraId="13DB83A3">
            <w:pPr>
              <w:bidi w:val="0"/>
              <w:jc w:val="center"/>
              <w:rPr>
                <w:rFonts w:hint="default"/>
                <w:b/>
                <w:bCs/>
                <w:color w:val="auto"/>
                <w:lang w:val="en-US" w:eastAsia="zh-CN"/>
              </w:rPr>
            </w:pPr>
            <w:r>
              <w:rPr>
                <w:rFonts w:hint="eastAsia"/>
                <w:b/>
                <w:bCs/>
                <w:color w:val="auto"/>
                <w:lang w:val="en-US" w:eastAsia="zh-CN"/>
              </w:rPr>
              <w:t>是否达标</w:t>
            </w:r>
          </w:p>
        </w:tc>
      </w:tr>
      <w:tr w14:paraId="14BFBE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restart"/>
            <w:tcBorders>
              <w:tl2br w:val="nil"/>
              <w:tr2bl w:val="nil"/>
            </w:tcBorders>
            <w:vAlign w:val="center"/>
          </w:tcPr>
          <w:p w14:paraId="03C155A2">
            <w:pPr>
              <w:bidi w:val="0"/>
              <w:jc w:val="center"/>
              <w:rPr>
                <w:rFonts w:hint="default"/>
                <w:color w:val="auto"/>
                <w:lang w:val="en-US" w:eastAsia="zh-CN"/>
              </w:rPr>
            </w:pPr>
            <w:r>
              <w:rPr>
                <w:rFonts w:hint="eastAsia"/>
                <w:color w:val="auto"/>
                <w:lang w:val="en-US" w:eastAsia="zh-CN"/>
              </w:rPr>
              <w:t>DW001生活污水排放口</w:t>
            </w:r>
          </w:p>
        </w:tc>
        <w:tc>
          <w:tcPr>
            <w:tcW w:w="1563" w:type="dxa"/>
            <w:vMerge w:val="restart"/>
            <w:tcBorders>
              <w:tl2br w:val="nil"/>
              <w:tr2bl w:val="nil"/>
            </w:tcBorders>
            <w:vAlign w:val="center"/>
          </w:tcPr>
          <w:p w14:paraId="59328500">
            <w:pPr>
              <w:bidi w:val="0"/>
              <w:jc w:val="center"/>
              <w:rPr>
                <w:rFonts w:hint="default"/>
                <w:color w:val="auto"/>
                <w:lang w:val="en-US" w:eastAsia="zh-CN"/>
              </w:rPr>
            </w:pPr>
            <w:r>
              <w:rPr>
                <w:rFonts w:hint="eastAsia"/>
                <w:color w:val="auto"/>
                <w:lang w:val="en-US" w:eastAsia="zh-CN"/>
              </w:rPr>
              <w:t>2024年8月27日</w:t>
            </w:r>
          </w:p>
        </w:tc>
        <w:tc>
          <w:tcPr>
            <w:tcW w:w="1422" w:type="dxa"/>
            <w:vMerge w:val="restart"/>
            <w:tcBorders>
              <w:tl2br w:val="nil"/>
              <w:tr2bl w:val="nil"/>
            </w:tcBorders>
            <w:vAlign w:val="center"/>
          </w:tcPr>
          <w:p w14:paraId="3EA330A0">
            <w:pPr>
              <w:bidi w:val="0"/>
              <w:jc w:val="center"/>
              <w:rPr>
                <w:rFonts w:hint="default"/>
                <w:color w:val="auto"/>
                <w:lang w:val="en-US" w:eastAsia="zh-CN"/>
              </w:rPr>
            </w:pPr>
            <w:r>
              <w:rPr>
                <w:rFonts w:hint="eastAsia"/>
                <w:color w:val="auto"/>
                <w:lang w:val="en-US" w:eastAsia="zh-CN"/>
              </w:rPr>
              <w:t>pH</w:t>
            </w:r>
          </w:p>
        </w:tc>
        <w:tc>
          <w:tcPr>
            <w:tcW w:w="1422" w:type="dxa"/>
            <w:tcBorders>
              <w:tl2br w:val="nil"/>
              <w:tr2bl w:val="nil"/>
            </w:tcBorders>
            <w:vAlign w:val="center"/>
          </w:tcPr>
          <w:p w14:paraId="20797FD7">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7469025A">
            <w:pPr>
              <w:bidi w:val="0"/>
              <w:jc w:val="center"/>
              <w:rPr>
                <w:rFonts w:hint="default"/>
                <w:color w:val="auto"/>
                <w:lang w:val="en-US" w:eastAsia="zh-CN"/>
              </w:rPr>
            </w:pPr>
            <w:r>
              <w:rPr>
                <w:rFonts w:hint="eastAsia"/>
                <w:color w:val="auto"/>
                <w:lang w:val="en-US" w:eastAsia="zh-CN"/>
              </w:rPr>
              <w:t>7.6</w:t>
            </w:r>
          </w:p>
        </w:tc>
        <w:tc>
          <w:tcPr>
            <w:tcW w:w="1423" w:type="dxa"/>
            <w:vMerge w:val="restart"/>
            <w:tcBorders>
              <w:tl2br w:val="nil"/>
              <w:tr2bl w:val="nil"/>
            </w:tcBorders>
            <w:vAlign w:val="center"/>
          </w:tcPr>
          <w:p w14:paraId="73C2FD5B">
            <w:pPr>
              <w:bidi w:val="0"/>
              <w:jc w:val="center"/>
              <w:rPr>
                <w:rFonts w:hint="default"/>
                <w:color w:val="auto"/>
                <w:lang w:val="en-US" w:eastAsia="zh-CN"/>
              </w:rPr>
            </w:pPr>
            <w:r>
              <w:rPr>
                <w:rFonts w:hint="eastAsia"/>
                <w:color w:val="auto"/>
                <w:lang w:val="en-US" w:eastAsia="zh-CN"/>
              </w:rPr>
              <w:t>6.0~9.0</w:t>
            </w:r>
          </w:p>
        </w:tc>
        <w:tc>
          <w:tcPr>
            <w:tcW w:w="1423" w:type="dxa"/>
            <w:vMerge w:val="restart"/>
            <w:tcBorders>
              <w:tl2br w:val="nil"/>
              <w:tr2bl w:val="nil"/>
            </w:tcBorders>
            <w:vAlign w:val="center"/>
          </w:tcPr>
          <w:p w14:paraId="299465ED">
            <w:pPr>
              <w:bidi w:val="0"/>
              <w:jc w:val="center"/>
              <w:rPr>
                <w:rFonts w:hint="default"/>
                <w:color w:val="auto"/>
                <w:lang w:val="en-US" w:eastAsia="zh-CN"/>
              </w:rPr>
            </w:pPr>
            <w:r>
              <w:rPr>
                <w:rFonts w:hint="eastAsia"/>
                <w:color w:val="auto"/>
                <w:lang w:val="en-US" w:eastAsia="zh-CN"/>
              </w:rPr>
              <w:t>达标</w:t>
            </w:r>
          </w:p>
        </w:tc>
      </w:tr>
      <w:tr w14:paraId="72DC8E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3BEF8EA0">
            <w:pPr>
              <w:bidi w:val="0"/>
              <w:jc w:val="center"/>
              <w:rPr>
                <w:rFonts w:hint="eastAsia"/>
                <w:color w:val="auto"/>
                <w:lang w:val="en-US" w:eastAsia="zh-CN"/>
              </w:rPr>
            </w:pPr>
          </w:p>
        </w:tc>
        <w:tc>
          <w:tcPr>
            <w:tcW w:w="1563" w:type="dxa"/>
            <w:vMerge w:val="continue"/>
            <w:tcBorders>
              <w:tl2br w:val="nil"/>
              <w:tr2bl w:val="nil"/>
            </w:tcBorders>
            <w:vAlign w:val="center"/>
          </w:tcPr>
          <w:p w14:paraId="5C3E0CBA">
            <w:pPr>
              <w:bidi w:val="0"/>
              <w:jc w:val="center"/>
              <w:rPr>
                <w:rFonts w:hint="eastAsia"/>
                <w:color w:val="auto"/>
                <w:lang w:val="en-US" w:eastAsia="zh-CN"/>
              </w:rPr>
            </w:pPr>
          </w:p>
        </w:tc>
        <w:tc>
          <w:tcPr>
            <w:tcW w:w="1422" w:type="dxa"/>
            <w:vMerge w:val="continue"/>
            <w:tcBorders>
              <w:tl2br w:val="nil"/>
              <w:tr2bl w:val="nil"/>
            </w:tcBorders>
            <w:vAlign w:val="center"/>
          </w:tcPr>
          <w:p w14:paraId="00D514CA">
            <w:pPr>
              <w:bidi w:val="0"/>
              <w:jc w:val="center"/>
              <w:rPr>
                <w:rFonts w:hint="eastAsia"/>
                <w:color w:val="auto"/>
                <w:lang w:val="en-US" w:eastAsia="zh-CN"/>
              </w:rPr>
            </w:pPr>
          </w:p>
        </w:tc>
        <w:tc>
          <w:tcPr>
            <w:tcW w:w="1422" w:type="dxa"/>
            <w:tcBorders>
              <w:tl2br w:val="nil"/>
              <w:tr2bl w:val="nil"/>
            </w:tcBorders>
            <w:vAlign w:val="center"/>
          </w:tcPr>
          <w:p w14:paraId="777F4BA3">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6ECDC67A">
            <w:pPr>
              <w:bidi w:val="0"/>
              <w:jc w:val="center"/>
              <w:rPr>
                <w:rFonts w:hint="default"/>
                <w:color w:val="auto"/>
                <w:lang w:val="en-US" w:eastAsia="zh-CN"/>
              </w:rPr>
            </w:pPr>
            <w:r>
              <w:rPr>
                <w:rFonts w:hint="eastAsia"/>
                <w:color w:val="auto"/>
                <w:lang w:val="en-US" w:eastAsia="zh-CN"/>
              </w:rPr>
              <w:t>7.7</w:t>
            </w:r>
          </w:p>
        </w:tc>
        <w:tc>
          <w:tcPr>
            <w:tcW w:w="1423" w:type="dxa"/>
            <w:vMerge w:val="continue"/>
            <w:tcBorders>
              <w:tl2br w:val="nil"/>
              <w:tr2bl w:val="nil"/>
            </w:tcBorders>
            <w:vAlign w:val="center"/>
          </w:tcPr>
          <w:p w14:paraId="0D7AEEA9">
            <w:pPr>
              <w:bidi w:val="0"/>
              <w:jc w:val="center"/>
              <w:rPr>
                <w:rFonts w:hint="eastAsia"/>
                <w:color w:val="auto"/>
                <w:lang w:val="en-US" w:eastAsia="zh-CN"/>
              </w:rPr>
            </w:pPr>
          </w:p>
        </w:tc>
        <w:tc>
          <w:tcPr>
            <w:tcW w:w="1423" w:type="dxa"/>
            <w:vMerge w:val="continue"/>
            <w:tcBorders>
              <w:tl2br w:val="nil"/>
              <w:tr2bl w:val="nil"/>
            </w:tcBorders>
            <w:vAlign w:val="center"/>
          </w:tcPr>
          <w:p w14:paraId="59674F71">
            <w:pPr>
              <w:bidi w:val="0"/>
              <w:jc w:val="center"/>
              <w:rPr>
                <w:rFonts w:hint="eastAsia"/>
                <w:color w:val="auto"/>
                <w:lang w:val="en-US" w:eastAsia="zh-CN"/>
              </w:rPr>
            </w:pPr>
          </w:p>
        </w:tc>
      </w:tr>
      <w:tr w14:paraId="4D5DC5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4C3C2EEF">
            <w:pPr>
              <w:bidi w:val="0"/>
              <w:jc w:val="center"/>
              <w:rPr>
                <w:rFonts w:hint="eastAsia"/>
                <w:color w:val="auto"/>
                <w:lang w:val="en-US" w:eastAsia="zh-CN"/>
              </w:rPr>
            </w:pPr>
          </w:p>
        </w:tc>
        <w:tc>
          <w:tcPr>
            <w:tcW w:w="1563" w:type="dxa"/>
            <w:vMerge w:val="continue"/>
            <w:tcBorders>
              <w:tl2br w:val="nil"/>
              <w:tr2bl w:val="nil"/>
            </w:tcBorders>
            <w:vAlign w:val="center"/>
          </w:tcPr>
          <w:p w14:paraId="74ADCD2F">
            <w:pPr>
              <w:bidi w:val="0"/>
              <w:jc w:val="center"/>
              <w:rPr>
                <w:rFonts w:hint="eastAsia"/>
                <w:color w:val="auto"/>
                <w:lang w:val="en-US" w:eastAsia="zh-CN"/>
              </w:rPr>
            </w:pPr>
          </w:p>
        </w:tc>
        <w:tc>
          <w:tcPr>
            <w:tcW w:w="1422" w:type="dxa"/>
            <w:vMerge w:val="continue"/>
            <w:tcBorders>
              <w:tl2br w:val="nil"/>
              <w:tr2bl w:val="nil"/>
            </w:tcBorders>
            <w:vAlign w:val="center"/>
          </w:tcPr>
          <w:p w14:paraId="557A9ACA">
            <w:pPr>
              <w:bidi w:val="0"/>
              <w:jc w:val="center"/>
              <w:rPr>
                <w:rFonts w:hint="eastAsia"/>
                <w:color w:val="auto"/>
                <w:lang w:val="en-US" w:eastAsia="zh-CN"/>
              </w:rPr>
            </w:pPr>
          </w:p>
        </w:tc>
        <w:tc>
          <w:tcPr>
            <w:tcW w:w="1422" w:type="dxa"/>
            <w:tcBorders>
              <w:tl2br w:val="nil"/>
              <w:tr2bl w:val="nil"/>
            </w:tcBorders>
            <w:vAlign w:val="center"/>
          </w:tcPr>
          <w:p w14:paraId="17DBD007">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1C87D85C">
            <w:pPr>
              <w:bidi w:val="0"/>
              <w:jc w:val="center"/>
              <w:rPr>
                <w:rFonts w:hint="default"/>
                <w:color w:val="auto"/>
                <w:lang w:val="en-US" w:eastAsia="zh-CN"/>
              </w:rPr>
            </w:pPr>
            <w:r>
              <w:rPr>
                <w:rFonts w:hint="eastAsia"/>
                <w:color w:val="auto"/>
                <w:lang w:val="en-US" w:eastAsia="zh-CN"/>
              </w:rPr>
              <w:t>7.6</w:t>
            </w:r>
          </w:p>
        </w:tc>
        <w:tc>
          <w:tcPr>
            <w:tcW w:w="1423" w:type="dxa"/>
            <w:vMerge w:val="continue"/>
            <w:tcBorders>
              <w:tl2br w:val="nil"/>
              <w:tr2bl w:val="nil"/>
            </w:tcBorders>
            <w:vAlign w:val="center"/>
          </w:tcPr>
          <w:p w14:paraId="46B567EA">
            <w:pPr>
              <w:bidi w:val="0"/>
              <w:jc w:val="center"/>
              <w:rPr>
                <w:rFonts w:hint="eastAsia"/>
                <w:color w:val="auto"/>
                <w:lang w:val="en-US" w:eastAsia="zh-CN"/>
              </w:rPr>
            </w:pPr>
          </w:p>
        </w:tc>
        <w:tc>
          <w:tcPr>
            <w:tcW w:w="1423" w:type="dxa"/>
            <w:vMerge w:val="continue"/>
            <w:tcBorders>
              <w:tl2br w:val="nil"/>
              <w:tr2bl w:val="nil"/>
            </w:tcBorders>
            <w:vAlign w:val="center"/>
          </w:tcPr>
          <w:p w14:paraId="6AA94627">
            <w:pPr>
              <w:bidi w:val="0"/>
              <w:jc w:val="center"/>
              <w:rPr>
                <w:rFonts w:hint="eastAsia"/>
                <w:color w:val="auto"/>
                <w:lang w:val="en-US" w:eastAsia="zh-CN"/>
              </w:rPr>
            </w:pPr>
          </w:p>
        </w:tc>
      </w:tr>
      <w:tr w14:paraId="7BF929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738131">
            <w:pPr>
              <w:bidi w:val="0"/>
              <w:jc w:val="center"/>
              <w:rPr>
                <w:rFonts w:hint="eastAsia"/>
                <w:color w:val="auto"/>
                <w:lang w:val="en-US" w:eastAsia="zh-CN"/>
              </w:rPr>
            </w:pPr>
          </w:p>
        </w:tc>
        <w:tc>
          <w:tcPr>
            <w:tcW w:w="1563" w:type="dxa"/>
            <w:vMerge w:val="continue"/>
            <w:tcBorders>
              <w:tl2br w:val="nil"/>
              <w:tr2bl w:val="nil"/>
            </w:tcBorders>
            <w:vAlign w:val="center"/>
          </w:tcPr>
          <w:p w14:paraId="51CB1C76">
            <w:pPr>
              <w:bidi w:val="0"/>
              <w:jc w:val="center"/>
              <w:rPr>
                <w:rFonts w:hint="eastAsia"/>
                <w:color w:val="auto"/>
                <w:lang w:val="en-US" w:eastAsia="zh-CN"/>
              </w:rPr>
            </w:pPr>
          </w:p>
        </w:tc>
        <w:tc>
          <w:tcPr>
            <w:tcW w:w="1422" w:type="dxa"/>
            <w:vMerge w:val="continue"/>
            <w:tcBorders>
              <w:tl2br w:val="nil"/>
              <w:tr2bl w:val="nil"/>
            </w:tcBorders>
            <w:vAlign w:val="center"/>
          </w:tcPr>
          <w:p w14:paraId="7C8F406B">
            <w:pPr>
              <w:bidi w:val="0"/>
              <w:jc w:val="center"/>
              <w:rPr>
                <w:rFonts w:hint="eastAsia"/>
                <w:color w:val="auto"/>
                <w:lang w:val="en-US" w:eastAsia="zh-CN"/>
              </w:rPr>
            </w:pPr>
          </w:p>
        </w:tc>
        <w:tc>
          <w:tcPr>
            <w:tcW w:w="1422" w:type="dxa"/>
            <w:tcBorders>
              <w:tl2br w:val="nil"/>
              <w:tr2bl w:val="nil"/>
            </w:tcBorders>
            <w:vAlign w:val="center"/>
          </w:tcPr>
          <w:p w14:paraId="3850488C">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6AD55B1B">
            <w:pPr>
              <w:bidi w:val="0"/>
              <w:jc w:val="center"/>
              <w:rPr>
                <w:rFonts w:hint="default"/>
                <w:color w:val="auto"/>
                <w:lang w:val="en-US" w:eastAsia="zh-CN"/>
              </w:rPr>
            </w:pPr>
            <w:r>
              <w:rPr>
                <w:rFonts w:hint="eastAsia"/>
                <w:color w:val="auto"/>
                <w:lang w:val="en-US" w:eastAsia="zh-CN"/>
              </w:rPr>
              <w:t>7.5</w:t>
            </w:r>
          </w:p>
        </w:tc>
        <w:tc>
          <w:tcPr>
            <w:tcW w:w="1423" w:type="dxa"/>
            <w:vMerge w:val="continue"/>
            <w:tcBorders>
              <w:tl2br w:val="nil"/>
              <w:tr2bl w:val="nil"/>
            </w:tcBorders>
            <w:vAlign w:val="center"/>
          </w:tcPr>
          <w:p w14:paraId="47859BE2">
            <w:pPr>
              <w:bidi w:val="0"/>
              <w:jc w:val="center"/>
              <w:rPr>
                <w:rFonts w:hint="eastAsia"/>
                <w:color w:val="auto"/>
                <w:lang w:val="en-US" w:eastAsia="zh-CN"/>
              </w:rPr>
            </w:pPr>
          </w:p>
        </w:tc>
        <w:tc>
          <w:tcPr>
            <w:tcW w:w="1423" w:type="dxa"/>
            <w:vMerge w:val="continue"/>
            <w:tcBorders>
              <w:tl2br w:val="nil"/>
              <w:tr2bl w:val="nil"/>
            </w:tcBorders>
            <w:vAlign w:val="center"/>
          </w:tcPr>
          <w:p w14:paraId="169D3573">
            <w:pPr>
              <w:bidi w:val="0"/>
              <w:jc w:val="center"/>
              <w:rPr>
                <w:rFonts w:hint="eastAsia"/>
                <w:color w:val="auto"/>
                <w:lang w:val="en-US" w:eastAsia="zh-CN"/>
              </w:rPr>
            </w:pPr>
          </w:p>
        </w:tc>
      </w:tr>
      <w:tr w14:paraId="75BF59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36589CC">
            <w:pPr>
              <w:bidi w:val="0"/>
              <w:jc w:val="center"/>
              <w:rPr>
                <w:rFonts w:hint="eastAsia"/>
                <w:color w:val="auto"/>
                <w:lang w:val="en-US" w:eastAsia="zh-CN"/>
              </w:rPr>
            </w:pPr>
          </w:p>
        </w:tc>
        <w:tc>
          <w:tcPr>
            <w:tcW w:w="1563" w:type="dxa"/>
            <w:vMerge w:val="continue"/>
            <w:tcBorders>
              <w:tl2br w:val="nil"/>
              <w:tr2bl w:val="nil"/>
            </w:tcBorders>
            <w:vAlign w:val="center"/>
          </w:tcPr>
          <w:p w14:paraId="4367F77B">
            <w:pPr>
              <w:bidi w:val="0"/>
              <w:jc w:val="center"/>
              <w:rPr>
                <w:rFonts w:hint="eastAsia"/>
                <w:color w:val="auto"/>
                <w:lang w:val="en-US" w:eastAsia="zh-CN"/>
              </w:rPr>
            </w:pPr>
          </w:p>
        </w:tc>
        <w:tc>
          <w:tcPr>
            <w:tcW w:w="1422" w:type="dxa"/>
            <w:vMerge w:val="restart"/>
            <w:tcBorders>
              <w:tl2br w:val="nil"/>
              <w:tr2bl w:val="nil"/>
            </w:tcBorders>
            <w:vAlign w:val="center"/>
          </w:tcPr>
          <w:p w14:paraId="294E6694">
            <w:pPr>
              <w:bidi w:val="0"/>
              <w:jc w:val="center"/>
              <w:rPr>
                <w:rFonts w:hint="default"/>
                <w:color w:val="auto"/>
                <w:lang w:val="en-US" w:eastAsia="zh-CN"/>
              </w:rPr>
            </w:pPr>
            <w:r>
              <w:rPr>
                <w:rFonts w:hint="eastAsia"/>
                <w:color w:val="auto"/>
                <w:lang w:val="en-US" w:eastAsia="zh-CN"/>
              </w:rPr>
              <w:t>悬浮物</w:t>
            </w:r>
          </w:p>
        </w:tc>
        <w:tc>
          <w:tcPr>
            <w:tcW w:w="1422" w:type="dxa"/>
            <w:tcBorders>
              <w:tl2br w:val="nil"/>
              <w:tr2bl w:val="nil"/>
            </w:tcBorders>
            <w:vAlign w:val="center"/>
          </w:tcPr>
          <w:p w14:paraId="2CC78DC3">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629ADBE4">
            <w:pPr>
              <w:bidi w:val="0"/>
              <w:jc w:val="center"/>
              <w:rPr>
                <w:rFonts w:hint="default"/>
                <w:color w:val="auto"/>
                <w:lang w:val="en-US" w:eastAsia="zh-CN"/>
              </w:rPr>
            </w:pPr>
            <w:r>
              <w:rPr>
                <w:rFonts w:hint="eastAsia"/>
                <w:color w:val="auto"/>
                <w:lang w:val="en-US" w:eastAsia="zh-CN"/>
              </w:rPr>
              <w:t>15</w:t>
            </w:r>
          </w:p>
        </w:tc>
        <w:tc>
          <w:tcPr>
            <w:tcW w:w="1423" w:type="dxa"/>
            <w:vMerge w:val="restart"/>
            <w:tcBorders>
              <w:tl2br w:val="nil"/>
              <w:tr2bl w:val="nil"/>
            </w:tcBorders>
            <w:vAlign w:val="center"/>
          </w:tcPr>
          <w:p w14:paraId="25B7BF6E">
            <w:pPr>
              <w:bidi w:val="0"/>
              <w:jc w:val="center"/>
              <w:rPr>
                <w:rFonts w:hint="default"/>
                <w:color w:val="auto"/>
                <w:lang w:val="en-US" w:eastAsia="zh-CN"/>
              </w:rPr>
            </w:pPr>
            <w:r>
              <w:rPr>
                <w:rFonts w:hint="eastAsia"/>
                <w:color w:val="auto"/>
                <w:lang w:val="en-US" w:eastAsia="zh-CN"/>
              </w:rPr>
              <w:t>250</w:t>
            </w:r>
          </w:p>
        </w:tc>
        <w:tc>
          <w:tcPr>
            <w:tcW w:w="1423" w:type="dxa"/>
            <w:vMerge w:val="restart"/>
            <w:tcBorders>
              <w:tl2br w:val="nil"/>
              <w:tr2bl w:val="nil"/>
            </w:tcBorders>
            <w:vAlign w:val="center"/>
          </w:tcPr>
          <w:p w14:paraId="678B21AA">
            <w:pPr>
              <w:bidi w:val="0"/>
              <w:jc w:val="center"/>
              <w:rPr>
                <w:rFonts w:hint="eastAsia"/>
                <w:color w:val="auto"/>
                <w:lang w:val="en-US" w:eastAsia="zh-CN"/>
              </w:rPr>
            </w:pPr>
            <w:r>
              <w:rPr>
                <w:rFonts w:hint="eastAsia"/>
                <w:color w:val="auto"/>
                <w:lang w:val="en-US" w:eastAsia="zh-CN"/>
              </w:rPr>
              <w:t>达标</w:t>
            </w:r>
          </w:p>
        </w:tc>
      </w:tr>
      <w:tr w14:paraId="55107D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370AC252">
            <w:pPr>
              <w:bidi w:val="0"/>
              <w:jc w:val="center"/>
              <w:rPr>
                <w:rFonts w:hint="eastAsia"/>
                <w:color w:val="auto"/>
                <w:lang w:val="en-US" w:eastAsia="zh-CN"/>
              </w:rPr>
            </w:pPr>
          </w:p>
        </w:tc>
        <w:tc>
          <w:tcPr>
            <w:tcW w:w="1563" w:type="dxa"/>
            <w:vMerge w:val="continue"/>
            <w:tcBorders>
              <w:tl2br w:val="nil"/>
              <w:tr2bl w:val="nil"/>
            </w:tcBorders>
            <w:vAlign w:val="center"/>
          </w:tcPr>
          <w:p w14:paraId="1E52B956">
            <w:pPr>
              <w:bidi w:val="0"/>
              <w:jc w:val="center"/>
              <w:rPr>
                <w:rFonts w:hint="eastAsia"/>
                <w:color w:val="auto"/>
                <w:lang w:val="en-US" w:eastAsia="zh-CN"/>
              </w:rPr>
            </w:pPr>
          </w:p>
        </w:tc>
        <w:tc>
          <w:tcPr>
            <w:tcW w:w="1422" w:type="dxa"/>
            <w:vMerge w:val="continue"/>
            <w:tcBorders>
              <w:tl2br w:val="nil"/>
              <w:tr2bl w:val="nil"/>
            </w:tcBorders>
            <w:vAlign w:val="center"/>
          </w:tcPr>
          <w:p w14:paraId="010EBDB3">
            <w:pPr>
              <w:bidi w:val="0"/>
              <w:jc w:val="center"/>
              <w:rPr>
                <w:rFonts w:hint="eastAsia"/>
                <w:color w:val="auto"/>
                <w:lang w:val="en-US" w:eastAsia="zh-CN"/>
              </w:rPr>
            </w:pPr>
          </w:p>
        </w:tc>
        <w:tc>
          <w:tcPr>
            <w:tcW w:w="1422" w:type="dxa"/>
            <w:tcBorders>
              <w:tl2br w:val="nil"/>
              <w:tr2bl w:val="nil"/>
            </w:tcBorders>
            <w:vAlign w:val="center"/>
          </w:tcPr>
          <w:p w14:paraId="08F494BA">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3691AF5B">
            <w:pPr>
              <w:bidi w:val="0"/>
              <w:jc w:val="center"/>
              <w:rPr>
                <w:rFonts w:hint="default"/>
                <w:color w:val="auto"/>
                <w:lang w:val="en-US" w:eastAsia="zh-CN"/>
              </w:rPr>
            </w:pPr>
            <w:r>
              <w:rPr>
                <w:rFonts w:hint="eastAsia"/>
                <w:color w:val="auto"/>
                <w:lang w:val="en-US" w:eastAsia="zh-CN"/>
              </w:rPr>
              <w:t>12</w:t>
            </w:r>
          </w:p>
        </w:tc>
        <w:tc>
          <w:tcPr>
            <w:tcW w:w="1423" w:type="dxa"/>
            <w:vMerge w:val="continue"/>
            <w:tcBorders>
              <w:tl2br w:val="nil"/>
              <w:tr2bl w:val="nil"/>
            </w:tcBorders>
            <w:vAlign w:val="center"/>
          </w:tcPr>
          <w:p w14:paraId="097E4CB3">
            <w:pPr>
              <w:bidi w:val="0"/>
              <w:jc w:val="center"/>
              <w:rPr>
                <w:rFonts w:hint="eastAsia"/>
                <w:color w:val="auto"/>
                <w:lang w:val="en-US" w:eastAsia="zh-CN"/>
              </w:rPr>
            </w:pPr>
          </w:p>
        </w:tc>
        <w:tc>
          <w:tcPr>
            <w:tcW w:w="1423" w:type="dxa"/>
            <w:vMerge w:val="continue"/>
            <w:tcBorders>
              <w:tl2br w:val="nil"/>
              <w:tr2bl w:val="nil"/>
            </w:tcBorders>
            <w:vAlign w:val="center"/>
          </w:tcPr>
          <w:p w14:paraId="1389703D">
            <w:pPr>
              <w:bidi w:val="0"/>
              <w:jc w:val="center"/>
              <w:rPr>
                <w:rFonts w:hint="eastAsia"/>
                <w:color w:val="auto"/>
                <w:lang w:val="en-US" w:eastAsia="zh-CN"/>
              </w:rPr>
            </w:pPr>
          </w:p>
        </w:tc>
      </w:tr>
      <w:tr w14:paraId="66D55E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1A850AF">
            <w:pPr>
              <w:bidi w:val="0"/>
              <w:jc w:val="center"/>
              <w:rPr>
                <w:rFonts w:hint="eastAsia"/>
                <w:color w:val="auto"/>
                <w:lang w:val="en-US" w:eastAsia="zh-CN"/>
              </w:rPr>
            </w:pPr>
          </w:p>
        </w:tc>
        <w:tc>
          <w:tcPr>
            <w:tcW w:w="1563" w:type="dxa"/>
            <w:vMerge w:val="continue"/>
            <w:tcBorders>
              <w:tl2br w:val="nil"/>
              <w:tr2bl w:val="nil"/>
            </w:tcBorders>
            <w:vAlign w:val="center"/>
          </w:tcPr>
          <w:p w14:paraId="7FCB8FBC">
            <w:pPr>
              <w:bidi w:val="0"/>
              <w:jc w:val="center"/>
              <w:rPr>
                <w:rFonts w:hint="eastAsia"/>
                <w:color w:val="auto"/>
                <w:lang w:val="en-US" w:eastAsia="zh-CN"/>
              </w:rPr>
            </w:pPr>
          </w:p>
        </w:tc>
        <w:tc>
          <w:tcPr>
            <w:tcW w:w="1422" w:type="dxa"/>
            <w:vMerge w:val="continue"/>
            <w:tcBorders>
              <w:tl2br w:val="nil"/>
              <w:tr2bl w:val="nil"/>
            </w:tcBorders>
            <w:vAlign w:val="center"/>
          </w:tcPr>
          <w:p w14:paraId="0520C0D3">
            <w:pPr>
              <w:bidi w:val="0"/>
              <w:jc w:val="center"/>
              <w:rPr>
                <w:rFonts w:hint="eastAsia"/>
                <w:color w:val="auto"/>
                <w:lang w:val="en-US" w:eastAsia="zh-CN"/>
              </w:rPr>
            </w:pPr>
          </w:p>
        </w:tc>
        <w:tc>
          <w:tcPr>
            <w:tcW w:w="1422" w:type="dxa"/>
            <w:tcBorders>
              <w:tl2br w:val="nil"/>
              <w:tr2bl w:val="nil"/>
            </w:tcBorders>
            <w:vAlign w:val="center"/>
          </w:tcPr>
          <w:p w14:paraId="7BD655FA">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16B2B061">
            <w:pPr>
              <w:bidi w:val="0"/>
              <w:jc w:val="center"/>
              <w:rPr>
                <w:rFonts w:hint="default"/>
                <w:color w:val="auto"/>
                <w:lang w:val="en-US" w:eastAsia="zh-CN"/>
              </w:rPr>
            </w:pPr>
            <w:r>
              <w:rPr>
                <w:rFonts w:hint="eastAsia"/>
                <w:color w:val="auto"/>
                <w:lang w:val="en-US" w:eastAsia="zh-CN"/>
              </w:rPr>
              <w:t>16</w:t>
            </w:r>
          </w:p>
        </w:tc>
        <w:tc>
          <w:tcPr>
            <w:tcW w:w="1423" w:type="dxa"/>
            <w:vMerge w:val="continue"/>
            <w:tcBorders>
              <w:tl2br w:val="nil"/>
              <w:tr2bl w:val="nil"/>
            </w:tcBorders>
            <w:vAlign w:val="center"/>
          </w:tcPr>
          <w:p w14:paraId="50AD9172">
            <w:pPr>
              <w:bidi w:val="0"/>
              <w:jc w:val="center"/>
              <w:rPr>
                <w:rFonts w:hint="eastAsia"/>
                <w:color w:val="auto"/>
                <w:lang w:val="en-US" w:eastAsia="zh-CN"/>
              </w:rPr>
            </w:pPr>
          </w:p>
        </w:tc>
        <w:tc>
          <w:tcPr>
            <w:tcW w:w="1423" w:type="dxa"/>
            <w:vMerge w:val="continue"/>
            <w:tcBorders>
              <w:tl2br w:val="nil"/>
              <w:tr2bl w:val="nil"/>
            </w:tcBorders>
            <w:vAlign w:val="center"/>
          </w:tcPr>
          <w:p w14:paraId="53E1F82A">
            <w:pPr>
              <w:bidi w:val="0"/>
              <w:jc w:val="center"/>
              <w:rPr>
                <w:rFonts w:hint="eastAsia"/>
                <w:color w:val="auto"/>
                <w:lang w:val="en-US" w:eastAsia="zh-CN"/>
              </w:rPr>
            </w:pPr>
          </w:p>
        </w:tc>
      </w:tr>
      <w:tr w14:paraId="3B2B96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E5E51D8">
            <w:pPr>
              <w:bidi w:val="0"/>
              <w:jc w:val="center"/>
              <w:rPr>
                <w:rFonts w:hint="eastAsia"/>
                <w:color w:val="auto"/>
                <w:lang w:val="en-US" w:eastAsia="zh-CN"/>
              </w:rPr>
            </w:pPr>
          </w:p>
        </w:tc>
        <w:tc>
          <w:tcPr>
            <w:tcW w:w="1563" w:type="dxa"/>
            <w:vMerge w:val="continue"/>
            <w:tcBorders>
              <w:tl2br w:val="nil"/>
              <w:tr2bl w:val="nil"/>
            </w:tcBorders>
            <w:vAlign w:val="center"/>
          </w:tcPr>
          <w:p w14:paraId="3206FA47">
            <w:pPr>
              <w:bidi w:val="0"/>
              <w:jc w:val="center"/>
              <w:rPr>
                <w:rFonts w:hint="eastAsia"/>
                <w:color w:val="auto"/>
                <w:lang w:val="en-US" w:eastAsia="zh-CN"/>
              </w:rPr>
            </w:pPr>
          </w:p>
        </w:tc>
        <w:tc>
          <w:tcPr>
            <w:tcW w:w="1422" w:type="dxa"/>
            <w:vMerge w:val="continue"/>
            <w:tcBorders>
              <w:tl2br w:val="nil"/>
              <w:tr2bl w:val="nil"/>
            </w:tcBorders>
            <w:vAlign w:val="center"/>
          </w:tcPr>
          <w:p w14:paraId="1C8A57DA">
            <w:pPr>
              <w:bidi w:val="0"/>
              <w:jc w:val="center"/>
              <w:rPr>
                <w:rFonts w:hint="eastAsia"/>
                <w:color w:val="auto"/>
                <w:lang w:val="en-US" w:eastAsia="zh-CN"/>
              </w:rPr>
            </w:pPr>
          </w:p>
        </w:tc>
        <w:tc>
          <w:tcPr>
            <w:tcW w:w="1422" w:type="dxa"/>
            <w:tcBorders>
              <w:tl2br w:val="nil"/>
              <w:tr2bl w:val="nil"/>
            </w:tcBorders>
            <w:vAlign w:val="center"/>
          </w:tcPr>
          <w:p w14:paraId="6DD83493">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35244274">
            <w:pPr>
              <w:bidi w:val="0"/>
              <w:jc w:val="center"/>
              <w:rPr>
                <w:rFonts w:hint="default"/>
                <w:color w:val="auto"/>
                <w:lang w:val="en-US" w:eastAsia="zh-CN"/>
              </w:rPr>
            </w:pPr>
            <w:r>
              <w:rPr>
                <w:rFonts w:hint="eastAsia"/>
                <w:color w:val="auto"/>
                <w:lang w:val="en-US" w:eastAsia="zh-CN"/>
              </w:rPr>
              <w:t>14</w:t>
            </w:r>
          </w:p>
        </w:tc>
        <w:tc>
          <w:tcPr>
            <w:tcW w:w="1423" w:type="dxa"/>
            <w:vMerge w:val="continue"/>
            <w:tcBorders>
              <w:tl2br w:val="nil"/>
              <w:tr2bl w:val="nil"/>
            </w:tcBorders>
            <w:vAlign w:val="center"/>
          </w:tcPr>
          <w:p w14:paraId="115085FE">
            <w:pPr>
              <w:bidi w:val="0"/>
              <w:jc w:val="center"/>
              <w:rPr>
                <w:rFonts w:hint="eastAsia"/>
                <w:color w:val="auto"/>
                <w:lang w:val="en-US" w:eastAsia="zh-CN"/>
              </w:rPr>
            </w:pPr>
          </w:p>
        </w:tc>
        <w:tc>
          <w:tcPr>
            <w:tcW w:w="1423" w:type="dxa"/>
            <w:vMerge w:val="continue"/>
            <w:tcBorders>
              <w:tl2br w:val="nil"/>
              <w:tr2bl w:val="nil"/>
            </w:tcBorders>
            <w:vAlign w:val="center"/>
          </w:tcPr>
          <w:p w14:paraId="5AE414F4">
            <w:pPr>
              <w:bidi w:val="0"/>
              <w:jc w:val="center"/>
              <w:rPr>
                <w:rFonts w:hint="eastAsia"/>
                <w:color w:val="auto"/>
                <w:lang w:val="en-US" w:eastAsia="zh-CN"/>
              </w:rPr>
            </w:pPr>
          </w:p>
        </w:tc>
      </w:tr>
      <w:tr w14:paraId="604664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00DF55C">
            <w:pPr>
              <w:bidi w:val="0"/>
              <w:jc w:val="center"/>
              <w:rPr>
                <w:rFonts w:hint="eastAsia"/>
                <w:color w:val="auto"/>
                <w:lang w:val="en-US" w:eastAsia="zh-CN"/>
              </w:rPr>
            </w:pPr>
          </w:p>
        </w:tc>
        <w:tc>
          <w:tcPr>
            <w:tcW w:w="1563" w:type="dxa"/>
            <w:vMerge w:val="continue"/>
            <w:tcBorders>
              <w:tl2br w:val="nil"/>
              <w:tr2bl w:val="nil"/>
            </w:tcBorders>
            <w:vAlign w:val="center"/>
          </w:tcPr>
          <w:p w14:paraId="24BEE2DF">
            <w:pPr>
              <w:bidi w:val="0"/>
              <w:jc w:val="center"/>
              <w:rPr>
                <w:rFonts w:hint="eastAsia"/>
                <w:color w:val="auto"/>
                <w:lang w:val="en-US" w:eastAsia="zh-CN"/>
              </w:rPr>
            </w:pPr>
          </w:p>
        </w:tc>
        <w:tc>
          <w:tcPr>
            <w:tcW w:w="1422" w:type="dxa"/>
            <w:vMerge w:val="restart"/>
            <w:tcBorders>
              <w:tl2br w:val="nil"/>
              <w:tr2bl w:val="nil"/>
            </w:tcBorders>
            <w:vAlign w:val="center"/>
          </w:tcPr>
          <w:p w14:paraId="3D880EEB">
            <w:pPr>
              <w:bidi w:val="0"/>
              <w:jc w:val="center"/>
              <w:rPr>
                <w:rFonts w:hint="default"/>
                <w:color w:val="auto"/>
                <w:lang w:val="en-US" w:eastAsia="zh-CN"/>
              </w:rPr>
            </w:pPr>
            <w:r>
              <w:rPr>
                <w:rFonts w:hint="eastAsia"/>
                <w:color w:val="auto"/>
                <w:lang w:val="en-US" w:eastAsia="zh-CN"/>
              </w:rPr>
              <w:t>化学需氧量</w:t>
            </w:r>
          </w:p>
        </w:tc>
        <w:tc>
          <w:tcPr>
            <w:tcW w:w="1422" w:type="dxa"/>
            <w:tcBorders>
              <w:tl2br w:val="nil"/>
              <w:tr2bl w:val="nil"/>
            </w:tcBorders>
            <w:vAlign w:val="center"/>
          </w:tcPr>
          <w:p w14:paraId="77A64737">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5748FB8C">
            <w:pPr>
              <w:bidi w:val="0"/>
              <w:jc w:val="center"/>
              <w:rPr>
                <w:rFonts w:hint="default"/>
                <w:color w:val="auto"/>
                <w:lang w:val="en-US" w:eastAsia="zh-CN"/>
              </w:rPr>
            </w:pPr>
            <w:r>
              <w:rPr>
                <w:rFonts w:hint="eastAsia"/>
                <w:color w:val="auto"/>
                <w:lang w:val="en-US" w:eastAsia="zh-CN"/>
              </w:rPr>
              <w:t>23</w:t>
            </w:r>
          </w:p>
        </w:tc>
        <w:tc>
          <w:tcPr>
            <w:tcW w:w="1423" w:type="dxa"/>
            <w:vMerge w:val="restart"/>
            <w:tcBorders>
              <w:tl2br w:val="nil"/>
              <w:tr2bl w:val="nil"/>
            </w:tcBorders>
            <w:vAlign w:val="center"/>
          </w:tcPr>
          <w:p w14:paraId="0F75A97C">
            <w:pPr>
              <w:bidi w:val="0"/>
              <w:jc w:val="center"/>
              <w:rPr>
                <w:rFonts w:hint="default"/>
                <w:color w:val="auto"/>
                <w:lang w:val="en-US" w:eastAsia="zh-CN"/>
              </w:rPr>
            </w:pPr>
            <w:r>
              <w:rPr>
                <w:rFonts w:hint="eastAsia"/>
                <w:color w:val="auto"/>
                <w:lang w:val="en-US" w:eastAsia="zh-CN"/>
              </w:rPr>
              <w:t>420</w:t>
            </w:r>
          </w:p>
        </w:tc>
        <w:tc>
          <w:tcPr>
            <w:tcW w:w="1423" w:type="dxa"/>
            <w:vMerge w:val="restart"/>
            <w:tcBorders>
              <w:tl2br w:val="nil"/>
              <w:tr2bl w:val="nil"/>
            </w:tcBorders>
            <w:vAlign w:val="center"/>
          </w:tcPr>
          <w:p w14:paraId="7C5CAFC1">
            <w:pPr>
              <w:bidi w:val="0"/>
              <w:jc w:val="center"/>
              <w:rPr>
                <w:rFonts w:hint="default"/>
                <w:color w:val="auto"/>
                <w:lang w:val="en-US" w:eastAsia="zh-CN"/>
              </w:rPr>
            </w:pPr>
            <w:r>
              <w:rPr>
                <w:rFonts w:hint="eastAsia"/>
                <w:color w:val="auto"/>
                <w:lang w:val="en-US" w:eastAsia="zh-CN"/>
              </w:rPr>
              <w:t>达标</w:t>
            </w:r>
          </w:p>
        </w:tc>
      </w:tr>
      <w:tr w14:paraId="2045D8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0C7002B">
            <w:pPr>
              <w:bidi w:val="0"/>
              <w:jc w:val="center"/>
              <w:rPr>
                <w:rFonts w:hint="eastAsia"/>
                <w:color w:val="auto"/>
                <w:lang w:val="en-US" w:eastAsia="zh-CN"/>
              </w:rPr>
            </w:pPr>
          </w:p>
        </w:tc>
        <w:tc>
          <w:tcPr>
            <w:tcW w:w="1563" w:type="dxa"/>
            <w:vMerge w:val="continue"/>
            <w:tcBorders>
              <w:tl2br w:val="nil"/>
              <w:tr2bl w:val="nil"/>
            </w:tcBorders>
            <w:vAlign w:val="center"/>
          </w:tcPr>
          <w:p w14:paraId="7213996D">
            <w:pPr>
              <w:bidi w:val="0"/>
              <w:jc w:val="center"/>
              <w:rPr>
                <w:rFonts w:hint="eastAsia"/>
                <w:color w:val="auto"/>
                <w:lang w:val="en-US" w:eastAsia="zh-CN"/>
              </w:rPr>
            </w:pPr>
          </w:p>
        </w:tc>
        <w:tc>
          <w:tcPr>
            <w:tcW w:w="1422" w:type="dxa"/>
            <w:vMerge w:val="continue"/>
            <w:tcBorders>
              <w:tl2br w:val="nil"/>
              <w:tr2bl w:val="nil"/>
            </w:tcBorders>
            <w:vAlign w:val="center"/>
          </w:tcPr>
          <w:p w14:paraId="1631D5C3">
            <w:pPr>
              <w:bidi w:val="0"/>
              <w:jc w:val="center"/>
              <w:rPr>
                <w:rFonts w:hint="eastAsia"/>
                <w:color w:val="auto"/>
                <w:lang w:val="en-US" w:eastAsia="zh-CN"/>
              </w:rPr>
            </w:pPr>
          </w:p>
        </w:tc>
        <w:tc>
          <w:tcPr>
            <w:tcW w:w="1422" w:type="dxa"/>
            <w:tcBorders>
              <w:tl2br w:val="nil"/>
              <w:tr2bl w:val="nil"/>
            </w:tcBorders>
            <w:vAlign w:val="center"/>
          </w:tcPr>
          <w:p w14:paraId="58309B74">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07936079">
            <w:pPr>
              <w:bidi w:val="0"/>
              <w:jc w:val="center"/>
              <w:rPr>
                <w:rFonts w:hint="default"/>
                <w:color w:val="auto"/>
                <w:lang w:val="en-US" w:eastAsia="zh-CN"/>
              </w:rPr>
            </w:pPr>
            <w:r>
              <w:rPr>
                <w:rFonts w:hint="eastAsia"/>
                <w:color w:val="auto"/>
                <w:lang w:val="en-US" w:eastAsia="zh-CN"/>
              </w:rPr>
              <w:t>21</w:t>
            </w:r>
          </w:p>
        </w:tc>
        <w:tc>
          <w:tcPr>
            <w:tcW w:w="1423" w:type="dxa"/>
            <w:vMerge w:val="continue"/>
            <w:tcBorders>
              <w:tl2br w:val="nil"/>
              <w:tr2bl w:val="nil"/>
            </w:tcBorders>
            <w:vAlign w:val="center"/>
          </w:tcPr>
          <w:p w14:paraId="50A8ED1D">
            <w:pPr>
              <w:bidi w:val="0"/>
              <w:jc w:val="center"/>
              <w:rPr>
                <w:rFonts w:hint="eastAsia"/>
                <w:color w:val="auto"/>
                <w:lang w:val="en-US" w:eastAsia="zh-CN"/>
              </w:rPr>
            </w:pPr>
          </w:p>
        </w:tc>
        <w:tc>
          <w:tcPr>
            <w:tcW w:w="1423" w:type="dxa"/>
            <w:vMerge w:val="continue"/>
            <w:tcBorders>
              <w:tl2br w:val="nil"/>
              <w:tr2bl w:val="nil"/>
            </w:tcBorders>
            <w:vAlign w:val="center"/>
          </w:tcPr>
          <w:p w14:paraId="681742D5">
            <w:pPr>
              <w:bidi w:val="0"/>
              <w:jc w:val="center"/>
              <w:rPr>
                <w:rFonts w:hint="eastAsia"/>
                <w:color w:val="auto"/>
                <w:lang w:val="en-US" w:eastAsia="zh-CN"/>
              </w:rPr>
            </w:pPr>
          </w:p>
        </w:tc>
      </w:tr>
      <w:tr w14:paraId="4C022D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1368F67">
            <w:pPr>
              <w:bidi w:val="0"/>
              <w:jc w:val="center"/>
              <w:rPr>
                <w:rFonts w:hint="eastAsia"/>
                <w:color w:val="auto"/>
                <w:lang w:val="en-US" w:eastAsia="zh-CN"/>
              </w:rPr>
            </w:pPr>
          </w:p>
        </w:tc>
        <w:tc>
          <w:tcPr>
            <w:tcW w:w="1563" w:type="dxa"/>
            <w:vMerge w:val="continue"/>
            <w:tcBorders>
              <w:tl2br w:val="nil"/>
              <w:tr2bl w:val="nil"/>
            </w:tcBorders>
            <w:vAlign w:val="center"/>
          </w:tcPr>
          <w:p w14:paraId="588CC0E4">
            <w:pPr>
              <w:bidi w:val="0"/>
              <w:jc w:val="center"/>
              <w:rPr>
                <w:rFonts w:hint="eastAsia"/>
                <w:color w:val="auto"/>
                <w:lang w:val="en-US" w:eastAsia="zh-CN"/>
              </w:rPr>
            </w:pPr>
          </w:p>
        </w:tc>
        <w:tc>
          <w:tcPr>
            <w:tcW w:w="1422" w:type="dxa"/>
            <w:vMerge w:val="continue"/>
            <w:tcBorders>
              <w:tl2br w:val="nil"/>
              <w:tr2bl w:val="nil"/>
            </w:tcBorders>
            <w:vAlign w:val="center"/>
          </w:tcPr>
          <w:p w14:paraId="6715D38F">
            <w:pPr>
              <w:bidi w:val="0"/>
              <w:jc w:val="center"/>
              <w:rPr>
                <w:rFonts w:hint="eastAsia"/>
                <w:color w:val="auto"/>
                <w:lang w:val="en-US" w:eastAsia="zh-CN"/>
              </w:rPr>
            </w:pPr>
          </w:p>
        </w:tc>
        <w:tc>
          <w:tcPr>
            <w:tcW w:w="1422" w:type="dxa"/>
            <w:tcBorders>
              <w:tl2br w:val="nil"/>
              <w:tr2bl w:val="nil"/>
            </w:tcBorders>
            <w:vAlign w:val="center"/>
          </w:tcPr>
          <w:p w14:paraId="355A55DA">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2EF780F8">
            <w:pPr>
              <w:bidi w:val="0"/>
              <w:jc w:val="center"/>
              <w:rPr>
                <w:rFonts w:hint="default"/>
                <w:color w:val="auto"/>
                <w:lang w:val="en-US" w:eastAsia="zh-CN"/>
              </w:rPr>
            </w:pPr>
            <w:r>
              <w:rPr>
                <w:rFonts w:hint="eastAsia"/>
                <w:color w:val="auto"/>
                <w:lang w:val="en-US" w:eastAsia="zh-CN"/>
              </w:rPr>
              <w:t>22</w:t>
            </w:r>
          </w:p>
        </w:tc>
        <w:tc>
          <w:tcPr>
            <w:tcW w:w="1423" w:type="dxa"/>
            <w:vMerge w:val="continue"/>
            <w:tcBorders>
              <w:tl2br w:val="nil"/>
              <w:tr2bl w:val="nil"/>
            </w:tcBorders>
            <w:vAlign w:val="center"/>
          </w:tcPr>
          <w:p w14:paraId="7358E899">
            <w:pPr>
              <w:bidi w:val="0"/>
              <w:jc w:val="center"/>
              <w:rPr>
                <w:rFonts w:hint="eastAsia"/>
                <w:color w:val="auto"/>
                <w:lang w:val="en-US" w:eastAsia="zh-CN"/>
              </w:rPr>
            </w:pPr>
          </w:p>
        </w:tc>
        <w:tc>
          <w:tcPr>
            <w:tcW w:w="1423" w:type="dxa"/>
            <w:vMerge w:val="continue"/>
            <w:tcBorders>
              <w:tl2br w:val="nil"/>
              <w:tr2bl w:val="nil"/>
            </w:tcBorders>
            <w:vAlign w:val="center"/>
          </w:tcPr>
          <w:p w14:paraId="227115DD">
            <w:pPr>
              <w:bidi w:val="0"/>
              <w:jc w:val="center"/>
              <w:rPr>
                <w:rFonts w:hint="eastAsia"/>
                <w:color w:val="auto"/>
                <w:lang w:val="en-US" w:eastAsia="zh-CN"/>
              </w:rPr>
            </w:pPr>
          </w:p>
        </w:tc>
      </w:tr>
      <w:tr w14:paraId="112F0C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BE60BEB">
            <w:pPr>
              <w:bidi w:val="0"/>
              <w:jc w:val="center"/>
              <w:rPr>
                <w:rFonts w:hint="eastAsia"/>
                <w:color w:val="auto"/>
                <w:lang w:val="en-US" w:eastAsia="zh-CN"/>
              </w:rPr>
            </w:pPr>
          </w:p>
        </w:tc>
        <w:tc>
          <w:tcPr>
            <w:tcW w:w="1563" w:type="dxa"/>
            <w:vMerge w:val="continue"/>
            <w:tcBorders>
              <w:tl2br w:val="nil"/>
              <w:tr2bl w:val="nil"/>
            </w:tcBorders>
            <w:vAlign w:val="center"/>
          </w:tcPr>
          <w:p w14:paraId="6A8EF5A7">
            <w:pPr>
              <w:bidi w:val="0"/>
              <w:jc w:val="center"/>
              <w:rPr>
                <w:rFonts w:hint="eastAsia"/>
                <w:color w:val="auto"/>
                <w:lang w:val="en-US" w:eastAsia="zh-CN"/>
              </w:rPr>
            </w:pPr>
          </w:p>
        </w:tc>
        <w:tc>
          <w:tcPr>
            <w:tcW w:w="1422" w:type="dxa"/>
            <w:vMerge w:val="continue"/>
            <w:tcBorders>
              <w:tl2br w:val="nil"/>
              <w:tr2bl w:val="nil"/>
            </w:tcBorders>
            <w:vAlign w:val="center"/>
          </w:tcPr>
          <w:p w14:paraId="3323E0CE">
            <w:pPr>
              <w:bidi w:val="0"/>
              <w:jc w:val="center"/>
              <w:rPr>
                <w:rFonts w:hint="eastAsia"/>
                <w:color w:val="auto"/>
                <w:lang w:val="en-US" w:eastAsia="zh-CN"/>
              </w:rPr>
            </w:pPr>
          </w:p>
        </w:tc>
        <w:tc>
          <w:tcPr>
            <w:tcW w:w="1422" w:type="dxa"/>
            <w:tcBorders>
              <w:tl2br w:val="nil"/>
              <w:tr2bl w:val="nil"/>
            </w:tcBorders>
            <w:vAlign w:val="center"/>
          </w:tcPr>
          <w:p w14:paraId="5481CBA5">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56CDDACE">
            <w:pPr>
              <w:bidi w:val="0"/>
              <w:jc w:val="center"/>
              <w:rPr>
                <w:rFonts w:hint="default"/>
                <w:color w:val="auto"/>
                <w:lang w:val="en-US" w:eastAsia="zh-CN"/>
              </w:rPr>
            </w:pPr>
            <w:r>
              <w:rPr>
                <w:rFonts w:hint="eastAsia"/>
                <w:color w:val="auto"/>
                <w:lang w:val="en-US" w:eastAsia="zh-CN"/>
              </w:rPr>
              <w:t>24</w:t>
            </w:r>
          </w:p>
        </w:tc>
        <w:tc>
          <w:tcPr>
            <w:tcW w:w="1423" w:type="dxa"/>
            <w:vMerge w:val="continue"/>
            <w:tcBorders>
              <w:tl2br w:val="nil"/>
              <w:tr2bl w:val="nil"/>
            </w:tcBorders>
            <w:vAlign w:val="center"/>
          </w:tcPr>
          <w:p w14:paraId="6BB3B57F">
            <w:pPr>
              <w:bidi w:val="0"/>
              <w:jc w:val="center"/>
              <w:rPr>
                <w:rFonts w:hint="eastAsia"/>
                <w:color w:val="auto"/>
                <w:lang w:val="en-US" w:eastAsia="zh-CN"/>
              </w:rPr>
            </w:pPr>
          </w:p>
        </w:tc>
        <w:tc>
          <w:tcPr>
            <w:tcW w:w="1423" w:type="dxa"/>
            <w:vMerge w:val="continue"/>
            <w:tcBorders>
              <w:tl2br w:val="nil"/>
              <w:tr2bl w:val="nil"/>
            </w:tcBorders>
            <w:vAlign w:val="center"/>
          </w:tcPr>
          <w:p w14:paraId="34A3061E">
            <w:pPr>
              <w:bidi w:val="0"/>
              <w:jc w:val="center"/>
              <w:rPr>
                <w:rFonts w:hint="eastAsia"/>
                <w:color w:val="auto"/>
                <w:lang w:val="en-US" w:eastAsia="zh-CN"/>
              </w:rPr>
            </w:pPr>
          </w:p>
        </w:tc>
      </w:tr>
      <w:tr w14:paraId="6F7E4C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66DE12">
            <w:pPr>
              <w:bidi w:val="0"/>
              <w:jc w:val="center"/>
              <w:rPr>
                <w:rFonts w:hint="eastAsia"/>
                <w:color w:val="auto"/>
                <w:lang w:val="en-US" w:eastAsia="zh-CN"/>
              </w:rPr>
            </w:pPr>
          </w:p>
        </w:tc>
        <w:tc>
          <w:tcPr>
            <w:tcW w:w="1563" w:type="dxa"/>
            <w:vMerge w:val="continue"/>
            <w:tcBorders>
              <w:tl2br w:val="nil"/>
              <w:tr2bl w:val="nil"/>
            </w:tcBorders>
            <w:vAlign w:val="center"/>
          </w:tcPr>
          <w:p w14:paraId="0F537CF6">
            <w:pPr>
              <w:bidi w:val="0"/>
              <w:jc w:val="center"/>
              <w:rPr>
                <w:rFonts w:hint="eastAsia"/>
                <w:color w:val="auto"/>
                <w:lang w:val="en-US" w:eastAsia="zh-CN"/>
              </w:rPr>
            </w:pPr>
          </w:p>
        </w:tc>
        <w:tc>
          <w:tcPr>
            <w:tcW w:w="1422" w:type="dxa"/>
            <w:vMerge w:val="restart"/>
            <w:tcBorders>
              <w:tl2br w:val="nil"/>
              <w:tr2bl w:val="nil"/>
            </w:tcBorders>
            <w:vAlign w:val="center"/>
          </w:tcPr>
          <w:p w14:paraId="5BEAB5F6">
            <w:pPr>
              <w:bidi w:val="0"/>
              <w:jc w:val="center"/>
              <w:rPr>
                <w:rFonts w:hint="default"/>
                <w:color w:val="auto"/>
                <w:lang w:val="en-US" w:eastAsia="zh-CN"/>
              </w:rPr>
            </w:pPr>
            <w:r>
              <w:rPr>
                <w:rFonts w:hint="eastAsia"/>
                <w:color w:val="auto"/>
                <w:lang w:val="en-US" w:eastAsia="zh-CN"/>
              </w:rPr>
              <w:t>五日生需氧量</w:t>
            </w:r>
          </w:p>
        </w:tc>
        <w:tc>
          <w:tcPr>
            <w:tcW w:w="1422" w:type="dxa"/>
            <w:tcBorders>
              <w:tl2br w:val="nil"/>
              <w:tr2bl w:val="nil"/>
            </w:tcBorders>
            <w:vAlign w:val="center"/>
          </w:tcPr>
          <w:p w14:paraId="11E38BB0">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3FA07A77">
            <w:pPr>
              <w:bidi w:val="0"/>
              <w:jc w:val="center"/>
              <w:rPr>
                <w:rFonts w:hint="default"/>
                <w:color w:val="auto"/>
                <w:lang w:val="en-US" w:eastAsia="zh-CN"/>
              </w:rPr>
            </w:pPr>
            <w:r>
              <w:rPr>
                <w:rFonts w:hint="eastAsia"/>
                <w:color w:val="auto"/>
                <w:lang w:val="en-US" w:eastAsia="zh-CN"/>
              </w:rPr>
              <w:t>6.6</w:t>
            </w:r>
          </w:p>
        </w:tc>
        <w:tc>
          <w:tcPr>
            <w:tcW w:w="1423" w:type="dxa"/>
            <w:vMerge w:val="restart"/>
            <w:tcBorders>
              <w:tl2br w:val="nil"/>
              <w:tr2bl w:val="nil"/>
            </w:tcBorders>
            <w:vAlign w:val="center"/>
          </w:tcPr>
          <w:p w14:paraId="0E724C48">
            <w:pPr>
              <w:bidi w:val="0"/>
              <w:jc w:val="center"/>
              <w:rPr>
                <w:rFonts w:hint="default"/>
                <w:color w:val="auto"/>
                <w:lang w:val="en-US" w:eastAsia="zh-CN"/>
              </w:rPr>
            </w:pPr>
            <w:r>
              <w:rPr>
                <w:rFonts w:hint="eastAsia"/>
                <w:color w:val="auto"/>
                <w:lang w:val="en-US" w:eastAsia="zh-CN"/>
              </w:rPr>
              <w:t>150</w:t>
            </w:r>
          </w:p>
        </w:tc>
        <w:tc>
          <w:tcPr>
            <w:tcW w:w="1423" w:type="dxa"/>
            <w:vMerge w:val="restart"/>
            <w:tcBorders>
              <w:tl2br w:val="nil"/>
              <w:tr2bl w:val="nil"/>
            </w:tcBorders>
            <w:vAlign w:val="center"/>
          </w:tcPr>
          <w:p w14:paraId="79FD60B9">
            <w:pPr>
              <w:bidi w:val="0"/>
              <w:jc w:val="center"/>
              <w:rPr>
                <w:rFonts w:hint="eastAsia"/>
                <w:color w:val="auto"/>
                <w:lang w:val="en-US" w:eastAsia="zh-CN"/>
              </w:rPr>
            </w:pPr>
            <w:r>
              <w:rPr>
                <w:rFonts w:hint="eastAsia"/>
                <w:color w:val="auto"/>
                <w:lang w:val="en-US" w:eastAsia="zh-CN"/>
              </w:rPr>
              <w:t>达标</w:t>
            </w:r>
          </w:p>
        </w:tc>
      </w:tr>
      <w:tr w14:paraId="3F7439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0AFD2C5">
            <w:pPr>
              <w:bidi w:val="0"/>
              <w:jc w:val="center"/>
              <w:rPr>
                <w:rFonts w:hint="eastAsia"/>
                <w:color w:val="auto"/>
                <w:lang w:val="en-US" w:eastAsia="zh-CN"/>
              </w:rPr>
            </w:pPr>
          </w:p>
        </w:tc>
        <w:tc>
          <w:tcPr>
            <w:tcW w:w="1563" w:type="dxa"/>
            <w:vMerge w:val="continue"/>
            <w:tcBorders>
              <w:tl2br w:val="nil"/>
              <w:tr2bl w:val="nil"/>
            </w:tcBorders>
            <w:vAlign w:val="center"/>
          </w:tcPr>
          <w:p w14:paraId="18A6B1D0">
            <w:pPr>
              <w:bidi w:val="0"/>
              <w:jc w:val="center"/>
              <w:rPr>
                <w:rFonts w:hint="eastAsia"/>
                <w:color w:val="auto"/>
                <w:lang w:val="en-US" w:eastAsia="zh-CN"/>
              </w:rPr>
            </w:pPr>
          </w:p>
        </w:tc>
        <w:tc>
          <w:tcPr>
            <w:tcW w:w="1422" w:type="dxa"/>
            <w:vMerge w:val="continue"/>
            <w:tcBorders>
              <w:tl2br w:val="nil"/>
              <w:tr2bl w:val="nil"/>
            </w:tcBorders>
            <w:vAlign w:val="center"/>
          </w:tcPr>
          <w:p w14:paraId="416B002C">
            <w:pPr>
              <w:bidi w:val="0"/>
              <w:jc w:val="center"/>
              <w:rPr>
                <w:rFonts w:hint="eastAsia"/>
                <w:color w:val="auto"/>
                <w:lang w:val="en-US" w:eastAsia="zh-CN"/>
              </w:rPr>
            </w:pPr>
          </w:p>
        </w:tc>
        <w:tc>
          <w:tcPr>
            <w:tcW w:w="1422" w:type="dxa"/>
            <w:tcBorders>
              <w:tl2br w:val="nil"/>
              <w:tr2bl w:val="nil"/>
            </w:tcBorders>
            <w:vAlign w:val="center"/>
          </w:tcPr>
          <w:p w14:paraId="274139C9">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451033AE">
            <w:pPr>
              <w:bidi w:val="0"/>
              <w:jc w:val="center"/>
              <w:rPr>
                <w:rFonts w:hint="default"/>
                <w:color w:val="auto"/>
                <w:lang w:val="en-US" w:eastAsia="zh-CN"/>
              </w:rPr>
            </w:pPr>
            <w:r>
              <w:rPr>
                <w:rFonts w:hint="eastAsia"/>
                <w:color w:val="auto"/>
                <w:lang w:val="en-US" w:eastAsia="zh-CN"/>
              </w:rPr>
              <w:t>6.3</w:t>
            </w:r>
          </w:p>
        </w:tc>
        <w:tc>
          <w:tcPr>
            <w:tcW w:w="1423" w:type="dxa"/>
            <w:vMerge w:val="continue"/>
            <w:tcBorders>
              <w:tl2br w:val="nil"/>
              <w:tr2bl w:val="nil"/>
            </w:tcBorders>
            <w:vAlign w:val="center"/>
          </w:tcPr>
          <w:p w14:paraId="5D4202D6">
            <w:pPr>
              <w:bidi w:val="0"/>
              <w:jc w:val="center"/>
              <w:rPr>
                <w:rFonts w:hint="eastAsia"/>
                <w:color w:val="auto"/>
                <w:lang w:val="en-US" w:eastAsia="zh-CN"/>
              </w:rPr>
            </w:pPr>
          </w:p>
        </w:tc>
        <w:tc>
          <w:tcPr>
            <w:tcW w:w="1423" w:type="dxa"/>
            <w:vMerge w:val="continue"/>
            <w:tcBorders>
              <w:tl2br w:val="nil"/>
              <w:tr2bl w:val="nil"/>
            </w:tcBorders>
            <w:vAlign w:val="center"/>
          </w:tcPr>
          <w:p w14:paraId="6B094C6E">
            <w:pPr>
              <w:bidi w:val="0"/>
              <w:jc w:val="center"/>
              <w:rPr>
                <w:rFonts w:hint="eastAsia"/>
                <w:color w:val="auto"/>
                <w:lang w:val="en-US" w:eastAsia="zh-CN"/>
              </w:rPr>
            </w:pPr>
          </w:p>
        </w:tc>
      </w:tr>
      <w:tr w14:paraId="47D44F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4C5391D">
            <w:pPr>
              <w:bidi w:val="0"/>
              <w:jc w:val="center"/>
              <w:rPr>
                <w:rFonts w:hint="eastAsia"/>
                <w:color w:val="auto"/>
                <w:lang w:val="en-US" w:eastAsia="zh-CN"/>
              </w:rPr>
            </w:pPr>
          </w:p>
        </w:tc>
        <w:tc>
          <w:tcPr>
            <w:tcW w:w="1563" w:type="dxa"/>
            <w:vMerge w:val="continue"/>
            <w:tcBorders>
              <w:tl2br w:val="nil"/>
              <w:tr2bl w:val="nil"/>
            </w:tcBorders>
            <w:vAlign w:val="center"/>
          </w:tcPr>
          <w:p w14:paraId="14AD57BA">
            <w:pPr>
              <w:bidi w:val="0"/>
              <w:jc w:val="center"/>
              <w:rPr>
                <w:rFonts w:hint="eastAsia"/>
                <w:color w:val="auto"/>
                <w:lang w:val="en-US" w:eastAsia="zh-CN"/>
              </w:rPr>
            </w:pPr>
          </w:p>
        </w:tc>
        <w:tc>
          <w:tcPr>
            <w:tcW w:w="1422" w:type="dxa"/>
            <w:vMerge w:val="continue"/>
            <w:tcBorders>
              <w:tl2br w:val="nil"/>
              <w:tr2bl w:val="nil"/>
            </w:tcBorders>
            <w:vAlign w:val="center"/>
          </w:tcPr>
          <w:p w14:paraId="1FEF7DA6">
            <w:pPr>
              <w:bidi w:val="0"/>
              <w:jc w:val="center"/>
              <w:rPr>
                <w:rFonts w:hint="eastAsia"/>
                <w:color w:val="auto"/>
                <w:lang w:val="en-US" w:eastAsia="zh-CN"/>
              </w:rPr>
            </w:pPr>
          </w:p>
        </w:tc>
        <w:tc>
          <w:tcPr>
            <w:tcW w:w="1422" w:type="dxa"/>
            <w:tcBorders>
              <w:tl2br w:val="nil"/>
              <w:tr2bl w:val="nil"/>
            </w:tcBorders>
            <w:vAlign w:val="center"/>
          </w:tcPr>
          <w:p w14:paraId="6F184854">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42207543">
            <w:pPr>
              <w:bidi w:val="0"/>
              <w:jc w:val="center"/>
              <w:rPr>
                <w:rFonts w:hint="default"/>
                <w:color w:val="auto"/>
                <w:lang w:val="en-US" w:eastAsia="zh-CN"/>
              </w:rPr>
            </w:pPr>
            <w:r>
              <w:rPr>
                <w:rFonts w:hint="eastAsia"/>
                <w:color w:val="auto"/>
                <w:lang w:val="en-US" w:eastAsia="zh-CN"/>
              </w:rPr>
              <w:t>7.0</w:t>
            </w:r>
          </w:p>
        </w:tc>
        <w:tc>
          <w:tcPr>
            <w:tcW w:w="1423" w:type="dxa"/>
            <w:vMerge w:val="continue"/>
            <w:tcBorders>
              <w:tl2br w:val="nil"/>
              <w:tr2bl w:val="nil"/>
            </w:tcBorders>
            <w:vAlign w:val="center"/>
          </w:tcPr>
          <w:p w14:paraId="4E3F5605">
            <w:pPr>
              <w:bidi w:val="0"/>
              <w:jc w:val="center"/>
              <w:rPr>
                <w:rFonts w:hint="eastAsia"/>
                <w:color w:val="auto"/>
                <w:lang w:val="en-US" w:eastAsia="zh-CN"/>
              </w:rPr>
            </w:pPr>
          </w:p>
        </w:tc>
        <w:tc>
          <w:tcPr>
            <w:tcW w:w="1423" w:type="dxa"/>
            <w:vMerge w:val="continue"/>
            <w:tcBorders>
              <w:tl2br w:val="nil"/>
              <w:tr2bl w:val="nil"/>
            </w:tcBorders>
            <w:vAlign w:val="center"/>
          </w:tcPr>
          <w:p w14:paraId="31876978">
            <w:pPr>
              <w:bidi w:val="0"/>
              <w:jc w:val="center"/>
              <w:rPr>
                <w:rFonts w:hint="eastAsia"/>
                <w:color w:val="auto"/>
                <w:lang w:val="en-US" w:eastAsia="zh-CN"/>
              </w:rPr>
            </w:pPr>
          </w:p>
        </w:tc>
      </w:tr>
      <w:tr w14:paraId="6DD1C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A90740C">
            <w:pPr>
              <w:bidi w:val="0"/>
              <w:jc w:val="center"/>
              <w:rPr>
                <w:rFonts w:hint="eastAsia"/>
                <w:color w:val="auto"/>
                <w:lang w:val="en-US" w:eastAsia="zh-CN"/>
              </w:rPr>
            </w:pPr>
          </w:p>
        </w:tc>
        <w:tc>
          <w:tcPr>
            <w:tcW w:w="1563" w:type="dxa"/>
            <w:vMerge w:val="continue"/>
            <w:tcBorders>
              <w:tl2br w:val="nil"/>
              <w:tr2bl w:val="nil"/>
            </w:tcBorders>
            <w:vAlign w:val="center"/>
          </w:tcPr>
          <w:p w14:paraId="10A3DBC1">
            <w:pPr>
              <w:bidi w:val="0"/>
              <w:jc w:val="center"/>
              <w:rPr>
                <w:rFonts w:hint="eastAsia"/>
                <w:color w:val="auto"/>
                <w:lang w:val="en-US" w:eastAsia="zh-CN"/>
              </w:rPr>
            </w:pPr>
          </w:p>
        </w:tc>
        <w:tc>
          <w:tcPr>
            <w:tcW w:w="1422" w:type="dxa"/>
            <w:vMerge w:val="continue"/>
            <w:tcBorders>
              <w:tl2br w:val="nil"/>
              <w:tr2bl w:val="nil"/>
            </w:tcBorders>
            <w:vAlign w:val="center"/>
          </w:tcPr>
          <w:p w14:paraId="5B840090">
            <w:pPr>
              <w:bidi w:val="0"/>
              <w:jc w:val="center"/>
              <w:rPr>
                <w:rFonts w:hint="eastAsia"/>
                <w:color w:val="auto"/>
                <w:lang w:val="en-US" w:eastAsia="zh-CN"/>
              </w:rPr>
            </w:pPr>
          </w:p>
        </w:tc>
        <w:tc>
          <w:tcPr>
            <w:tcW w:w="1422" w:type="dxa"/>
            <w:tcBorders>
              <w:tl2br w:val="nil"/>
              <w:tr2bl w:val="nil"/>
            </w:tcBorders>
            <w:vAlign w:val="center"/>
          </w:tcPr>
          <w:p w14:paraId="175C56D6">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670376C9">
            <w:pPr>
              <w:bidi w:val="0"/>
              <w:jc w:val="center"/>
              <w:rPr>
                <w:rFonts w:hint="default"/>
                <w:color w:val="auto"/>
                <w:lang w:val="en-US" w:eastAsia="zh-CN"/>
              </w:rPr>
            </w:pPr>
            <w:r>
              <w:rPr>
                <w:rFonts w:hint="eastAsia"/>
                <w:color w:val="auto"/>
                <w:lang w:val="en-US" w:eastAsia="zh-CN"/>
              </w:rPr>
              <w:t>7.1</w:t>
            </w:r>
          </w:p>
        </w:tc>
        <w:tc>
          <w:tcPr>
            <w:tcW w:w="1423" w:type="dxa"/>
            <w:vMerge w:val="continue"/>
            <w:tcBorders>
              <w:tl2br w:val="nil"/>
              <w:tr2bl w:val="nil"/>
            </w:tcBorders>
            <w:vAlign w:val="center"/>
          </w:tcPr>
          <w:p w14:paraId="440553F5">
            <w:pPr>
              <w:bidi w:val="0"/>
              <w:jc w:val="center"/>
              <w:rPr>
                <w:rFonts w:hint="eastAsia"/>
                <w:color w:val="auto"/>
                <w:lang w:val="en-US" w:eastAsia="zh-CN"/>
              </w:rPr>
            </w:pPr>
          </w:p>
        </w:tc>
        <w:tc>
          <w:tcPr>
            <w:tcW w:w="1423" w:type="dxa"/>
            <w:vMerge w:val="continue"/>
            <w:tcBorders>
              <w:tl2br w:val="nil"/>
              <w:tr2bl w:val="nil"/>
            </w:tcBorders>
            <w:vAlign w:val="center"/>
          </w:tcPr>
          <w:p w14:paraId="59B3A6C0">
            <w:pPr>
              <w:bidi w:val="0"/>
              <w:jc w:val="center"/>
              <w:rPr>
                <w:rFonts w:hint="eastAsia"/>
                <w:color w:val="auto"/>
                <w:lang w:val="en-US" w:eastAsia="zh-CN"/>
              </w:rPr>
            </w:pPr>
          </w:p>
        </w:tc>
      </w:tr>
      <w:tr w14:paraId="0455C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3A19A45">
            <w:pPr>
              <w:bidi w:val="0"/>
              <w:jc w:val="center"/>
              <w:rPr>
                <w:rFonts w:hint="eastAsia"/>
                <w:color w:val="auto"/>
                <w:lang w:val="en-US" w:eastAsia="zh-CN"/>
              </w:rPr>
            </w:pPr>
          </w:p>
        </w:tc>
        <w:tc>
          <w:tcPr>
            <w:tcW w:w="1563" w:type="dxa"/>
            <w:vMerge w:val="continue"/>
            <w:tcBorders>
              <w:tl2br w:val="nil"/>
              <w:tr2bl w:val="nil"/>
            </w:tcBorders>
            <w:vAlign w:val="center"/>
          </w:tcPr>
          <w:p w14:paraId="6F545AE8">
            <w:pPr>
              <w:bidi w:val="0"/>
              <w:jc w:val="center"/>
              <w:rPr>
                <w:rFonts w:hint="eastAsia"/>
                <w:color w:val="auto"/>
                <w:lang w:val="en-US" w:eastAsia="zh-CN"/>
              </w:rPr>
            </w:pPr>
          </w:p>
        </w:tc>
        <w:tc>
          <w:tcPr>
            <w:tcW w:w="1422" w:type="dxa"/>
            <w:vMerge w:val="restart"/>
            <w:tcBorders>
              <w:tl2br w:val="nil"/>
              <w:tr2bl w:val="nil"/>
            </w:tcBorders>
            <w:vAlign w:val="center"/>
          </w:tcPr>
          <w:p w14:paraId="097A67C9">
            <w:pPr>
              <w:bidi w:val="0"/>
              <w:jc w:val="center"/>
              <w:rPr>
                <w:rFonts w:hint="default"/>
                <w:color w:val="auto"/>
                <w:lang w:val="en-US" w:eastAsia="zh-CN"/>
              </w:rPr>
            </w:pPr>
            <w:r>
              <w:rPr>
                <w:rFonts w:hint="eastAsia"/>
                <w:color w:val="auto"/>
                <w:lang w:val="en-US" w:eastAsia="zh-CN"/>
              </w:rPr>
              <w:t>氨氮</w:t>
            </w:r>
          </w:p>
        </w:tc>
        <w:tc>
          <w:tcPr>
            <w:tcW w:w="1422" w:type="dxa"/>
            <w:tcBorders>
              <w:tl2br w:val="nil"/>
              <w:tr2bl w:val="nil"/>
            </w:tcBorders>
            <w:vAlign w:val="center"/>
          </w:tcPr>
          <w:p w14:paraId="3C783814">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30DC0C44">
            <w:pPr>
              <w:bidi w:val="0"/>
              <w:jc w:val="center"/>
              <w:rPr>
                <w:rFonts w:hint="default"/>
                <w:color w:val="auto"/>
                <w:lang w:val="en-US" w:eastAsia="zh-CN"/>
              </w:rPr>
            </w:pPr>
            <w:r>
              <w:rPr>
                <w:rFonts w:hint="eastAsia"/>
                <w:color w:val="auto"/>
                <w:lang w:val="en-US" w:eastAsia="zh-CN"/>
              </w:rPr>
              <w:t>1.00</w:t>
            </w:r>
          </w:p>
        </w:tc>
        <w:tc>
          <w:tcPr>
            <w:tcW w:w="1423" w:type="dxa"/>
            <w:vMerge w:val="restart"/>
            <w:tcBorders>
              <w:tl2br w:val="nil"/>
              <w:tr2bl w:val="nil"/>
            </w:tcBorders>
            <w:vAlign w:val="center"/>
          </w:tcPr>
          <w:p w14:paraId="46F6045F">
            <w:pPr>
              <w:bidi w:val="0"/>
              <w:jc w:val="center"/>
              <w:rPr>
                <w:rFonts w:hint="default"/>
                <w:color w:val="auto"/>
                <w:lang w:val="en-US" w:eastAsia="zh-CN"/>
              </w:rPr>
            </w:pPr>
            <w:r>
              <w:rPr>
                <w:rFonts w:hint="eastAsia"/>
                <w:color w:val="auto"/>
                <w:lang w:val="en-US" w:eastAsia="zh-CN"/>
              </w:rPr>
              <w:t>30</w:t>
            </w:r>
          </w:p>
        </w:tc>
        <w:tc>
          <w:tcPr>
            <w:tcW w:w="1423" w:type="dxa"/>
            <w:vMerge w:val="restart"/>
            <w:tcBorders>
              <w:tl2br w:val="nil"/>
              <w:tr2bl w:val="nil"/>
            </w:tcBorders>
            <w:vAlign w:val="center"/>
          </w:tcPr>
          <w:p w14:paraId="0C993FC7">
            <w:pPr>
              <w:bidi w:val="0"/>
              <w:jc w:val="center"/>
              <w:rPr>
                <w:rFonts w:hint="eastAsia"/>
                <w:color w:val="auto"/>
                <w:lang w:val="en-US" w:eastAsia="zh-CN"/>
              </w:rPr>
            </w:pPr>
            <w:r>
              <w:rPr>
                <w:rFonts w:hint="eastAsia"/>
                <w:color w:val="auto"/>
                <w:lang w:val="en-US" w:eastAsia="zh-CN"/>
              </w:rPr>
              <w:t>达标</w:t>
            </w:r>
          </w:p>
        </w:tc>
      </w:tr>
      <w:tr w14:paraId="084B74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075EDEF">
            <w:pPr>
              <w:bidi w:val="0"/>
              <w:jc w:val="center"/>
              <w:rPr>
                <w:rFonts w:hint="eastAsia"/>
                <w:color w:val="auto"/>
                <w:lang w:val="en-US" w:eastAsia="zh-CN"/>
              </w:rPr>
            </w:pPr>
          </w:p>
        </w:tc>
        <w:tc>
          <w:tcPr>
            <w:tcW w:w="1563" w:type="dxa"/>
            <w:vMerge w:val="continue"/>
            <w:tcBorders>
              <w:tl2br w:val="nil"/>
              <w:tr2bl w:val="nil"/>
            </w:tcBorders>
            <w:vAlign w:val="center"/>
          </w:tcPr>
          <w:p w14:paraId="18BB2AC1">
            <w:pPr>
              <w:bidi w:val="0"/>
              <w:jc w:val="center"/>
              <w:rPr>
                <w:rFonts w:hint="eastAsia"/>
                <w:color w:val="auto"/>
                <w:lang w:val="en-US" w:eastAsia="zh-CN"/>
              </w:rPr>
            </w:pPr>
          </w:p>
        </w:tc>
        <w:tc>
          <w:tcPr>
            <w:tcW w:w="1422" w:type="dxa"/>
            <w:vMerge w:val="continue"/>
            <w:tcBorders>
              <w:tl2br w:val="nil"/>
              <w:tr2bl w:val="nil"/>
            </w:tcBorders>
            <w:vAlign w:val="center"/>
          </w:tcPr>
          <w:p w14:paraId="6F4D88C9">
            <w:pPr>
              <w:bidi w:val="0"/>
              <w:jc w:val="center"/>
              <w:rPr>
                <w:rFonts w:hint="eastAsia"/>
                <w:color w:val="auto"/>
                <w:lang w:val="en-US" w:eastAsia="zh-CN"/>
              </w:rPr>
            </w:pPr>
          </w:p>
        </w:tc>
        <w:tc>
          <w:tcPr>
            <w:tcW w:w="1422" w:type="dxa"/>
            <w:tcBorders>
              <w:tl2br w:val="nil"/>
              <w:tr2bl w:val="nil"/>
            </w:tcBorders>
            <w:vAlign w:val="center"/>
          </w:tcPr>
          <w:p w14:paraId="494BBFC4">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237CA76E">
            <w:pPr>
              <w:bidi w:val="0"/>
              <w:jc w:val="center"/>
              <w:rPr>
                <w:rFonts w:hint="default"/>
                <w:color w:val="auto"/>
                <w:lang w:val="en-US" w:eastAsia="zh-CN"/>
              </w:rPr>
            </w:pPr>
            <w:r>
              <w:rPr>
                <w:rFonts w:hint="eastAsia"/>
                <w:color w:val="auto"/>
                <w:lang w:val="en-US" w:eastAsia="zh-CN"/>
              </w:rPr>
              <w:t>1.08</w:t>
            </w:r>
          </w:p>
        </w:tc>
        <w:tc>
          <w:tcPr>
            <w:tcW w:w="1423" w:type="dxa"/>
            <w:vMerge w:val="continue"/>
            <w:tcBorders>
              <w:tl2br w:val="nil"/>
              <w:tr2bl w:val="nil"/>
            </w:tcBorders>
            <w:vAlign w:val="center"/>
          </w:tcPr>
          <w:p w14:paraId="01B4F731">
            <w:pPr>
              <w:bidi w:val="0"/>
              <w:jc w:val="center"/>
              <w:rPr>
                <w:rFonts w:hint="eastAsia"/>
                <w:color w:val="auto"/>
                <w:lang w:val="en-US" w:eastAsia="zh-CN"/>
              </w:rPr>
            </w:pPr>
          </w:p>
        </w:tc>
        <w:tc>
          <w:tcPr>
            <w:tcW w:w="1423" w:type="dxa"/>
            <w:vMerge w:val="continue"/>
            <w:tcBorders>
              <w:tl2br w:val="nil"/>
              <w:tr2bl w:val="nil"/>
            </w:tcBorders>
            <w:vAlign w:val="center"/>
          </w:tcPr>
          <w:p w14:paraId="78BBDEDE">
            <w:pPr>
              <w:bidi w:val="0"/>
              <w:jc w:val="center"/>
              <w:rPr>
                <w:rFonts w:hint="eastAsia"/>
                <w:color w:val="auto"/>
                <w:lang w:val="en-US" w:eastAsia="zh-CN"/>
              </w:rPr>
            </w:pPr>
          </w:p>
        </w:tc>
      </w:tr>
      <w:tr w14:paraId="38895A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393500B">
            <w:pPr>
              <w:bidi w:val="0"/>
              <w:jc w:val="center"/>
              <w:rPr>
                <w:rFonts w:hint="eastAsia"/>
                <w:color w:val="auto"/>
                <w:lang w:val="en-US" w:eastAsia="zh-CN"/>
              </w:rPr>
            </w:pPr>
          </w:p>
        </w:tc>
        <w:tc>
          <w:tcPr>
            <w:tcW w:w="1563" w:type="dxa"/>
            <w:vMerge w:val="continue"/>
            <w:tcBorders>
              <w:tl2br w:val="nil"/>
              <w:tr2bl w:val="nil"/>
            </w:tcBorders>
            <w:vAlign w:val="center"/>
          </w:tcPr>
          <w:p w14:paraId="73714721">
            <w:pPr>
              <w:bidi w:val="0"/>
              <w:jc w:val="center"/>
              <w:rPr>
                <w:rFonts w:hint="eastAsia"/>
                <w:color w:val="auto"/>
                <w:lang w:val="en-US" w:eastAsia="zh-CN"/>
              </w:rPr>
            </w:pPr>
          </w:p>
        </w:tc>
        <w:tc>
          <w:tcPr>
            <w:tcW w:w="1422" w:type="dxa"/>
            <w:vMerge w:val="continue"/>
            <w:tcBorders>
              <w:tl2br w:val="nil"/>
              <w:tr2bl w:val="nil"/>
            </w:tcBorders>
            <w:vAlign w:val="center"/>
          </w:tcPr>
          <w:p w14:paraId="119B2623">
            <w:pPr>
              <w:bidi w:val="0"/>
              <w:jc w:val="center"/>
              <w:rPr>
                <w:rFonts w:hint="eastAsia"/>
                <w:color w:val="auto"/>
                <w:lang w:val="en-US" w:eastAsia="zh-CN"/>
              </w:rPr>
            </w:pPr>
          </w:p>
        </w:tc>
        <w:tc>
          <w:tcPr>
            <w:tcW w:w="1422" w:type="dxa"/>
            <w:tcBorders>
              <w:tl2br w:val="nil"/>
              <w:tr2bl w:val="nil"/>
            </w:tcBorders>
            <w:vAlign w:val="center"/>
          </w:tcPr>
          <w:p w14:paraId="6469D0F5">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29BFAAE1">
            <w:pPr>
              <w:bidi w:val="0"/>
              <w:jc w:val="center"/>
              <w:rPr>
                <w:rFonts w:hint="default"/>
                <w:color w:val="auto"/>
                <w:lang w:val="en-US" w:eastAsia="zh-CN"/>
              </w:rPr>
            </w:pPr>
            <w:r>
              <w:rPr>
                <w:rFonts w:hint="eastAsia"/>
                <w:color w:val="auto"/>
                <w:lang w:val="en-US" w:eastAsia="zh-CN"/>
              </w:rPr>
              <w:t>1.03</w:t>
            </w:r>
          </w:p>
        </w:tc>
        <w:tc>
          <w:tcPr>
            <w:tcW w:w="1423" w:type="dxa"/>
            <w:vMerge w:val="continue"/>
            <w:tcBorders>
              <w:tl2br w:val="nil"/>
              <w:tr2bl w:val="nil"/>
            </w:tcBorders>
            <w:vAlign w:val="center"/>
          </w:tcPr>
          <w:p w14:paraId="211293F9">
            <w:pPr>
              <w:bidi w:val="0"/>
              <w:jc w:val="center"/>
              <w:rPr>
                <w:rFonts w:hint="eastAsia"/>
                <w:color w:val="auto"/>
                <w:lang w:val="en-US" w:eastAsia="zh-CN"/>
              </w:rPr>
            </w:pPr>
          </w:p>
        </w:tc>
        <w:tc>
          <w:tcPr>
            <w:tcW w:w="1423" w:type="dxa"/>
            <w:vMerge w:val="continue"/>
            <w:tcBorders>
              <w:tl2br w:val="nil"/>
              <w:tr2bl w:val="nil"/>
            </w:tcBorders>
            <w:vAlign w:val="center"/>
          </w:tcPr>
          <w:p w14:paraId="4205D108">
            <w:pPr>
              <w:bidi w:val="0"/>
              <w:jc w:val="center"/>
              <w:rPr>
                <w:rFonts w:hint="eastAsia"/>
                <w:color w:val="auto"/>
                <w:lang w:val="en-US" w:eastAsia="zh-CN"/>
              </w:rPr>
            </w:pPr>
          </w:p>
        </w:tc>
      </w:tr>
      <w:tr w14:paraId="373802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CACD6D9">
            <w:pPr>
              <w:bidi w:val="0"/>
              <w:jc w:val="center"/>
              <w:rPr>
                <w:rFonts w:hint="eastAsia"/>
                <w:color w:val="auto"/>
                <w:lang w:val="en-US" w:eastAsia="zh-CN"/>
              </w:rPr>
            </w:pPr>
          </w:p>
        </w:tc>
        <w:tc>
          <w:tcPr>
            <w:tcW w:w="1563" w:type="dxa"/>
            <w:vMerge w:val="continue"/>
            <w:tcBorders>
              <w:tl2br w:val="nil"/>
              <w:tr2bl w:val="nil"/>
            </w:tcBorders>
            <w:vAlign w:val="center"/>
          </w:tcPr>
          <w:p w14:paraId="54A12654">
            <w:pPr>
              <w:bidi w:val="0"/>
              <w:jc w:val="center"/>
              <w:rPr>
                <w:rFonts w:hint="eastAsia"/>
                <w:color w:val="auto"/>
                <w:lang w:val="en-US" w:eastAsia="zh-CN"/>
              </w:rPr>
            </w:pPr>
          </w:p>
        </w:tc>
        <w:tc>
          <w:tcPr>
            <w:tcW w:w="1422" w:type="dxa"/>
            <w:vMerge w:val="continue"/>
            <w:tcBorders>
              <w:tl2br w:val="nil"/>
              <w:tr2bl w:val="nil"/>
            </w:tcBorders>
            <w:vAlign w:val="center"/>
          </w:tcPr>
          <w:p w14:paraId="13206BC6">
            <w:pPr>
              <w:bidi w:val="0"/>
              <w:jc w:val="center"/>
              <w:rPr>
                <w:rFonts w:hint="eastAsia"/>
                <w:color w:val="auto"/>
                <w:lang w:val="en-US" w:eastAsia="zh-CN"/>
              </w:rPr>
            </w:pPr>
          </w:p>
        </w:tc>
        <w:tc>
          <w:tcPr>
            <w:tcW w:w="1422" w:type="dxa"/>
            <w:tcBorders>
              <w:tl2br w:val="nil"/>
              <w:tr2bl w:val="nil"/>
            </w:tcBorders>
            <w:vAlign w:val="center"/>
          </w:tcPr>
          <w:p w14:paraId="6C7AC52C">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035D739C">
            <w:pPr>
              <w:bidi w:val="0"/>
              <w:jc w:val="center"/>
              <w:rPr>
                <w:rFonts w:hint="default"/>
                <w:color w:val="auto"/>
                <w:lang w:val="en-US" w:eastAsia="zh-CN"/>
              </w:rPr>
            </w:pPr>
            <w:r>
              <w:rPr>
                <w:rFonts w:hint="eastAsia"/>
                <w:color w:val="auto"/>
                <w:lang w:val="en-US" w:eastAsia="zh-CN"/>
              </w:rPr>
              <w:t>1.07</w:t>
            </w:r>
          </w:p>
        </w:tc>
        <w:tc>
          <w:tcPr>
            <w:tcW w:w="1423" w:type="dxa"/>
            <w:vMerge w:val="continue"/>
            <w:tcBorders>
              <w:tl2br w:val="nil"/>
              <w:tr2bl w:val="nil"/>
            </w:tcBorders>
            <w:vAlign w:val="center"/>
          </w:tcPr>
          <w:p w14:paraId="54C6CEB1">
            <w:pPr>
              <w:bidi w:val="0"/>
              <w:jc w:val="center"/>
              <w:rPr>
                <w:rFonts w:hint="eastAsia"/>
                <w:color w:val="auto"/>
                <w:lang w:val="en-US" w:eastAsia="zh-CN"/>
              </w:rPr>
            </w:pPr>
          </w:p>
        </w:tc>
        <w:tc>
          <w:tcPr>
            <w:tcW w:w="1423" w:type="dxa"/>
            <w:vMerge w:val="continue"/>
            <w:tcBorders>
              <w:tl2br w:val="nil"/>
              <w:tr2bl w:val="nil"/>
            </w:tcBorders>
            <w:vAlign w:val="center"/>
          </w:tcPr>
          <w:p w14:paraId="0FC1DE72">
            <w:pPr>
              <w:bidi w:val="0"/>
              <w:jc w:val="center"/>
              <w:rPr>
                <w:rFonts w:hint="eastAsia"/>
                <w:color w:val="auto"/>
                <w:lang w:val="en-US" w:eastAsia="zh-CN"/>
              </w:rPr>
            </w:pPr>
          </w:p>
        </w:tc>
      </w:tr>
    </w:tbl>
    <w:p w14:paraId="4F04C015">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both"/>
        <w:textAlignment w:val="auto"/>
        <w:rPr>
          <w:rFonts w:hint="eastAsia" w:ascii="Times New Roman" w:hAnsi="Times New Roman" w:cs="Times New Roman"/>
          <w:b w:val="0"/>
          <w:bCs w:val="0"/>
          <w:color w:val="auto"/>
          <w:sz w:val="24"/>
          <w:szCs w:val="32"/>
          <w:lang w:val="en-US" w:eastAsia="zh-CN"/>
        </w:rPr>
      </w:pPr>
    </w:p>
    <w:p w14:paraId="7652F3DD">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由上表监测数据可知，</w:t>
      </w:r>
      <w:r>
        <w:rPr>
          <w:color w:val="auto"/>
          <w:sz w:val="24"/>
          <w:szCs w:val="28"/>
        </w:rPr>
        <w:t>本项目生活污水经化粪池预处理后，</w:t>
      </w:r>
      <w:r>
        <w:rPr>
          <w:color w:val="auto"/>
          <w:sz w:val="24"/>
          <w:szCs w:val="32"/>
        </w:rPr>
        <w:t>废水排放</w:t>
      </w:r>
      <w:r>
        <w:rPr>
          <w:rFonts w:hint="eastAsia"/>
          <w:color w:val="auto"/>
          <w:sz w:val="24"/>
          <w:szCs w:val="32"/>
          <w:lang w:val="en-US" w:eastAsia="zh-CN"/>
        </w:rPr>
        <w:t>浓度满足</w:t>
      </w:r>
      <w:r>
        <w:rPr>
          <w:color w:val="auto"/>
          <w:sz w:val="24"/>
          <w:szCs w:val="32"/>
        </w:rPr>
        <w:t>濉溪县第二污水处理厂接管限值</w:t>
      </w:r>
      <w:r>
        <w:rPr>
          <w:rFonts w:hint="eastAsia"/>
          <w:color w:val="auto"/>
          <w:sz w:val="24"/>
          <w:szCs w:val="32"/>
          <w:lang w:val="en-US" w:eastAsia="zh-CN"/>
        </w:rPr>
        <w:t>要求。</w:t>
      </w:r>
    </w:p>
    <w:p w14:paraId="42F0AAA5">
      <w:pPr>
        <w:spacing w:line="360" w:lineRule="auto"/>
        <w:outlineLvl w:val="2"/>
        <w:rPr>
          <w:rFonts w:hint="eastAsia"/>
          <w:b/>
          <w:bCs/>
          <w:color w:val="auto"/>
          <w:sz w:val="24"/>
          <w:lang w:val="en-US" w:eastAsia="zh-CN"/>
        </w:rPr>
      </w:pPr>
      <w:r>
        <w:rPr>
          <w:rFonts w:hint="eastAsia"/>
          <w:b/>
          <w:bCs/>
          <w:color w:val="auto"/>
          <w:sz w:val="24"/>
          <w:lang w:val="en-US" w:eastAsia="zh-CN"/>
        </w:rPr>
        <w:t>3.3.3噪声污染源及其治理措施分析</w:t>
      </w:r>
    </w:p>
    <w:p w14:paraId="5F8E462A">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b w:val="0"/>
          <w:bCs w:val="0"/>
          <w:color w:val="auto"/>
          <w:sz w:val="24"/>
          <w:lang w:val="en-US" w:eastAsia="zh-CN"/>
        </w:rPr>
      </w:pPr>
      <w:r>
        <w:rPr>
          <w:rFonts w:hint="default" w:ascii="Times New Roman" w:hAnsi="Times New Roman" w:cs="Times New Roman"/>
          <w:b w:val="0"/>
          <w:bCs w:val="0"/>
          <w:color w:val="auto"/>
          <w:sz w:val="24"/>
          <w:lang w:val="en-US" w:eastAsia="zh-CN"/>
        </w:rPr>
        <w:t>公司产噪设备主要为空压机</w:t>
      </w:r>
      <w:r>
        <w:rPr>
          <w:rFonts w:hint="eastAsia" w:ascii="Times New Roman" w:hAnsi="Times New Roman" w:cs="Times New Roman"/>
          <w:b w:val="0"/>
          <w:bCs w:val="0"/>
          <w:color w:val="auto"/>
          <w:sz w:val="24"/>
          <w:lang w:val="en-US" w:eastAsia="zh-CN"/>
        </w:rPr>
        <w:t>和各类生产设备</w:t>
      </w:r>
      <w:r>
        <w:rPr>
          <w:rFonts w:hint="default" w:ascii="Times New Roman" w:hAnsi="Times New Roman" w:cs="Times New Roman"/>
          <w:b w:val="0"/>
          <w:bCs w:val="0"/>
          <w:color w:val="auto"/>
          <w:sz w:val="24"/>
          <w:lang w:val="en-US" w:eastAsia="zh-CN"/>
        </w:rPr>
        <w:t>等，采取消音、减振、隔声等降噪措施。</w:t>
      </w:r>
      <w:r>
        <w:rPr>
          <w:rFonts w:hint="eastAsia"/>
          <w:color w:val="auto"/>
          <w:kern w:val="24"/>
          <w:sz w:val="24"/>
          <w:lang w:val="en-US" w:eastAsia="zh-CN"/>
        </w:rPr>
        <w:t>安徽省裕康铝业有限公司经营该项目期间</w:t>
      </w:r>
      <w:r>
        <w:rPr>
          <w:rFonts w:hint="default" w:ascii="Times New Roman" w:hAnsi="Times New Roman" w:cs="Times New Roman"/>
          <w:b w:val="0"/>
          <w:bCs w:val="0"/>
          <w:color w:val="auto"/>
          <w:sz w:val="24"/>
          <w:lang w:val="en-US" w:eastAsia="zh-CN"/>
        </w:rPr>
        <w:t>于202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27</w:t>
      </w:r>
      <w:r>
        <w:rPr>
          <w:rFonts w:hint="default" w:ascii="Times New Roman" w:hAnsi="Times New Roman" w:cs="Times New Roman"/>
          <w:b w:val="0"/>
          <w:bCs w:val="0"/>
          <w:color w:val="auto"/>
          <w:sz w:val="24"/>
          <w:lang w:val="en-US" w:eastAsia="zh-CN"/>
        </w:rPr>
        <w:t>日委托</w:t>
      </w:r>
      <w:r>
        <w:rPr>
          <w:rFonts w:hint="default" w:ascii="Times New Roman" w:hAnsi="Times New Roman" w:cs="Times New Roman"/>
          <w:b w:val="0"/>
          <w:bCs w:val="0"/>
          <w:color w:val="auto"/>
          <w:sz w:val="24"/>
          <w:szCs w:val="32"/>
        </w:rPr>
        <w:t>安徽阿尔发环境工程有限公司对</w:t>
      </w:r>
      <w:r>
        <w:rPr>
          <w:rFonts w:hint="eastAsia" w:ascii="Times New Roman" w:hAnsi="Times New Roman" w:cs="Times New Roman"/>
          <w:b w:val="0"/>
          <w:bCs w:val="0"/>
          <w:color w:val="auto"/>
          <w:sz w:val="24"/>
          <w:szCs w:val="32"/>
          <w:lang w:val="en-US" w:eastAsia="zh-CN"/>
        </w:rPr>
        <w:t>厂界昼间噪声</w:t>
      </w:r>
      <w:r>
        <w:rPr>
          <w:rFonts w:hint="default" w:ascii="Times New Roman" w:hAnsi="Times New Roman" w:cs="Times New Roman"/>
          <w:b w:val="0"/>
          <w:bCs w:val="0"/>
          <w:color w:val="auto"/>
          <w:sz w:val="24"/>
          <w:szCs w:val="32"/>
        </w:rPr>
        <w:t>进行了检测，具体检测结果如下：</w:t>
      </w:r>
    </w:p>
    <w:p w14:paraId="35780A11">
      <w:pPr>
        <w:spacing w:line="360" w:lineRule="auto"/>
        <w:jc w:val="center"/>
        <w:rPr>
          <w:b/>
          <w:bCs/>
          <w:color w:val="auto"/>
          <w:sz w:val="24"/>
          <w:szCs w:val="32"/>
        </w:rPr>
      </w:pPr>
      <w:r>
        <w:rPr>
          <w:b/>
          <w:bCs/>
          <w:color w:val="auto"/>
          <w:sz w:val="24"/>
          <w:szCs w:val="32"/>
        </w:rPr>
        <w:t>表3-</w:t>
      </w:r>
      <w:r>
        <w:rPr>
          <w:rFonts w:hint="eastAsia"/>
          <w:b/>
          <w:bCs/>
          <w:color w:val="auto"/>
          <w:sz w:val="24"/>
          <w:szCs w:val="32"/>
          <w:lang w:val="en-US" w:eastAsia="zh-CN"/>
        </w:rPr>
        <w:t>11</w:t>
      </w:r>
      <w:r>
        <w:rPr>
          <w:b/>
          <w:bCs/>
          <w:color w:val="auto"/>
          <w:sz w:val="24"/>
          <w:szCs w:val="32"/>
        </w:rPr>
        <w:t>厂界噪声监测结果</w:t>
      </w:r>
      <w:r>
        <w:rPr>
          <w:rFonts w:hint="eastAsia"/>
          <w:b/>
          <w:bCs/>
          <w:color w:val="auto"/>
          <w:sz w:val="24"/>
          <w:szCs w:val="32"/>
          <w:lang w:val="en-US" w:eastAsia="zh-CN"/>
        </w:rPr>
        <w:t>一览</w:t>
      </w:r>
      <w:r>
        <w:rPr>
          <w:b/>
          <w:bCs/>
          <w:color w:val="auto"/>
          <w:sz w:val="24"/>
          <w:szCs w:val="32"/>
        </w:rPr>
        <w:t>表</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618"/>
        <w:gridCol w:w="1622"/>
        <w:gridCol w:w="3259"/>
        <w:gridCol w:w="3259"/>
      </w:tblGrid>
      <w:tr w14:paraId="507063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restart"/>
            <w:tcBorders>
              <w:tl2br w:val="nil"/>
              <w:tr2bl w:val="nil"/>
            </w:tcBorders>
            <w:noWrap/>
            <w:vAlign w:val="center"/>
          </w:tcPr>
          <w:p w14:paraId="03D2637C">
            <w:pPr>
              <w:widowControl/>
              <w:jc w:val="center"/>
              <w:textAlignment w:val="center"/>
              <w:rPr>
                <w:b/>
                <w:bCs/>
                <w:color w:val="auto"/>
                <w:szCs w:val="21"/>
              </w:rPr>
            </w:pPr>
            <w:r>
              <w:rPr>
                <w:b/>
                <w:bCs/>
                <w:color w:val="auto"/>
                <w:kern w:val="0"/>
                <w:szCs w:val="21"/>
                <w:lang w:bidi="ar"/>
              </w:rPr>
              <w:t>测点位置</w:t>
            </w:r>
          </w:p>
        </w:tc>
        <w:tc>
          <w:tcPr>
            <w:tcW w:w="831" w:type="pct"/>
            <w:vMerge w:val="restart"/>
            <w:tcBorders>
              <w:tl2br w:val="nil"/>
              <w:tr2bl w:val="nil"/>
            </w:tcBorders>
            <w:noWrap/>
            <w:vAlign w:val="center"/>
          </w:tcPr>
          <w:p w14:paraId="4328D839">
            <w:pPr>
              <w:widowControl/>
              <w:jc w:val="center"/>
              <w:textAlignment w:val="center"/>
              <w:rPr>
                <w:b/>
                <w:bCs/>
                <w:color w:val="auto"/>
                <w:szCs w:val="21"/>
              </w:rPr>
            </w:pPr>
            <w:r>
              <w:rPr>
                <w:b/>
                <w:bCs/>
                <w:color w:val="auto"/>
                <w:kern w:val="0"/>
                <w:szCs w:val="21"/>
                <w:lang w:bidi="ar"/>
              </w:rPr>
              <w:t>主要声源</w:t>
            </w:r>
          </w:p>
        </w:tc>
        <w:tc>
          <w:tcPr>
            <w:tcW w:w="3338" w:type="pct"/>
            <w:gridSpan w:val="2"/>
            <w:tcBorders>
              <w:tl2br w:val="nil"/>
              <w:tr2bl w:val="nil"/>
            </w:tcBorders>
            <w:noWrap/>
            <w:vAlign w:val="center"/>
          </w:tcPr>
          <w:p w14:paraId="168BD69B">
            <w:pPr>
              <w:widowControl/>
              <w:jc w:val="center"/>
              <w:textAlignment w:val="center"/>
              <w:rPr>
                <w:rFonts w:hint="default" w:eastAsia="宋体"/>
                <w:b/>
                <w:bCs/>
                <w:color w:val="auto"/>
                <w:szCs w:val="21"/>
                <w:lang w:val="en-US" w:eastAsia="zh-CN"/>
              </w:rPr>
            </w:pPr>
            <w:r>
              <w:rPr>
                <w:b/>
                <w:bCs/>
                <w:color w:val="auto"/>
                <w:kern w:val="0"/>
                <w:szCs w:val="21"/>
                <w:lang w:bidi="ar"/>
              </w:rPr>
              <w:t>2024/0</w:t>
            </w:r>
            <w:r>
              <w:rPr>
                <w:rFonts w:hint="eastAsia"/>
                <w:b/>
                <w:bCs/>
                <w:color w:val="auto"/>
                <w:kern w:val="0"/>
                <w:szCs w:val="21"/>
                <w:lang w:val="en-US" w:eastAsia="zh-CN" w:bidi="ar"/>
              </w:rPr>
              <w:t>8</w:t>
            </w:r>
            <w:r>
              <w:rPr>
                <w:b/>
                <w:bCs/>
                <w:color w:val="auto"/>
                <w:kern w:val="0"/>
                <w:szCs w:val="21"/>
                <w:lang w:bidi="ar"/>
              </w:rPr>
              <w:t>/</w:t>
            </w:r>
            <w:r>
              <w:rPr>
                <w:rFonts w:hint="eastAsia"/>
                <w:b/>
                <w:bCs/>
                <w:color w:val="auto"/>
                <w:kern w:val="0"/>
                <w:szCs w:val="21"/>
                <w:lang w:val="en-US" w:eastAsia="zh-CN" w:bidi="ar"/>
              </w:rPr>
              <w:t>27</w:t>
            </w:r>
          </w:p>
        </w:tc>
      </w:tr>
      <w:tr w14:paraId="22796F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continue"/>
            <w:tcBorders>
              <w:tl2br w:val="nil"/>
              <w:tr2bl w:val="nil"/>
            </w:tcBorders>
            <w:noWrap/>
            <w:vAlign w:val="center"/>
          </w:tcPr>
          <w:p w14:paraId="0FA7EBF6">
            <w:pPr>
              <w:jc w:val="center"/>
              <w:rPr>
                <w:b/>
                <w:bCs/>
                <w:color w:val="auto"/>
                <w:szCs w:val="21"/>
              </w:rPr>
            </w:pPr>
          </w:p>
        </w:tc>
        <w:tc>
          <w:tcPr>
            <w:tcW w:w="831" w:type="pct"/>
            <w:vMerge w:val="continue"/>
            <w:tcBorders>
              <w:tl2br w:val="nil"/>
              <w:tr2bl w:val="nil"/>
            </w:tcBorders>
            <w:noWrap/>
            <w:vAlign w:val="center"/>
          </w:tcPr>
          <w:p w14:paraId="227E606F">
            <w:pPr>
              <w:jc w:val="center"/>
              <w:rPr>
                <w:b/>
                <w:bCs/>
                <w:color w:val="auto"/>
                <w:szCs w:val="21"/>
              </w:rPr>
            </w:pPr>
          </w:p>
        </w:tc>
        <w:tc>
          <w:tcPr>
            <w:tcW w:w="1669" w:type="pct"/>
            <w:tcBorders>
              <w:tl2br w:val="nil"/>
              <w:tr2bl w:val="nil"/>
            </w:tcBorders>
            <w:noWrap/>
            <w:vAlign w:val="center"/>
          </w:tcPr>
          <w:p w14:paraId="4C0CB346">
            <w:pPr>
              <w:widowControl/>
              <w:jc w:val="center"/>
              <w:textAlignment w:val="center"/>
              <w:rPr>
                <w:b/>
                <w:bCs/>
                <w:color w:val="auto"/>
                <w:szCs w:val="21"/>
              </w:rPr>
            </w:pPr>
            <w:r>
              <w:rPr>
                <w:b/>
                <w:bCs/>
                <w:color w:val="auto"/>
                <w:kern w:val="0"/>
                <w:szCs w:val="21"/>
                <w:lang w:bidi="ar"/>
              </w:rPr>
              <w:t>测量时间</w:t>
            </w:r>
          </w:p>
        </w:tc>
        <w:tc>
          <w:tcPr>
            <w:tcW w:w="1669" w:type="pct"/>
            <w:tcBorders>
              <w:tl2br w:val="nil"/>
              <w:tr2bl w:val="nil"/>
            </w:tcBorders>
            <w:noWrap/>
            <w:vAlign w:val="center"/>
          </w:tcPr>
          <w:p w14:paraId="30FA089F">
            <w:pPr>
              <w:widowControl/>
              <w:jc w:val="center"/>
              <w:textAlignment w:val="center"/>
              <w:rPr>
                <w:b/>
                <w:bCs/>
                <w:color w:val="auto"/>
                <w:szCs w:val="21"/>
              </w:rPr>
            </w:pPr>
            <w:r>
              <w:rPr>
                <w:b/>
                <w:bCs/>
                <w:color w:val="auto"/>
                <w:kern w:val="0"/>
                <w:szCs w:val="21"/>
                <w:lang w:bidi="ar"/>
              </w:rPr>
              <w:t>结果</w:t>
            </w:r>
          </w:p>
        </w:tc>
      </w:tr>
      <w:tr w14:paraId="293DF1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08FD541">
            <w:pPr>
              <w:widowControl/>
              <w:jc w:val="center"/>
              <w:textAlignment w:val="center"/>
              <w:rPr>
                <w:color w:val="auto"/>
                <w:szCs w:val="21"/>
              </w:rPr>
            </w:pPr>
            <w:r>
              <w:rPr>
                <w:color w:val="auto"/>
                <w:kern w:val="0"/>
                <w:szCs w:val="21"/>
                <w:lang w:bidi="ar"/>
              </w:rPr>
              <w:t>东厂界处</w:t>
            </w:r>
          </w:p>
        </w:tc>
        <w:tc>
          <w:tcPr>
            <w:tcW w:w="831" w:type="pct"/>
            <w:vMerge w:val="restart"/>
            <w:tcBorders>
              <w:tl2br w:val="nil"/>
              <w:tr2bl w:val="nil"/>
            </w:tcBorders>
            <w:noWrap/>
            <w:vAlign w:val="center"/>
          </w:tcPr>
          <w:p w14:paraId="24530625">
            <w:pPr>
              <w:widowControl/>
              <w:jc w:val="center"/>
              <w:textAlignment w:val="center"/>
              <w:rPr>
                <w:color w:val="auto"/>
                <w:szCs w:val="21"/>
              </w:rPr>
            </w:pPr>
            <w:r>
              <w:rPr>
                <w:color w:val="auto"/>
                <w:kern w:val="0"/>
                <w:szCs w:val="21"/>
                <w:lang w:bidi="ar"/>
              </w:rPr>
              <w:t>厂界噪声</w:t>
            </w:r>
          </w:p>
        </w:tc>
        <w:tc>
          <w:tcPr>
            <w:tcW w:w="1669" w:type="pct"/>
            <w:tcBorders>
              <w:tl2br w:val="nil"/>
              <w:tr2bl w:val="nil"/>
            </w:tcBorders>
            <w:noWrap/>
            <w:vAlign w:val="center"/>
          </w:tcPr>
          <w:p w14:paraId="29DAE8EF">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10</w:t>
            </w:r>
            <w:r>
              <w:rPr>
                <w:color w:val="auto"/>
                <w:kern w:val="0"/>
                <w:szCs w:val="21"/>
                <w:lang w:bidi="ar"/>
              </w:rPr>
              <w:t>:</w:t>
            </w:r>
            <w:r>
              <w:rPr>
                <w:rFonts w:hint="eastAsia"/>
                <w:color w:val="auto"/>
                <w:kern w:val="0"/>
                <w:szCs w:val="21"/>
                <w:lang w:val="en-US" w:eastAsia="zh-CN" w:bidi="ar"/>
              </w:rPr>
              <w:t>52</w:t>
            </w:r>
          </w:p>
        </w:tc>
        <w:tc>
          <w:tcPr>
            <w:tcW w:w="1669" w:type="pct"/>
            <w:tcBorders>
              <w:tl2br w:val="nil"/>
              <w:tr2bl w:val="nil"/>
            </w:tcBorders>
            <w:noWrap/>
            <w:vAlign w:val="center"/>
          </w:tcPr>
          <w:p w14:paraId="253C97A1">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58.3</w:t>
            </w:r>
          </w:p>
        </w:tc>
      </w:tr>
      <w:tr w14:paraId="5B5927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983C76E">
            <w:pPr>
              <w:widowControl/>
              <w:jc w:val="center"/>
              <w:textAlignment w:val="center"/>
              <w:rPr>
                <w:color w:val="auto"/>
                <w:szCs w:val="21"/>
              </w:rPr>
            </w:pPr>
            <w:r>
              <w:rPr>
                <w:color w:val="auto"/>
                <w:kern w:val="0"/>
                <w:szCs w:val="21"/>
                <w:lang w:bidi="ar"/>
              </w:rPr>
              <w:t>南厂界处</w:t>
            </w:r>
          </w:p>
        </w:tc>
        <w:tc>
          <w:tcPr>
            <w:tcW w:w="831" w:type="pct"/>
            <w:vMerge w:val="continue"/>
            <w:tcBorders>
              <w:tl2br w:val="nil"/>
              <w:tr2bl w:val="nil"/>
            </w:tcBorders>
            <w:noWrap/>
            <w:vAlign w:val="center"/>
          </w:tcPr>
          <w:p w14:paraId="4A73CEA2">
            <w:pPr>
              <w:jc w:val="center"/>
              <w:rPr>
                <w:color w:val="auto"/>
                <w:szCs w:val="21"/>
              </w:rPr>
            </w:pPr>
          </w:p>
        </w:tc>
        <w:tc>
          <w:tcPr>
            <w:tcW w:w="1669" w:type="pct"/>
            <w:tcBorders>
              <w:tl2br w:val="nil"/>
              <w:tr2bl w:val="nil"/>
            </w:tcBorders>
            <w:noWrap/>
            <w:vAlign w:val="center"/>
          </w:tcPr>
          <w:p w14:paraId="2F0E013E">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23</w:t>
            </w:r>
          </w:p>
        </w:tc>
        <w:tc>
          <w:tcPr>
            <w:tcW w:w="1669" w:type="pct"/>
            <w:tcBorders>
              <w:tl2br w:val="nil"/>
              <w:tr2bl w:val="nil"/>
            </w:tcBorders>
            <w:noWrap/>
            <w:vAlign w:val="center"/>
          </w:tcPr>
          <w:p w14:paraId="7D017DEE">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55.8</w:t>
            </w:r>
          </w:p>
        </w:tc>
      </w:tr>
      <w:tr w14:paraId="2FC720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38A08BA1">
            <w:pPr>
              <w:widowControl/>
              <w:jc w:val="center"/>
              <w:textAlignment w:val="center"/>
              <w:rPr>
                <w:color w:val="auto"/>
                <w:szCs w:val="21"/>
              </w:rPr>
            </w:pPr>
            <w:r>
              <w:rPr>
                <w:color w:val="auto"/>
                <w:kern w:val="0"/>
                <w:szCs w:val="21"/>
                <w:lang w:bidi="ar"/>
              </w:rPr>
              <w:t>西厂界处</w:t>
            </w:r>
          </w:p>
        </w:tc>
        <w:tc>
          <w:tcPr>
            <w:tcW w:w="831" w:type="pct"/>
            <w:vMerge w:val="continue"/>
            <w:tcBorders>
              <w:tl2br w:val="nil"/>
              <w:tr2bl w:val="nil"/>
            </w:tcBorders>
            <w:noWrap/>
            <w:vAlign w:val="center"/>
          </w:tcPr>
          <w:p w14:paraId="0F6FE10D">
            <w:pPr>
              <w:jc w:val="center"/>
              <w:rPr>
                <w:color w:val="auto"/>
                <w:szCs w:val="21"/>
              </w:rPr>
            </w:pPr>
          </w:p>
        </w:tc>
        <w:tc>
          <w:tcPr>
            <w:tcW w:w="1669" w:type="pct"/>
            <w:tcBorders>
              <w:tl2br w:val="nil"/>
              <w:tr2bl w:val="nil"/>
            </w:tcBorders>
            <w:noWrap/>
            <w:vAlign w:val="center"/>
          </w:tcPr>
          <w:p w14:paraId="36BEC666">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36</w:t>
            </w:r>
          </w:p>
        </w:tc>
        <w:tc>
          <w:tcPr>
            <w:tcW w:w="1669" w:type="pct"/>
            <w:tcBorders>
              <w:tl2br w:val="nil"/>
              <w:tr2bl w:val="nil"/>
            </w:tcBorders>
            <w:noWrap/>
            <w:vAlign w:val="center"/>
          </w:tcPr>
          <w:p w14:paraId="3844888D">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54.4</w:t>
            </w:r>
          </w:p>
        </w:tc>
      </w:tr>
      <w:tr w14:paraId="0C7D74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15638FF1">
            <w:pPr>
              <w:widowControl/>
              <w:jc w:val="center"/>
              <w:textAlignment w:val="center"/>
              <w:rPr>
                <w:color w:val="auto"/>
                <w:szCs w:val="21"/>
              </w:rPr>
            </w:pPr>
            <w:r>
              <w:rPr>
                <w:color w:val="auto"/>
                <w:kern w:val="0"/>
                <w:szCs w:val="21"/>
                <w:lang w:bidi="ar"/>
              </w:rPr>
              <w:t>北厂界处</w:t>
            </w:r>
          </w:p>
        </w:tc>
        <w:tc>
          <w:tcPr>
            <w:tcW w:w="831" w:type="pct"/>
            <w:vMerge w:val="continue"/>
            <w:tcBorders>
              <w:tl2br w:val="nil"/>
              <w:tr2bl w:val="nil"/>
            </w:tcBorders>
            <w:noWrap/>
            <w:vAlign w:val="center"/>
          </w:tcPr>
          <w:p w14:paraId="387513EB">
            <w:pPr>
              <w:jc w:val="center"/>
              <w:rPr>
                <w:color w:val="auto"/>
                <w:szCs w:val="21"/>
              </w:rPr>
            </w:pPr>
          </w:p>
        </w:tc>
        <w:tc>
          <w:tcPr>
            <w:tcW w:w="1669" w:type="pct"/>
            <w:tcBorders>
              <w:tl2br w:val="nil"/>
              <w:tr2bl w:val="nil"/>
            </w:tcBorders>
            <w:noWrap/>
            <w:vAlign w:val="center"/>
          </w:tcPr>
          <w:p w14:paraId="6013AEED">
            <w:pPr>
              <w:widowControl/>
              <w:jc w:val="center"/>
              <w:textAlignment w:val="center"/>
              <w:rPr>
                <w:rFonts w:hint="eastAsia"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:0</w:t>
            </w:r>
            <w:r>
              <w:rPr>
                <w:rFonts w:hint="eastAsia"/>
                <w:color w:val="auto"/>
                <w:kern w:val="0"/>
                <w:szCs w:val="21"/>
                <w:lang w:val="en-US" w:eastAsia="zh-CN" w:bidi="ar"/>
              </w:rPr>
              <w:t>9</w:t>
            </w:r>
          </w:p>
        </w:tc>
        <w:tc>
          <w:tcPr>
            <w:tcW w:w="1669" w:type="pct"/>
            <w:tcBorders>
              <w:tl2br w:val="nil"/>
              <w:tr2bl w:val="nil"/>
            </w:tcBorders>
            <w:noWrap/>
            <w:vAlign w:val="center"/>
          </w:tcPr>
          <w:p w14:paraId="53538B77">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54.9</w:t>
            </w:r>
          </w:p>
        </w:tc>
      </w:tr>
    </w:tbl>
    <w:p w14:paraId="489BFB73">
      <w:pPr>
        <w:spacing w:line="360" w:lineRule="auto"/>
        <w:ind w:firstLine="480" w:firstLineChars="200"/>
        <w:rPr>
          <w:rFonts w:hint="eastAsia"/>
          <w:color w:val="auto"/>
          <w:sz w:val="24"/>
        </w:rPr>
      </w:pPr>
    </w:p>
    <w:p w14:paraId="39D2D37E">
      <w:pPr>
        <w:spacing w:line="360" w:lineRule="auto"/>
        <w:ind w:firstLine="480" w:firstLineChars="200"/>
        <w:rPr>
          <w:color w:val="auto"/>
          <w:sz w:val="24"/>
        </w:rPr>
      </w:pPr>
      <w:r>
        <w:rPr>
          <w:rFonts w:hint="eastAsia"/>
          <w:color w:val="auto"/>
          <w:sz w:val="24"/>
        </w:rPr>
        <w:t>由上表可知，</w:t>
      </w:r>
      <w:r>
        <w:rPr>
          <w:color w:val="auto"/>
          <w:sz w:val="24"/>
        </w:rPr>
        <w:t>厂界四周</w:t>
      </w:r>
      <w:r>
        <w:rPr>
          <w:rFonts w:hint="eastAsia"/>
          <w:color w:val="auto"/>
          <w:sz w:val="24"/>
        </w:rPr>
        <w:t>昼</w:t>
      </w:r>
      <w:r>
        <w:rPr>
          <w:rFonts w:hint="eastAsia"/>
          <w:color w:val="auto"/>
          <w:sz w:val="24"/>
          <w:lang w:val="en-US" w:eastAsia="zh-CN"/>
        </w:rPr>
        <w:t>间</w:t>
      </w:r>
      <w:r>
        <w:rPr>
          <w:color w:val="auto"/>
          <w:sz w:val="24"/>
        </w:rPr>
        <w:t>噪声符合</w:t>
      </w:r>
      <w:r>
        <w:rPr>
          <w:rFonts w:hint="eastAsia"/>
          <w:color w:val="auto"/>
          <w:sz w:val="24"/>
        </w:rPr>
        <w:t>《工业企业厂界环境噪声排放标准》（GB12348-2008）</w:t>
      </w:r>
      <w:r>
        <w:rPr>
          <w:color w:val="auto"/>
          <w:sz w:val="24"/>
        </w:rPr>
        <w:t>中3类标准要求。</w:t>
      </w:r>
    </w:p>
    <w:p w14:paraId="42F397CE">
      <w:pPr>
        <w:spacing w:line="360" w:lineRule="auto"/>
        <w:outlineLvl w:val="2"/>
        <w:rPr>
          <w:rFonts w:hint="eastAsia"/>
          <w:b/>
          <w:bCs/>
          <w:color w:val="auto"/>
          <w:sz w:val="24"/>
          <w:lang w:val="en-US" w:eastAsia="zh-CN"/>
        </w:rPr>
      </w:pPr>
      <w:r>
        <w:rPr>
          <w:rFonts w:hint="eastAsia"/>
          <w:b/>
          <w:bCs/>
          <w:color w:val="auto"/>
          <w:sz w:val="24"/>
          <w:lang w:val="en-US" w:eastAsia="zh-CN"/>
        </w:rPr>
        <w:t>3.3.4固体废物及其治理措施分析</w:t>
      </w:r>
    </w:p>
    <w:p w14:paraId="7269EEEF">
      <w:pPr>
        <w:spacing w:line="360" w:lineRule="auto"/>
        <w:ind w:firstLine="480" w:firstLineChars="200"/>
        <w:rPr>
          <w:color w:val="auto"/>
          <w:sz w:val="24"/>
          <w:szCs w:val="32"/>
        </w:rPr>
      </w:pPr>
      <w:r>
        <w:rPr>
          <w:rFonts w:hint="eastAsia"/>
          <w:color w:val="auto"/>
          <w:sz w:val="24"/>
          <w:szCs w:val="32"/>
          <w:lang w:val="en-US" w:eastAsia="zh-CN"/>
        </w:rPr>
        <w:t>与验收阶段对比，</w:t>
      </w:r>
      <w:r>
        <w:rPr>
          <w:rFonts w:hint="eastAsia"/>
          <w:color w:val="auto"/>
          <w:sz w:val="24"/>
          <w:szCs w:val="32"/>
        </w:rPr>
        <w:t>在实际生产</w:t>
      </w:r>
      <w:r>
        <w:rPr>
          <w:rFonts w:hint="eastAsia"/>
          <w:color w:val="auto"/>
          <w:sz w:val="24"/>
          <w:szCs w:val="32"/>
          <w:lang w:val="en-US" w:eastAsia="zh-CN"/>
        </w:rPr>
        <w:t>过程</w:t>
      </w:r>
      <w:r>
        <w:rPr>
          <w:rFonts w:hint="eastAsia"/>
          <w:color w:val="auto"/>
          <w:sz w:val="24"/>
          <w:szCs w:val="32"/>
        </w:rPr>
        <w:t>中</w:t>
      </w:r>
      <w:r>
        <w:rPr>
          <w:rFonts w:hint="eastAsia"/>
          <w:color w:val="auto"/>
          <w:sz w:val="24"/>
          <w:szCs w:val="32"/>
          <w:lang w:val="en-US" w:eastAsia="zh-CN"/>
        </w:rPr>
        <w:t>未发生变化</w:t>
      </w:r>
      <w:r>
        <w:rPr>
          <w:rFonts w:hint="eastAsia"/>
          <w:color w:val="auto"/>
          <w:sz w:val="24"/>
          <w:szCs w:val="32"/>
        </w:rPr>
        <w:t>，</w:t>
      </w:r>
      <w:r>
        <w:rPr>
          <w:rFonts w:hint="eastAsia"/>
          <w:color w:val="auto"/>
          <w:sz w:val="24"/>
          <w:szCs w:val="32"/>
          <w:lang w:val="en-US" w:eastAsia="zh-CN"/>
        </w:rPr>
        <w:t>项目固体废物主要为废铁、废塑料杂质、废除尘灰和铝灰渣等，项目实际产生的固体废物和处理处置去向见下表：</w:t>
      </w:r>
    </w:p>
    <w:p w14:paraId="07E3CC8B">
      <w:pPr>
        <w:spacing w:line="360" w:lineRule="auto"/>
        <w:jc w:val="center"/>
        <w:rPr>
          <w:rFonts w:hint="eastAsia" w:eastAsia="宋体"/>
          <w:b/>
          <w:bCs/>
          <w:color w:val="auto"/>
          <w:sz w:val="24"/>
          <w:szCs w:val="32"/>
          <w:lang w:val="en-US" w:eastAsia="zh-CN"/>
        </w:rPr>
      </w:pPr>
      <w:r>
        <w:rPr>
          <w:b/>
          <w:bCs/>
          <w:color w:val="auto"/>
          <w:sz w:val="24"/>
          <w:szCs w:val="32"/>
        </w:rPr>
        <w:t>表3-</w:t>
      </w:r>
      <w:r>
        <w:rPr>
          <w:rFonts w:hint="eastAsia"/>
          <w:b/>
          <w:bCs/>
          <w:color w:val="auto"/>
          <w:sz w:val="24"/>
          <w:szCs w:val="32"/>
          <w:lang w:val="en-US" w:eastAsia="zh-CN"/>
        </w:rPr>
        <w:t>12</w:t>
      </w:r>
      <w:r>
        <w:rPr>
          <w:b/>
          <w:bCs/>
          <w:color w:val="auto"/>
          <w:sz w:val="24"/>
          <w:szCs w:val="32"/>
        </w:rPr>
        <w:t xml:space="preserve"> </w:t>
      </w:r>
      <w:r>
        <w:rPr>
          <w:rFonts w:hint="eastAsia"/>
          <w:b/>
          <w:bCs/>
          <w:color w:val="auto"/>
          <w:sz w:val="24"/>
          <w:szCs w:val="32"/>
        </w:rPr>
        <w:t>项目一期</w:t>
      </w:r>
      <w:r>
        <w:rPr>
          <w:rFonts w:hint="eastAsia"/>
          <w:b/>
          <w:bCs/>
          <w:color w:val="auto"/>
          <w:sz w:val="24"/>
          <w:szCs w:val="32"/>
          <w:lang w:val="en-US" w:eastAsia="zh-CN"/>
        </w:rPr>
        <w:t>工程</w:t>
      </w:r>
      <w:r>
        <w:rPr>
          <w:b/>
          <w:bCs/>
          <w:color w:val="auto"/>
          <w:sz w:val="24"/>
          <w:szCs w:val="32"/>
        </w:rPr>
        <w:t>实际产生的固体废弃物和处理处置去向</w:t>
      </w:r>
      <w:r>
        <w:rPr>
          <w:rFonts w:hint="eastAsia"/>
          <w:b/>
          <w:bCs/>
          <w:color w:val="auto"/>
          <w:sz w:val="24"/>
          <w:szCs w:val="32"/>
          <w:lang w:val="en-US" w:eastAsia="zh-CN"/>
        </w:rPr>
        <w:t>一览表</w:t>
      </w:r>
    </w:p>
    <w:tbl>
      <w:tblPr>
        <w:tblStyle w:val="3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756"/>
        <w:gridCol w:w="1258"/>
        <w:gridCol w:w="1430"/>
        <w:gridCol w:w="1383"/>
        <w:gridCol w:w="1910"/>
        <w:gridCol w:w="914"/>
        <w:gridCol w:w="2111"/>
      </w:tblGrid>
      <w:tr w14:paraId="607304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726F9DD6">
            <w:pPr>
              <w:jc w:val="center"/>
              <w:rPr>
                <w:b/>
                <w:bCs/>
                <w:color w:val="auto"/>
              </w:rPr>
            </w:pPr>
            <w:r>
              <w:rPr>
                <w:b/>
                <w:bCs/>
                <w:color w:val="auto"/>
              </w:rPr>
              <w:t>序号</w:t>
            </w:r>
          </w:p>
        </w:tc>
        <w:tc>
          <w:tcPr>
            <w:tcW w:w="644" w:type="pct"/>
            <w:tcBorders>
              <w:tl2br w:val="nil"/>
              <w:tr2bl w:val="nil"/>
            </w:tcBorders>
            <w:vAlign w:val="center"/>
          </w:tcPr>
          <w:p w14:paraId="634F6DEA">
            <w:pPr>
              <w:jc w:val="center"/>
              <w:rPr>
                <w:b/>
                <w:bCs/>
                <w:color w:val="auto"/>
              </w:rPr>
            </w:pPr>
            <w:r>
              <w:rPr>
                <w:b/>
                <w:bCs/>
                <w:color w:val="auto"/>
              </w:rPr>
              <w:t>名称</w:t>
            </w:r>
          </w:p>
        </w:tc>
        <w:tc>
          <w:tcPr>
            <w:tcW w:w="732" w:type="pct"/>
            <w:tcBorders>
              <w:tl2br w:val="nil"/>
              <w:tr2bl w:val="nil"/>
            </w:tcBorders>
            <w:vAlign w:val="center"/>
          </w:tcPr>
          <w:p w14:paraId="14262724">
            <w:pPr>
              <w:jc w:val="center"/>
              <w:rPr>
                <w:b/>
                <w:bCs/>
                <w:color w:val="auto"/>
              </w:rPr>
            </w:pPr>
            <w:r>
              <w:rPr>
                <w:b/>
                <w:bCs/>
                <w:color w:val="auto"/>
              </w:rPr>
              <w:t>主要成分</w:t>
            </w:r>
          </w:p>
        </w:tc>
        <w:tc>
          <w:tcPr>
            <w:tcW w:w="708" w:type="pct"/>
            <w:tcBorders>
              <w:tl2br w:val="nil"/>
              <w:tr2bl w:val="nil"/>
            </w:tcBorders>
            <w:vAlign w:val="center"/>
          </w:tcPr>
          <w:p w14:paraId="1F1FAF23">
            <w:pPr>
              <w:jc w:val="center"/>
              <w:rPr>
                <w:rFonts w:hint="default" w:eastAsia="宋体"/>
                <w:b/>
                <w:bCs/>
                <w:color w:val="auto"/>
                <w:lang w:val="en-US" w:eastAsia="zh-CN"/>
              </w:rPr>
            </w:pPr>
            <w:r>
              <w:rPr>
                <w:rFonts w:hint="eastAsia"/>
                <w:b/>
                <w:bCs/>
                <w:color w:val="auto"/>
                <w:lang w:val="en-US" w:eastAsia="zh-CN"/>
              </w:rPr>
              <w:t>固废属性</w:t>
            </w:r>
          </w:p>
        </w:tc>
        <w:tc>
          <w:tcPr>
            <w:tcW w:w="978" w:type="pct"/>
            <w:tcBorders>
              <w:tl2br w:val="nil"/>
              <w:tr2bl w:val="nil"/>
            </w:tcBorders>
            <w:vAlign w:val="center"/>
          </w:tcPr>
          <w:p w14:paraId="105EC3E9">
            <w:pPr>
              <w:jc w:val="center"/>
              <w:rPr>
                <w:b/>
                <w:bCs/>
                <w:color w:val="auto"/>
              </w:rPr>
            </w:pPr>
            <w:r>
              <w:rPr>
                <w:rFonts w:hint="eastAsia"/>
                <w:b/>
                <w:bCs/>
                <w:color w:val="auto"/>
                <w:lang w:val="en-US" w:eastAsia="zh-CN"/>
              </w:rPr>
              <w:t>固废类别及</w:t>
            </w:r>
            <w:r>
              <w:rPr>
                <w:b/>
                <w:bCs/>
                <w:color w:val="auto"/>
              </w:rPr>
              <w:t>代码</w:t>
            </w:r>
          </w:p>
        </w:tc>
        <w:tc>
          <w:tcPr>
            <w:tcW w:w="468" w:type="pct"/>
            <w:tcBorders>
              <w:tl2br w:val="nil"/>
              <w:tr2bl w:val="nil"/>
            </w:tcBorders>
            <w:vAlign w:val="center"/>
          </w:tcPr>
          <w:p w14:paraId="0FBF23EB">
            <w:pPr>
              <w:jc w:val="center"/>
              <w:rPr>
                <w:b/>
                <w:bCs/>
                <w:color w:val="auto"/>
              </w:rPr>
            </w:pPr>
            <w:r>
              <w:rPr>
                <w:b/>
                <w:bCs/>
                <w:color w:val="auto"/>
              </w:rPr>
              <w:t>排放量</w:t>
            </w:r>
          </w:p>
        </w:tc>
        <w:tc>
          <w:tcPr>
            <w:tcW w:w="1081" w:type="pct"/>
            <w:tcBorders>
              <w:tl2br w:val="nil"/>
              <w:tr2bl w:val="nil"/>
            </w:tcBorders>
            <w:vAlign w:val="center"/>
          </w:tcPr>
          <w:p w14:paraId="1BAED135">
            <w:pPr>
              <w:jc w:val="center"/>
              <w:rPr>
                <w:b/>
                <w:bCs/>
                <w:color w:val="auto"/>
              </w:rPr>
            </w:pPr>
            <w:r>
              <w:rPr>
                <w:b/>
                <w:bCs/>
                <w:color w:val="auto"/>
              </w:rPr>
              <w:t>处置去向</w:t>
            </w:r>
          </w:p>
        </w:tc>
      </w:tr>
      <w:tr w14:paraId="7626C6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01D5DE53">
            <w:pPr>
              <w:jc w:val="center"/>
              <w:rPr>
                <w:color w:val="auto"/>
              </w:rPr>
            </w:pPr>
            <w:r>
              <w:rPr>
                <w:color w:val="auto"/>
              </w:rPr>
              <w:t>1</w:t>
            </w:r>
          </w:p>
        </w:tc>
        <w:tc>
          <w:tcPr>
            <w:tcW w:w="644" w:type="pct"/>
            <w:tcBorders>
              <w:tl2br w:val="nil"/>
              <w:tr2bl w:val="nil"/>
            </w:tcBorders>
            <w:vAlign w:val="center"/>
          </w:tcPr>
          <w:p w14:paraId="54B1193D">
            <w:pPr>
              <w:jc w:val="center"/>
              <w:rPr>
                <w:color w:val="auto"/>
              </w:rPr>
            </w:pPr>
            <w:r>
              <w:rPr>
                <w:rFonts w:hint="eastAsia"/>
                <w:color w:val="auto"/>
                <w:lang w:val="en-US" w:eastAsia="zh-CN"/>
              </w:rPr>
              <w:t>废铁、废塑料杂质</w:t>
            </w:r>
          </w:p>
        </w:tc>
        <w:tc>
          <w:tcPr>
            <w:tcW w:w="732" w:type="pct"/>
            <w:tcBorders>
              <w:tl2br w:val="nil"/>
              <w:tr2bl w:val="nil"/>
            </w:tcBorders>
            <w:vAlign w:val="center"/>
          </w:tcPr>
          <w:p w14:paraId="69168F12">
            <w:pPr>
              <w:jc w:val="center"/>
              <w:rPr>
                <w:rFonts w:hint="default"/>
                <w:color w:val="auto"/>
                <w:lang w:val="en-US"/>
              </w:rPr>
            </w:pPr>
            <w:r>
              <w:rPr>
                <w:rFonts w:hint="eastAsia"/>
                <w:color w:val="auto"/>
                <w:lang w:val="en-US" w:eastAsia="zh-CN"/>
              </w:rPr>
              <w:t>废铁、废塑料等</w:t>
            </w:r>
          </w:p>
        </w:tc>
        <w:tc>
          <w:tcPr>
            <w:tcW w:w="708" w:type="pct"/>
            <w:tcBorders>
              <w:tl2br w:val="nil"/>
              <w:tr2bl w:val="nil"/>
            </w:tcBorders>
            <w:vAlign w:val="center"/>
          </w:tcPr>
          <w:p w14:paraId="3126AD03">
            <w:pPr>
              <w:jc w:val="center"/>
              <w:rPr>
                <w:rFonts w:hint="default"/>
                <w:color w:val="auto"/>
                <w:lang w:val="en-US" w:eastAsia="zh-CN"/>
              </w:rPr>
            </w:pPr>
            <w:r>
              <w:rPr>
                <w:rFonts w:hint="eastAsia"/>
                <w:color w:val="auto"/>
                <w:lang w:val="en-US" w:eastAsia="zh-CN"/>
              </w:rPr>
              <w:t>一般固废</w:t>
            </w:r>
          </w:p>
        </w:tc>
        <w:tc>
          <w:tcPr>
            <w:tcW w:w="978" w:type="pct"/>
            <w:tcBorders>
              <w:tl2br w:val="nil"/>
              <w:tr2bl w:val="nil"/>
            </w:tcBorders>
            <w:vAlign w:val="center"/>
          </w:tcPr>
          <w:p w14:paraId="7EA9C6CF">
            <w:pPr>
              <w:jc w:val="center"/>
              <w:rPr>
                <w:rFonts w:hint="eastAsia" w:eastAsia="宋体"/>
                <w:color w:val="auto"/>
                <w:lang w:eastAsia="zh-CN"/>
              </w:rPr>
            </w:pPr>
            <w:r>
              <w:rPr>
                <w:rFonts w:hint="eastAsia"/>
                <w:color w:val="auto"/>
                <w:lang w:val="en-US" w:eastAsia="zh-CN"/>
              </w:rPr>
              <w:t>/</w:t>
            </w:r>
          </w:p>
        </w:tc>
        <w:tc>
          <w:tcPr>
            <w:tcW w:w="468" w:type="pct"/>
            <w:tcBorders>
              <w:tl2br w:val="nil"/>
              <w:tr2bl w:val="nil"/>
            </w:tcBorders>
            <w:vAlign w:val="center"/>
          </w:tcPr>
          <w:p w14:paraId="43597296">
            <w:pPr>
              <w:jc w:val="center"/>
              <w:rPr>
                <w:rFonts w:hint="default" w:eastAsia="宋体"/>
                <w:color w:val="auto"/>
                <w:lang w:val="en-US" w:eastAsia="zh-CN"/>
              </w:rPr>
            </w:pPr>
            <w:r>
              <w:rPr>
                <w:rFonts w:hint="eastAsia"/>
                <w:color w:val="auto"/>
                <w:lang w:val="en-US" w:eastAsia="zh-CN"/>
              </w:rPr>
              <w:t>233.22</w:t>
            </w:r>
          </w:p>
        </w:tc>
        <w:tc>
          <w:tcPr>
            <w:tcW w:w="1081" w:type="pct"/>
            <w:tcBorders>
              <w:tl2br w:val="nil"/>
              <w:tr2bl w:val="nil"/>
            </w:tcBorders>
            <w:vAlign w:val="center"/>
          </w:tcPr>
          <w:p w14:paraId="4DF0A6E2">
            <w:pPr>
              <w:jc w:val="center"/>
              <w:rPr>
                <w:rFonts w:hint="default" w:eastAsia="宋体"/>
                <w:color w:val="auto"/>
                <w:lang w:val="en-US" w:eastAsia="zh-CN"/>
              </w:rPr>
            </w:pPr>
            <w:r>
              <w:rPr>
                <w:rFonts w:hint="eastAsia"/>
                <w:color w:val="auto"/>
                <w:lang w:val="en-US" w:eastAsia="zh-CN"/>
              </w:rPr>
              <w:t>外售</w:t>
            </w:r>
          </w:p>
        </w:tc>
      </w:tr>
      <w:tr w14:paraId="48E8DF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74F7867F">
            <w:pPr>
              <w:jc w:val="center"/>
              <w:rPr>
                <w:color w:val="auto"/>
              </w:rPr>
            </w:pPr>
            <w:r>
              <w:rPr>
                <w:color w:val="auto"/>
              </w:rPr>
              <w:t>2</w:t>
            </w:r>
          </w:p>
        </w:tc>
        <w:tc>
          <w:tcPr>
            <w:tcW w:w="644" w:type="pct"/>
            <w:tcBorders>
              <w:tl2br w:val="nil"/>
              <w:tr2bl w:val="nil"/>
            </w:tcBorders>
            <w:vAlign w:val="center"/>
          </w:tcPr>
          <w:p w14:paraId="6F30AAA7">
            <w:pPr>
              <w:jc w:val="center"/>
              <w:rPr>
                <w:rFonts w:hint="default" w:eastAsia="宋体"/>
                <w:color w:val="auto"/>
                <w:lang w:val="en-US" w:eastAsia="zh-CN"/>
              </w:rPr>
            </w:pPr>
            <w:r>
              <w:rPr>
                <w:rFonts w:hint="eastAsia"/>
                <w:color w:val="auto"/>
                <w:lang w:val="en-US" w:eastAsia="zh-CN"/>
              </w:rPr>
              <w:t>废除尘灰</w:t>
            </w:r>
          </w:p>
        </w:tc>
        <w:tc>
          <w:tcPr>
            <w:tcW w:w="732" w:type="pct"/>
            <w:tcBorders>
              <w:tl2br w:val="nil"/>
              <w:tr2bl w:val="nil"/>
            </w:tcBorders>
            <w:vAlign w:val="center"/>
          </w:tcPr>
          <w:p w14:paraId="524D994C">
            <w:pPr>
              <w:jc w:val="center"/>
              <w:rPr>
                <w:rFonts w:hint="eastAsia" w:eastAsia="宋体"/>
                <w:color w:val="auto"/>
                <w:lang w:val="en-US" w:eastAsia="zh-CN"/>
              </w:rPr>
            </w:pPr>
            <w:r>
              <w:rPr>
                <w:rFonts w:hint="eastAsia"/>
                <w:color w:val="auto"/>
                <w:lang w:val="en-US" w:eastAsia="zh-CN"/>
              </w:rPr>
              <w:t>铝灰</w:t>
            </w:r>
          </w:p>
        </w:tc>
        <w:tc>
          <w:tcPr>
            <w:tcW w:w="708" w:type="pct"/>
            <w:tcBorders>
              <w:tl2br w:val="nil"/>
              <w:tr2bl w:val="nil"/>
            </w:tcBorders>
            <w:vAlign w:val="center"/>
          </w:tcPr>
          <w:p w14:paraId="656047EC">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1E426448">
            <w:pPr>
              <w:jc w:val="center"/>
              <w:rPr>
                <w:rFonts w:hint="default" w:eastAsia="宋体"/>
                <w:color w:val="auto"/>
                <w:lang w:val="en-US" w:eastAsia="zh-CN"/>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321-034-48</w:t>
            </w:r>
          </w:p>
        </w:tc>
        <w:tc>
          <w:tcPr>
            <w:tcW w:w="468" w:type="pct"/>
            <w:tcBorders>
              <w:tl2br w:val="nil"/>
              <w:tr2bl w:val="nil"/>
            </w:tcBorders>
            <w:vAlign w:val="center"/>
          </w:tcPr>
          <w:p w14:paraId="4E1835D3">
            <w:pPr>
              <w:jc w:val="center"/>
              <w:rPr>
                <w:rFonts w:hint="default" w:eastAsia="宋体"/>
                <w:color w:val="auto"/>
                <w:lang w:val="en-US" w:eastAsia="zh-CN"/>
              </w:rPr>
            </w:pPr>
            <w:r>
              <w:rPr>
                <w:rFonts w:hint="eastAsia"/>
                <w:color w:val="auto"/>
                <w:lang w:val="en-US" w:eastAsia="zh-CN"/>
              </w:rPr>
              <w:t>1518.82</w:t>
            </w:r>
          </w:p>
        </w:tc>
        <w:tc>
          <w:tcPr>
            <w:tcW w:w="1081" w:type="pct"/>
            <w:tcBorders>
              <w:tl2br w:val="nil"/>
              <w:tr2bl w:val="nil"/>
            </w:tcBorders>
            <w:vAlign w:val="center"/>
          </w:tcPr>
          <w:p w14:paraId="5C0E3BE1">
            <w:pPr>
              <w:jc w:val="center"/>
              <w:rPr>
                <w:rFonts w:hint="default" w:eastAsia="宋体"/>
                <w:color w:val="auto"/>
                <w:lang w:val="en-US" w:eastAsia="zh-CN"/>
              </w:rPr>
            </w:pPr>
            <w:r>
              <w:rPr>
                <w:color w:val="auto"/>
              </w:rPr>
              <w:t>委托</w:t>
            </w:r>
            <w:r>
              <w:rPr>
                <w:rFonts w:hint="eastAsia"/>
                <w:color w:val="auto"/>
                <w:lang w:val="en-US" w:eastAsia="zh-CN"/>
              </w:rPr>
              <w:t>有资质单位处置</w:t>
            </w:r>
          </w:p>
        </w:tc>
      </w:tr>
      <w:tr w14:paraId="35BD20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4307B458">
            <w:pPr>
              <w:jc w:val="center"/>
              <w:rPr>
                <w:color w:val="auto"/>
              </w:rPr>
            </w:pPr>
            <w:r>
              <w:rPr>
                <w:color w:val="auto"/>
              </w:rPr>
              <w:t>3</w:t>
            </w:r>
          </w:p>
        </w:tc>
        <w:tc>
          <w:tcPr>
            <w:tcW w:w="644" w:type="pct"/>
            <w:tcBorders>
              <w:tl2br w:val="nil"/>
              <w:tr2bl w:val="nil"/>
            </w:tcBorders>
            <w:vAlign w:val="center"/>
          </w:tcPr>
          <w:p w14:paraId="2687A69E">
            <w:pPr>
              <w:jc w:val="center"/>
              <w:rPr>
                <w:rFonts w:hint="eastAsia" w:eastAsia="宋体"/>
                <w:color w:val="auto"/>
                <w:lang w:eastAsia="zh-CN"/>
              </w:rPr>
            </w:pPr>
            <w:r>
              <w:rPr>
                <w:rFonts w:hint="eastAsia" w:eastAsia="宋体"/>
                <w:color w:val="auto"/>
                <w:lang w:val="en-US" w:eastAsia="zh-CN"/>
              </w:rPr>
              <w:t>铝灰渣</w:t>
            </w:r>
          </w:p>
        </w:tc>
        <w:tc>
          <w:tcPr>
            <w:tcW w:w="732" w:type="pct"/>
            <w:tcBorders>
              <w:tl2br w:val="nil"/>
              <w:tr2bl w:val="nil"/>
            </w:tcBorders>
            <w:vAlign w:val="center"/>
          </w:tcPr>
          <w:p w14:paraId="647EED6B">
            <w:pPr>
              <w:jc w:val="center"/>
              <w:rPr>
                <w:color w:val="auto"/>
              </w:rPr>
            </w:pPr>
            <w:r>
              <w:rPr>
                <w:rFonts w:hint="default" w:ascii="Times New Roman" w:hAnsi="Times New Roman" w:eastAsia="宋体" w:cs="Times New Roman"/>
                <w:color w:val="auto"/>
                <w:kern w:val="0"/>
                <w:sz w:val="21"/>
                <w:szCs w:val="21"/>
              </w:rPr>
              <w:t>铝灰</w:t>
            </w:r>
          </w:p>
        </w:tc>
        <w:tc>
          <w:tcPr>
            <w:tcW w:w="708" w:type="pct"/>
            <w:tcBorders>
              <w:tl2br w:val="nil"/>
              <w:tr2bl w:val="nil"/>
            </w:tcBorders>
            <w:vAlign w:val="center"/>
          </w:tcPr>
          <w:p w14:paraId="6F160864">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7E87B3EF">
            <w:pPr>
              <w:jc w:val="center"/>
              <w:rPr>
                <w:color w:val="auto"/>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321-026-48</w:t>
            </w:r>
          </w:p>
        </w:tc>
        <w:tc>
          <w:tcPr>
            <w:tcW w:w="468" w:type="pct"/>
            <w:tcBorders>
              <w:tl2br w:val="nil"/>
              <w:tr2bl w:val="nil"/>
            </w:tcBorders>
            <w:vAlign w:val="center"/>
          </w:tcPr>
          <w:p w14:paraId="1BD220B1">
            <w:pPr>
              <w:jc w:val="center"/>
              <w:rPr>
                <w:rFonts w:hint="default" w:eastAsia="宋体"/>
                <w:color w:val="auto"/>
                <w:lang w:val="en-US" w:eastAsia="zh-CN"/>
              </w:rPr>
            </w:pPr>
            <w:r>
              <w:rPr>
                <w:rFonts w:hint="eastAsia"/>
                <w:color w:val="auto"/>
                <w:lang w:val="en-US" w:eastAsia="zh-CN"/>
              </w:rPr>
              <w:t>1880.43</w:t>
            </w:r>
          </w:p>
        </w:tc>
        <w:tc>
          <w:tcPr>
            <w:tcW w:w="1081" w:type="pct"/>
            <w:tcBorders>
              <w:tl2br w:val="nil"/>
              <w:tr2bl w:val="nil"/>
            </w:tcBorders>
            <w:vAlign w:val="center"/>
          </w:tcPr>
          <w:p w14:paraId="252D2D5A">
            <w:pPr>
              <w:jc w:val="center"/>
              <w:rPr>
                <w:color w:val="auto"/>
              </w:rPr>
            </w:pPr>
            <w:r>
              <w:rPr>
                <w:color w:val="auto"/>
              </w:rPr>
              <w:t>委托</w:t>
            </w:r>
            <w:r>
              <w:rPr>
                <w:rFonts w:hint="eastAsia"/>
                <w:color w:val="auto"/>
                <w:lang w:val="en-US" w:eastAsia="zh-CN"/>
              </w:rPr>
              <w:t>有资质单位处置</w:t>
            </w:r>
          </w:p>
        </w:tc>
      </w:tr>
    </w:tbl>
    <w:p w14:paraId="7C342841">
      <w:pPr>
        <w:spacing w:line="360" w:lineRule="auto"/>
        <w:outlineLvl w:val="2"/>
        <w:rPr>
          <w:rFonts w:hint="eastAsia"/>
          <w:b/>
          <w:bCs/>
          <w:color w:val="auto"/>
          <w:sz w:val="24"/>
          <w:lang w:val="en-US" w:eastAsia="zh-CN"/>
        </w:rPr>
      </w:pPr>
    </w:p>
    <w:p w14:paraId="4307C8E3">
      <w:pPr>
        <w:spacing w:line="360" w:lineRule="auto"/>
        <w:outlineLvl w:val="2"/>
        <w:rPr>
          <w:rFonts w:hint="eastAsia"/>
          <w:b/>
          <w:bCs/>
          <w:color w:val="auto"/>
          <w:sz w:val="24"/>
          <w:lang w:val="en-US" w:eastAsia="zh-CN"/>
        </w:rPr>
      </w:pPr>
      <w:r>
        <w:rPr>
          <w:rFonts w:hint="eastAsia"/>
          <w:b/>
          <w:bCs/>
          <w:color w:val="auto"/>
          <w:sz w:val="24"/>
          <w:lang w:val="en-US" w:eastAsia="zh-CN"/>
        </w:rPr>
        <w:t>3.3.5风险防范及应急措施</w:t>
      </w:r>
    </w:p>
    <w:p w14:paraId="04BD59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szCs w:val="32"/>
        </w:rPr>
      </w:pPr>
      <w:r>
        <w:rPr>
          <w:color w:val="auto"/>
          <w:sz w:val="24"/>
          <w:szCs w:val="32"/>
        </w:rPr>
        <w:t>1、环评要求</w:t>
      </w:r>
    </w:p>
    <w:p w14:paraId="72781C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szCs w:val="32"/>
        </w:rPr>
      </w:pPr>
      <w:r>
        <w:rPr>
          <w:color w:val="auto"/>
          <w:sz w:val="24"/>
          <w:szCs w:val="32"/>
        </w:rPr>
        <w:t>（1）分区防渗措施：环评</w:t>
      </w:r>
      <w:r>
        <w:rPr>
          <w:rFonts w:hint="eastAsia"/>
          <w:color w:val="auto"/>
          <w:sz w:val="24"/>
          <w:szCs w:val="32"/>
        </w:rPr>
        <w:t>要求重点防渗区（事故池、危废库、污水管沟）：基础防渗层为至少1米厚粘土层（渗透系数≤10</w:t>
      </w:r>
      <w:r>
        <w:rPr>
          <w:rFonts w:hint="eastAsia"/>
          <w:color w:val="auto"/>
          <w:sz w:val="24"/>
          <w:szCs w:val="32"/>
          <w:vertAlign w:val="superscript"/>
        </w:rPr>
        <w:t>-7</w:t>
      </w:r>
      <w:r>
        <w:rPr>
          <w:rFonts w:hint="eastAsia"/>
          <w:color w:val="auto"/>
          <w:sz w:val="24"/>
          <w:szCs w:val="32"/>
        </w:rPr>
        <w:t>cm/s），或2mm厚高密度聚乙烯，或至少2mm厚的其它人工材料（渗透系数≤10</w:t>
      </w:r>
      <w:r>
        <w:rPr>
          <w:rFonts w:hint="eastAsia"/>
          <w:color w:val="auto"/>
          <w:sz w:val="24"/>
          <w:szCs w:val="32"/>
          <w:vertAlign w:val="superscript"/>
        </w:rPr>
        <w:t>-10</w:t>
      </w:r>
      <w:r>
        <w:rPr>
          <w:rFonts w:hint="eastAsia"/>
          <w:color w:val="auto"/>
          <w:sz w:val="24"/>
          <w:szCs w:val="32"/>
        </w:rPr>
        <w:t>cm/s）；一般防渗区（</w:t>
      </w:r>
      <w:r>
        <w:rPr>
          <w:rFonts w:hint="eastAsia"/>
          <w:color w:val="auto"/>
          <w:sz w:val="24"/>
          <w:szCs w:val="32"/>
          <w:lang w:val="en-US" w:eastAsia="zh-CN"/>
        </w:rPr>
        <w:t>生产车间、原料库、成品库</w:t>
      </w:r>
      <w:r>
        <w:rPr>
          <w:rFonts w:hint="eastAsia"/>
          <w:color w:val="auto"/>
          <w:sz w:val="24"/>
          <w:szCs w:val="32"/>
        </w:rPr>
        <w:t>）：防渗层的防渗性能不应低于1.5m厚渗透系数为1.0×10</w:t>
      </w:r>
      <w:r>
        <w:rPr>
          <w:rFonts w:hint="eastAsia"/>
          <w:color w:val="auto"/>
          <w:sz w:val="24"/>
          <w:szCs w:val="32"/>
          <w:vertAlign w:val="superscript"/>
        </w:rPr>
        <w:t>-7</w:t>
      </w:r>
      <w:r>
        <w:rPr>
          <w:rFonts w:hint="eastAsia"/>
          <w:color w:val="auto"/>
          <w:sz w:val="24"/>
          <w:szCs w:val="32"/>
        </w:rPr>
        <w:t>cm/s的黏土层的防渗性能。</w:t>
      </w:r>
    </w:p>
    <w:p w14:paraId="542DCF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olor w:val="auto"/>
          <w:sz w:val="24"/>
          <w:szCs w:val="32"/>
          <w:lang w:eastAsia="zh-CN"/>
        </w:rPr>
      </w:pPr>
      <w:r>
        <w:rPr>
          <w:color w:val="auto"/>
          <w:sz w:val="24"/>
          <w:szCs w:val="32"/>
        </w:rPr>
        <w:t>（</w:t>
      </w:r>
      <w:r>
        <w:rPr>
          <w:rFonts w:hint="eastAsia"/>
          <w:color w:val="auto"/>
          <w:sz w:val="24"/>
          <w:szCs w:val="32"/>
          <w:lang w:val="en-US" w:eastAsia="zh-CN"/>
        </w:rPr>
        <w:t>2</w:t>
      </w:r>
      <w:r>
        <w:rPr>
          <w:color w:val="auto"/>
          <w:sz w:val="24"/>
          <w:szCs w:val="32"/>
        </w:rPr>
        <w:t>）紧急处置措施：</w:t>
      </w:r>
      <w:r>
        <w:rPr>
          <w:rFonts w:hint="eastAsia"/>
          <w:color w:val="auto"/>
          <w:sz w:val="24"/>
          <w:szCs w:val="32"/>
          <w:lang w:val="en-US" w:eastAsia="zh-CN"/>
        </w:rPr>
        <w:t>设置泄漏与截断措施：在厂区污水总排口及雨水排口设置切断装置，确保在紧急情况下能立即切断污染物流向。对天然气管道设置安全阀门及泄漏自动报警装置</w:t>
      </w:r>
      <w:r>
        <w:rPr>
          <w:color w:val="auto"/>
          <w:sz w:val="24"/>
          <w:szCs w:val="32"/>
        </w:rPr>
        <w:t>。发生</w:t>
      </w:r>
      <w:r>
        <w:rPr>
          <w:rFonts w:hint="eastAsia"/>
          <w:color w:val="auto"/>
          <w:sz w:val="24"/>
          <w:szCs w:val="32"/>
          <w:lang w:val="en-US" w:eastAsia="zh-CN"/>
        </w:rPr>
        <w:t>突发环境事件</w:t>
      </w:r>
      <w:r>
        <w:rPr>
          <w:color w:val="auto"/>
          <w:sz w:val="24"/>
          <w:szCs w:val="32"/>
        </w:rPr>
        <w:t>启动本企业</w:t>
      </w:r>
      <w:r>
        <w:rPr>
          <w:rFonts w:hint="eastAsia"/>
          <w:color w:val="auto"/>
          <w:sz w:val="24"/>
          <w:szCs w:val="32"/>
        </w:rPr>
        <w:t>突发环境事件应急预案</w:t>
      </w:r>
      <w:r>
        <w:rPr>
          <w:rFonts w:hint="eastAsia"/>
          <w:color w:val="auto"/>
          <w:sz w:val="24"/>
          <w:szCs w:val="32"/>
          <w:lang w:eastAsia="zh-CN"/>
        </w:rPr>
        <w:t>。</w:t>
      </w:r>
    </w:p>
    <w:p w14:paraId="42FC05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32"/>
        </w:rPr>
      </w:pPr>
      <w:r>
        <w:rPr>
          <w:rFonts w:hint="default" w:ascii="Times New Roman" w:hAnsi="Times New Roman" w:cs="Times New Roman"/>
          <w:color w:val="auto"/>
          <w:sz w:val="24"/>
          <w:szCs w:val="32"/>
        </w:rPr>
        <w:t>2、实际建设情况</w:t>
      </w:r>
    </w:p>
    <w:p w14:paraId="108951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32"/>
        </w:rPr>
      </w:pPr>
      <w:r>
        <w:rPr>
          <w:rFonts w:hint="default" w:ascii="Times New Roman" w:hAnsi="Times New Roman" w:cs="Times New Roman"/>
          <w:color w:val="auto"/>
          <w:sz w:val="24"/>
          <w:szCs w:val="32"/>
        </w:rPr>
        <w:t>根据企业提供的材料：</w:t>
      </w:r>
    </w:p>
    <w:p w14:paraId="01D0F6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val="0"/>
          <w:bCs w:val="0"/>
          <w:color w:val="auto"/>
          <w:sz w:val="24"/>
          <w:szCs w:val="24"/>
          <w:lang w:val="en-US" w:eastAsia="zh-CN"/>
        </w:rPr>
        <w:t>（1）原辅材料设置专用原料库进行储存，原料库地面做硬化措施，各原料分区堆放储存，并</w:t>
      </w:r>
      <w:r>
        <w:rPr>
          <w:rFonts w:hint="default" w:ascii="Times New Roman" w:hAnsi="Times New Roman" w:cs="Times New Roman"/>
          <w:b w:val="0"/>
          <w:bCs w:val="0"/>
          <w:color w:val="auto"/>
          <w:sz w:val="24"/>
          <w:szCs w:val="24"/>
          <w:highlight w:val="none"/>
          <w:lang w:val="en-US" w:eastAsia="zh-CN"/>
        </w:rPr>
        <w:t>保持干燥通风，危废</w:t>
      </w:r>
      <w:r>
        <w:rPr>
          <w:rFonts w:hint="eastAsia" w:cs="Times New Roman"/>
          <w:b w:val="0"/>
          <w:bCs w:val="0"/>
          <w:color w:val="auto"/>
          <w:sz w:val="24"/>
          <w:szCs w:val="24"/>
          <w:highlight w:val="none"/>
          <w:lang w:val="en-US" w:eastAsia="zh-CN"/>
        </w:rPr>
        <w:t>库已采取重点防渗措施</w:t>
      </w:r>
      <w:r>
        <w:rPr>
          <w:rFonts w:hint="default" w:ascii="Times New Roman" w:hAnsi="Times New Roman" w:cs="Times New Roman"/>
          <w:b w:val="0"/>
          <w:bCs w:val="0"/>
          <w:color w:val="auto"/>
          <w:sz w:val="24"/>
          <w:szCs w:val="24"/>
          <w:highlight w:val="none"/>
          <w:lang w:val="en-US" w:eastAsia="zh-CN"/>
        </w:rPr>
        <w:t>。</w:t>
      </w:r>
    </w:p>
    <w:p w14:paraId="7A7DDB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val="0"/>
          <w:bCs w:val="0"/>
          <w:color w:val="auto"/>
          <w:sz w:val="24"/>
          <w:szCs w:val="24"/>
          <w:highlight w:val="none"/>
          <w:lang w:val="en-US" w:eastAsia="zh-CN"/>
        </w:rPr>
        <w:t>（2）生产过程中选用密封良好的输送泵，工艺管线密封防腐防泄漏，设备配套的阀门、仪表接头等密闭，基本无跑、冒、滴、漏现象。</w:t>
      </w:r>
    </w:p>
    <w:p w14:paraId="692DDB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val="0"/>
          <w:bCs w:val="0"/>
          <w:color w:val="auto"/>
          <w:sz w:val="24"/>
          <w:szCs w:val="24"/>
          <w:highlight w:val="none"/>
          <w:lang w:val="en-US" w:eastAsia="zh-CN"/>
        </w:rPr>
        <w:t>（4）全厂雨排水管道与污水管道不发生串漏。</w:t>
      </w:r>
    </w:p>
    <w:p w14:paraId="4E9CE168">
      <w:pPr>
        <w:spacing w:line="360" w:lineRule="auto"/>
        <w:outlineLvl w:val="1"/>
        <w:rPr>
          <w:rFonts w:hint="default"/>
          <w:b/>
          <w:bCs/>
          <w:color w:val="auto"/>
          <w:sz w:val="28"/>
          <w:szCs w:val="28"/>
          <w:lang w:val="en-US" w:eastAsia="zh-CN"/>
        </w:rPr>
      </w:pPr>
      <w:bookmarkStart w:id="290" w:name="_Toc3935"/>
      <w:r>
        <w:rPr>
          <w:rFonts w:hint="default"/>
          <w:b/>
          <w:bCs/>
          <w:color w:val="auto"/>
          <w:sz w:val="28"/>
          <w:szCs w:val="28"/>
          <w:lang w:val="en-US" w:eastAsia="zh-CN"/>
        </w:rPr>
        <w:t>3.4总量可达性分析</w:t>
      </w:r>
      <w:bookmarkEnd w:id="290"/>
    </w:p>
    <w:p w14:paraId="5C1659FD">
      <w:pPr>
        <w:adjustRightInd w:val="0"/>
        <w:snapToGrid w:val="0"/>
        <w:spacing w:line="360" w:lineRule="auto"/>
        <w:ind w:firstLine="480" w:firstLineChars="200"/>
        <w:rPr>
          <w:color w:val="auto"/>
          <w:sz w:val="24"/>
          <w:szCs w:val="32"/>
        </w:rPr>
      </w:pPr>
      <w:r>
        <w:rPr>
          <w:rFonts w:hint="eastAsia"/>
          <w:color w:val="auto"/>
          <w:sz w:val="24"/>
          <w:szCs w:val="32"/>
          <w:lang w:val="en-US" w:eastAsia="zh-CN"/>
        </w:rPr>
        <w:t>根据</w:t>
      </w:r>
      <w:r>
        <w:rPr>
          <w:color w:val="auto"/>
          <w:sz w:val="24"/>
          <w:szCs w:val="32"/>
        </w:rPr>
        <w:t>《</w:t>
      </w:r>
      <w:r>
        <w:rPr>
          <w:rFonts w:hint="eastAsia"/>
          <w:color w:val="auto"/>
          <w:kern w:val="24"/>
          <w:sz w:val="24"/>
        </w:rPr>
        <w:t>安徽华中天力铝业有限公司年产11万吨再生铝建设项目环境影响报告书</w:t>
      </w:r>
      <w:r>
        <w:rPr>
          <w:color w:val="auto"/>
          <w:sz w:val="24"/>
          <w:szCs w:val="32"/>
        </w:rPr>
        <w:t>》环评批复（</w:t>
      </w:r>
      <w:r>
        <w:rPr>
          <w:rFonts w:hint="eastAsia"/>
          <w:color w:val="auto"/>
          <w:sz w:val="24"/>
          <w:szCs w:val="32"/>
          <w:lang w:val="en-US" w:eastAsia="zh-CN"/>
        </w:rPr>
        <w:t>淮环行【2016】27号</w:t>
      </w:r>
      <w:r>
        <w:rPr>
          <w:color w:val="auto"/>
          <w:sz w:val="24"/>
          <w:szCs w:val="32"/>
        </w:rPr>
        <w:t>）</w:t>
      </w:r>
      <w:r>
        <w:rPr>
          <w:rFonts w:hint="eastAsia"/>
          <w:color w:val="auto"/>
          <w:sz w:val="24"/>
          <w:szCs w:val="32"/>
          <w:lang w:val="en-US" w:eastAsia="zh-CN"/>
        </w:rPr>
        <w:t>和</w:t>
      </w:r>
      <w:r>
        <w:rPr>
          <w:rFonts w:hint="eastAsia" w:cs="Times New Roman"/>
          <w:color w:val="auto"/>
          <w:sz w:val="24"/>
          <w:szCs w:val="24"/>
          <w:lang w:val="en-US" w:eastAsia="zh-CN"/>
        </w:rPr>
        <w:t>安徽瑞瑟科金属材料有限公司（原安徽华中天力铝业有限公司年产11万吨再生铝建设项目）主要排放口二氧化硫、氨氧化物许可排放量核算报告》可知</w:t>
      </w:r>
      <w:r>
        <w:rPr>
          <w:color w:val="auto"/>
          <w:sz w:val="24"/>
          <w:szCs w:val="32"/>
        </w:rPr>
        <w:t>，</w:t>
      </w:r>
      <w:r>
        <w:rPr>
          <w:rFonts w:hint="eastAsia"/>
          <w:color w:val="auto"/>
          <w:sz w:val="24"/>
          <w:szCs w:val="32"/>
          <w:lang w:val="en-US" w:eastAsia="zh-CN"/>
        </w:rPr>
        <w:t>现有一期工程</w:t>
      </w:r>
      <w:r>
        <w:rPr>
          <w:rFonts w:hint="eastAsia"/>
          <w:color w:val="auto"/>
          <w:sz w:val="24"/>
          <w:szCs w:val="32"/>
        </w:rPr>
        <w:t>总量控制指标为</w:t>
      </w:r>
      <w:r>
        <w:rPr>
          <w:rFonts w:hint="eastAsia"/>
          <w:color w:val="auto"/>
          <w:sz w:val="24"/>
          <w:szCs w:val="32"/>
          <w:lang w:val="en-US" w:eastAsia="zh-CN"/>
        </w:rPr>
        <w:t>颗粒物6.8</w:t>
      </w:r>
      <w:r>
        <w:rPr>
          <w:color w:val="auto"/>
          <w:sz w:val="24"/>
          <w:szCs w:val="32"/>
        </w:rPr>
        <w:t>t/a</w:t>
      </w:r>
      <w:r>
        <w:rPr>
          <w:rFonts w:hint="eastAsia"/>
          <w:color w:val="auto"/>
          <w:sz w:val="24"/>
          <w:szCs w:val="32"/>
        </w:rPr>
        <w:t>、</w:t>
      </w:r>
      <w:r>
        <w:rPr>
          <w:rFonts w:hint="eastAsia"/>
          <w:color w:val="auto"/>
          <w:sz w:val="24"/>
          <w:szCs w:val="32"/>
          <w:lang w:val="en-US" w:eastAsia="zh-CN"/>
        </w:rPr>
        <w:t>二氧化硫12.635</w:t>
      </w:r>
      <w:r>
        <w:rPr>
          <w:rFonts w:hint="eastAsia"/>
          <w:color w:val="auto"/>
          <w:sz w:val="24"/>
          <w:szCs w:val="32"/>
        </w:rPr>
        <w:t>t/a</w:t>
      </w:r>
      <w:r>
        <w:rPr>
          <w:rFonts w:hint="eastAsia"/>
          <w:color w:val="auto"/>
          <w:sz w:val="24"/>
          <w:szCs w:val="32"/>
          <w:lang w:eastAsia="zh-CN"/>
        </w:rPr>
        <w:t>、</w:t>
      </w:r>
      <w:r>
        <w:rPr>
          <w:rFonts w:hint="eastAsia"/>
          <w:color w:val="auto"/>
          <w:sz w:val="24"/>
          <w:szCs w:val="32"/>
          <w:lang w:val="en-US" w:eastAsia="zh-CN"/>
        </w:rPr>
        <w:t>氮氧化物19.454</w:t>
      </w:r>
      <w:r>
        <w:rPr>
          <w:rFonts w:hint="eastAsia"/>
          <w:color w:val="auto"/>
          <w:sz w:val="24"/>
          <w:szCs w:val="32"/>
        </w:rPr>
        <w:t>t/a</w:t>
      </w:r>
      <w:r>
        <w:rPr>
          <w:color w:val="auto"/>
          <w:sz w:val="24"/>
          <w:szCs w:val="32"/>
        </w:rPr>
        <w:t>。</w:t>
      </w:r>
    </w:p>
    <w:p w14:paraId="3A0DD622">
      <w:pPr>
        <w:spacing w:line="360" w:lineRule="auto"/>
        <w:ind w:firstLine="480" w:firstLineChars="200"/>
        <w:rPr>
          <w:color w:val="auto"/>
          <w:sz w:val="24"/>
          <w:szCs w:val="32"/>
        </w:rPr>
      </w:pPr>
      <w:r>
        <w:rPr>
          <w:rFonts w:hint="eastAsia"/>
          <w:color w:val="auto"/>
          <w:sz w:val="24"/>
        </w:rPr>
        <w:t>根据企业</w:t>
      </w:r>
      <w:r>
        <w:rPr>
          <w:rFonts w:hint="eastAsia"/>
          <w:color w:val="auto"/>
          <w:sz w:val="24"/>
          <w:lang w:val="en-US" w:eastAsia="zh-CN"/>
        </w:rPr>
        <w:t>2024年在线监测</w:t>
      </w:r>
      <w:r>
        <w:rPr>
          <w:rFonts w:hint="eastAsia"/>
          <w:color w:val="auto"/>
          <w:sz w:val="24"/>
        </w:rPr>
        <w:t>结果可知：一期</w:t>
      </w:r>
      <w:r>
        <w:rPr>
          <w:rFonts w:hint="eastAsia"/>
          <w:color w:val="auto"/>
          <w:sz w:val="24"/>
          <w:lang w:val="en-US" w:eastAsia="zh-CN"/>
        </w:rPr>
        <w:t>工程</w:t>
      </w:r>
      <w:r>
        <w:rPr>
          <w:rFonts w:hint="eastAsia"/>
          <w:color w:val="auto"/>
          <w:sz w:val="24"/>
        </w:rPr>
        <w:t>颗粒物排放量为</w:t>
      </w:r>
      <w:r>
        <w:rPr>
          <w:rFonts w:hint="eastAsia"/>
          <w:color w:val="auto"/>
          <w:sz w:val="24"/>
          <w:lang w:val="en-US" w:eastAsia="zh-CN"/>
        </w:rPr>
        <w:t>2.44</w:t>
      </w:r>
      <w:r>
        <w:rPr>
          <w:rFonts w:hint="eastAsia"/>
          <w:color w:val="auto"/>
          <w:sz w:val="24"/>
        </w:rPr>
        <w:t>t/a，</w:t>
      </w:r>
      <w:r>
        <w:rPr>
          <w:rFonts w:hint="eastAsia"/>
          <w:color w:val="auto"/>
          <w:sz w:val="24"/>
          <w:szCs w:val="32"/>
          <w:lang w:val="en-US" w:eastAsia="zh-CN"/>
        </w:rPr>
        <w:t>二氧化硫</w:t>
      </w:r>
      <w:r>
        <w:rPr>
          <w:rFonts w:hint="eastAsia"/>
          <w:color w:val="auto"/>
          <w:sz w:val="24"/>
        </w:rPr>
        <w:t>排放量为</w:t>
      </w:r>
      <w:r>
        <w:rPr>
          <w:rFonts w:hint="eastAsia"/>
          <w:color w:val="auto"/>
          <w:sz w:val="24"/>
          <w:lang w:val="en-US" w:eastAsia="zh-CN"/>
        </w:rPr>
        <w:t>3.99</w:t>
      </w:r>
      <w:r>
        <w:rPr>
          <w:rFonts w:hint="eastAsia"/>
          <w:color w:val="auto"/>
          <w:sz w:val="24"/>
        </w:rPr>
        <w:t>t/a</w:t>
      </w:r>
      <w:r>
        <w:rPr>
          <w:rFonts w:hint="eastAsia"/>
          <w:color w:val="auto"/>
          <w:sz w:val="24"/>
          <w:szCs w:val="32"/>
          <w:lang w:val="en-US" w:eastAsia="zh-CN"/>
        </w:rPr>
        <w:t>，氮氧化物</w:t>
      </w:r>
      <w:r>
        <w:rPr>
          <w:rFonts w:hint="eastAsia"/>
          <w:color w:val="auto"/>
          <w:sz w:val="24"/>
        </w:rPr>
        <w:t>排放量为</w:t>
      </w:r>
      <w:r>
        <w:rPr>
          <w:rFonts w:hint="eastAsia"/>
          <w:color w:val="auto"/>
          <w:sz w:val="24"/>
          <w:lang w:val="en-US" w:eastAsia="zh-CN"/>
        </w:rPr>
        <w:t>8.55</w:t>
      </w:r>
      <w:r>
        <w:rPr>
          <w:rFonts w:hint="eastAsia"/>
          <w:color w:val="auto"/>
          <w:sz w:val="24"/>
        </w:rPr>
        <w:t>t/a，满足</w:t>
      </w:r>
      <w:r>
        <w:rPr>
          <w:rFonts w:hint="eastAsia"/>
          <w:color w:val="auto"/>
          <w:sz w:val="24"/>
          <w:lang w:val="en-US" w:eastAsia="zh-CN"/>
        </w:rPr>
        <w:t>现有</w:t>
      </w:r>
      <w:r>
        <w:rPr>
          <w:rFonts w:hint="eastAsia"/>
          <w:color w:val="auto"/>
          <w:sz w:val="24"/>
        </w:rPr>
        <w:t>总量</w:t>
      </w:r>
      <w:r>
        <w:rPr>
          <w:rFonts w:hint="eastAsia"/>
          <w:color w:val="auto"/>
          <w:sz w:val="24"/>
          <w:lang w:val="en-US" w:eastAsia="zh-CN"/>
        </w:rPr>
        <w:t>控制指标</w:t>
      </w:r>
      <w:r>
        <w:rPr>
          <w:rFonts w:hint="eastAsia"/>
          <w:color w:val="auto"/>
          <w:sz w:val="24"/>
        </w:rPr>
        <w:t>要求</w:t>
      </w:r>
      <w:r>
        <w:rPr>
          <w:color w:val="auto"/>
          <w:sz w:val="24"/>
          <w:szCs w:val="32"/>
        </w:rPr>
        <w:t>。</w:t>
      </w:r>
    </w:p>
    <w:p w14:paraId="32B062D2">
      <w:pPr>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废气排放情况如下：</w:t>
      </w:r>
    </w:p>
    <w:p w14:paraId="01E5B6F8">
      <w:pPr>
        <w:pStyle w:val="20"/>
        <w:spacing w:line="360" w:lineRule="auto"/>
        <w:jc w:val="center"/>
        <w:rPr>
          <w:rFonts w:ascii="Times New Roman" w:hAnsi="Times New Roman" w:cs="Times New Roman"/>
          <w:b/>
          <w:bCs/>
          <w:color w:val="auto"/>
          <w:sz w:val="24"/>
          <w:szCs w:val="32"/>
        </w:rPr>
      </w:pPr>
      <w:r>
        <w:rPr>
          <w:rFonts w:ascii="Times New Roman" w:hAnsi="Times New Roman" w:cs="Times New Roman"/>
          <w:b/>
          <w:bCs/>
          <w:color w:val="auto"/>
          <w:sz w:val="24"/>
          <w:szCs w:val="40"/>
        </w:rPr>
        <w:t>表</w:t>
      </w:r>
      <w:r>
        <w:rPr>
          <w:rFonts w:hint="eastAsia" w:ascii="Times New Roman" w:hAnsi="Times New Roman" w:cs="Times New Roman"/>
          <w:b/>
          <w:bCs/>
          <w:color w:val="auto"/>
          <w:sz w:val="24"/>
          <w:szCs w:val="40"/>
          <w:lang w:val="en-US" w:eastAsia="zh-CN"/>
        </w:rPr>
        <w:t>3-13</w:t>
      </w:r>
      <w:r>
        <w:rPr>
          <w:rFonts w:ascii="Times New Roman" w:hAnsi="Times New Roman" w:cs="Times New Roman"/>
          <w:b/>
          <w:bCs/>
          <w:color w:val="auto"/>
          <w:sz w:val="24"/>
          <w:szCs w:val="40"/>
        </w:rPr>
        <w:t xml:space="preserve"> </w:t>
      </w:r>
      <w:r>
        <w:rPr>
          <w:rFonts w:hint="eastAsia" w:ascii="Times New Roman" w:hAnsi="Times New Roman" w:cs="Times New Roman"/>
          <w:b/>
          <w:bCs/>
          <w:color w:val="auto"/>
          <w:sz w:val="24"/>
          <w:szCs w:val="40"/>
          <w:lang w:val="en-US" w:eastAsia="zh-CN"/>
        </w:rPr>
        <w:t>安徽瑞瑟科金属材料有限公司</w:t>
      </w:r>
      <w:r>
        <w:rPr>
          <w:rFonts w:ascii="Times New Roman" w:hAnsi="Times New Roman" w:cs="Times New Roman"/>
          <w:b/>
          <w:bCs/>
          <w:color w:val="auto"/>
          <w:sz w:val="24"/>
          <w:szCs w:val="40"/>
        </w:rPr>
        <w:t>有组织废气排放情况一览表</w:t>
      </w:r>
    </w:p>
    <w:tbl>
      <w:tblPr>
        <w:tblStyle w:val="123"/>
        <w:tblW w:w="4996"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1669"/>
        <w:gridCol w:w="2017"/>
        <w:gridCol w:w="2017"/>
        <w:gridCol w:w="2017"/>
        <w:gridCol w:w="2018"/>
      </w:tblGrid>
      <w:tr w14:paraId="08EC30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6D2D267F">
            <w:pPr>
              <w:jc w:val="center"/>
              <w:rPr>
                <w:b/>
                <w:bCs/>
                <w:color w:val="auto"/>
              </w:rPr>
            </w:pPr>
            <w:r>
              <w:rPr>
                <w:b/>
                <w:bCs/>
                <w:color w:val="auto"/>
              </w:rPr>
              <w:t>项目</w:t>
            </w:r>
          </w:p>
        </w:tc>
        <w:tc>
          <w:tcPr>
            <w:tcW w:w="1035" w:type="pct"/>
            <w:tcBorders>
              <w:tl2br w:val="nil"/>
              <w:tr2bl w:val="nil"/>
            </w:tcBorders>
            <w:vAlign w:val="center"/>
          </w:tcPr>
          <w:p w14:paraId="7CB50BA7">
            <w:pPr>
              <w:jc w:val="center"/>
              <w:rPr>
                <w:rFonts w:hint="eastAsia"/>
                <w:b/>
                <w:bCs/>
                <w:color w:val="auto"/>
              </w:rPr>
            </w:pPr>
            <w:r>
              <w:rPr>
                <w:b/>
                <w:bCs/>
                <w:color w:val="auto"/>
              </w:rPr>
              <w:t>环评批复</w:t>
            </w:r>
            <w:r>
              <w:rPr>
                <w:rFonts w:hint="eastAsia"/>
                <w:b/>
                <w:bCs/>
                <w:color w:val="auto"/>
              </w:rPr>
              <w:t>总量</w:t>
            </w:r>
          </w:p>
          <w:p w14:paraId="395E790B">
            <w:pPr>
              <w:jc w:val="center"/>
              <w:rPr>
                <w:b/>
                <w:bCs/>
                <w:color w:val="auto"/>
              </w:rPr>
            </w:pPr>
            <w:r>
              <w:rPr>
                <w:rFonts w:hint="eastAsia"/>
                <w:b/>
                <w:bCs/>
                <w:color w:val="auto"/>
                <w:lang w:eastAsia="zh-CN"/>
              </w:rPr>
              <w:t>（</w:t>
            </w:r>
            <w:r>
              <w:rPr>
                <w:rFonts w:hint="eastAsia"/>
                <w:b/>
                <w:bCs/>
                <w:color w:val="auto"/>
                <w:lang w:val="en-US" w:eastAsia="zh-CN"/>
              </w:rPr>
              <w:t>一期工程</w:t>
            </w:r>
            <w:r>
              <w:rPr>
                <w:rFonts w:hint="eastAsia"/>
                <w:b/>
                <w:bCs/>
                <w:color w:val="auto"/>
                <w:lang w:eastAsia="zh-CN"/>
              </w:rPr>
              <w:t>）</w:t>
            </w:r>
          </w:p>
        </w:tc>
        <w:tc>
          <w:tcPr>
            <w:tcW w:w="1035" w:type="pct"/>
            <w:tcBorders>
              <w:tl2br w:val="nil"/>
              <w:tr2bl w:val="nil"/>
            </w:tcBorders>
            <w:vAlign w:val="center"/>
          </w:tcPr>
          <w:p w14:paraId="6FD3E3D3">
            <w:pPr>
              <w:jc w:val="center"/>
              <w:rPr>
                <w:rFonts w:hint="default"/>
                <w:b/>
                <w:bCs/>
                <w:color w:val="auto"/>
                <w:lang w:val="en-US"/>
              </w:rPr>
            </w:pPr>
            <w:r>
              <w:rPr>
                <w:rFonts w:hint="eastAsia"/>
                <w:b/>
                <w:bCs/>
                <w:color w:val="auto"/>
                <w:lang w:val="en-US" w:eastAsia="zh-CN"/>
              </w:rPr>
              <w:t>许可排放量核算报告批复总量</w:t>
            </w:r>
          </w:p>
        </w:tc>
        <w:tc>
          <w:tcPr>
            <w:tcW w:w="1035" w:type="pct"/>
            <w:tcBorders>
              <w:tl2br w:val="nil"/>
              <w:tr2bl w:val="nil"/>
            </w:tcBorders>
            <w:vAlign w:val="center"/>
          </w:tcPr>
          <w:p w14:paraId="1584BDD9">
            <w:pPr>
              <w:jc w:val="center"/>
              <w:rPr>
                <w:rFonts w:hint="default"/>
                <w:b/>
                <w:bCs/>
                <w:color w:val="auto"/>
                <w:lang w:val="en-US" w:eastAsia="zh-CN"/>
              </w:rPr>
            </w:pPr>
            <w:r>
              <w:rPr>
                <w:rFonts w:hint="eastAsia"/>
                <w:b/>
                <w:bCs/>
                <w:color w:val="auto"/>
                <w:lang w:val="en-US" w:eastAsia="zh-CN"/>
              </w:rPr>
              <w:t>一期工程许可排放量</w:t>
            </w:r>
          </w:p>
        </w:tc>
        <w:tc>
          <w:tcPr>
            <w:tcW w:w="1035" w:type="pct"/>
            <w:tcBorders>
              <w:tl2br w:val="nil"/>
              <w:tr2bl w:val="nil"/>
            </w:tcBorders>
            <w:vAlign w:val="center"/>
          </w:tcPr>
          <w:p w14:paraId="26386CAB">
            <w:pPr>
              <w:jc w:val="center"/>
              <w:rPr>
                <w:b/>
                <w:bCs/>
                <w:color w:val="auto"/>
              </w:rPr>
            </w:pPr>
            <w:r>
              <w:rPr>
                <w:rFonts w:hint="eastAsia"/>
                <w:b/>
                <w:bCs/>
                <w:color w:val="auto"/>
              </w:rPr>
              <w:t>一期项目实际排放量</w:t>
            </w:r>
          </w:p>
        </w:tc>
      </w:tr>
      <w:tr w14:paraId="546347E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27E0A3C1">
            <w:pPr>
              <w:jc w:val="center"/>
              <w:rPr>
                <w:color w:val="auto"/>
              </w:rPr>
            </w:pPr>
            <w:r>
              <w:rPr>
                <w:color w:val="auto"/>
              </w:rPr>
              <w:t>颗粒物</w:t>
            </w:r>
          </w:p>
        </w:tc>
        <w:tc>
          <w:tcPr>
            <w:tcW w:w="1035" w:type="pct"/>
            <w:tcBorders>
              <w:tl2br w:val="nil"/>
              <w:tr2bl w:val="nil"/>
            </w:tcBorders>
            <w:vAlign w:val="center"/>
          </w:tcPr>
          <w:p w14:paraId="29BD382F">
            <w:pPr>
              <w:jc w:val="center"/>
              <w:rPr>
                <w:rFonts w:hint="default" w:eastAsia="宋体"/>
                <w:color w:val="auto"/>
                <w:szCs w:val="21"/>
                <w:lang w:val="en-US" w:eastAsia="zh-CN"/>
              </w:rPr>
            </w:pPr>
            <w:r>
              <w:rPr>
                <w:rFonts w:hint="eastAsia"/>
                <w:color w:val="auto"/>
                <w:szCs w:val="21"/>
                <w:lang w:val="en-US" w:eastAsia="zh-CN"/>
              </w:rPr>
              <w:t>7.63</w:t>
            </w:r>
          </w:p>
        </w:tc>
        <w:tc>
          <w:tcPr>
            <w:tcW w:w="1035" w:type="pct"/>
            <w:tcBorders>
              <w:tl2br w:val="nil"/>
              <w:tr2bl w:val="nil"/>
            </w:tcBorders>
            <w:vAlign w:val="center"/>
          </w:tcPr>
          <w:p w14:paraId="065BA380">
            <w:pPr>
              <w:jc w:val="center"/>
              <w:rPr>
                <w:rFonts w:hint="eastAsia" w:eastAsia="宋体"/>
                <w:color w:val="auto"/>
                <w:lang w:eastAsia="zh-CN"/>
              </w:rPr>
            </w:pPr>
            <w:r>
              <w:rPr>
                <w:rFonts w:hint="eastAsia"/>
                <w:color w:val="auto"/>
                <w:lang w:val="en-US" w:eastAsia="zh-CN"/>
              </w:rPr>
              <w:t>/</w:t>
            </w:r>
          </w:p>
        </w:tc>
        <w:tc>
          <w:tcPr>
            <w:tcW w:w="1035" w:type="pct"/>
            <w:tcBorders>
              <w:tl2br w:val="nil"/>
              <w:tr2bl w:val="nil"/>
            </w:tcBorders>
            <w:vAlign w:val="center"/>
          </w:tcPr>
          <w:p w14:paraId="4F258E14">
            <w:pPr>
              <w:jc w:val="center"/>
              <w:rPr>
                <w:rFonts w:hint="default" w:eastAsia="宋体"/>
                <w:color w:val="auto"/>
                <w:lang w:val="en-US" w:eastAsia="zh-CN"/>
              </w:rPr>
            </w:pPr>
            <w:r>
              <w:rPr>
                <w:rFonts w:hint="eastAsia"/>
                <w:color w:val="auto"/>
                <w:lang w:val="en-US" w:eastAsia="zh-CN"/>
              </w:rPr>
              <w:t>7.63</w:t>
            </w:r>
          </w:p>
        </w:tc>
        <w:tc>
          <w:tcPr>
            <w:tcW w:w="1035" w:type="pct"/>
            <w:tcBorders>
              <w:tl2br w:val="nil"/>
              <w:tr2bl w:val="nil"/>
            </w:tcBorders>
            <w:vAlign w:val="center"/>
          </w:tcPr>
          <w:p w14:paraId="0E0FED4F">
            <w:pPr>
              <w:jc w:val="center"/>
              <w:rPr>
                <w:color w:val="auto"/>
              </w:rPr>
            </w:pPr>
            <w:r>
              <w:rPr>
                <w:rFonts w:hint="eastAsia"/>
                <w:color w:val="auto"/>
                <w:lang w:val="en-US" w:eastAsia="zh-CN"/>
              </w:rPr>
              <w:t>2.44</w:t>
            </w:r>
            <w:r>
              <w:rPr>
                <w:rFonts w:hint="eastAsia"/>
                <w:color w:val="auto"/>
              </w:rPr>
              <w:t>t/a</w:t>
            </w:r>
          </w:p>
        </w:tc>
      </w:tr>
      <w:tr w14:paraId="6FC7CC5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05E95C17">
            <w:pPr>
              <w:jc w:val="center"/>
              <w:rPr>
                <w:rFonts w:hint="eastAsia" w:eastAsia="宋体"/>
                <w:color w:val="auto"/>
                <w:lang w:val="en-US" w:eastAsia="zh-CN"/>
              </w:rPr>
            </w:pPr>
            <w:r>
              <w:rPr>
                <w:rFonts w:hint="eastAsia"/>
                <w:color w:val="auto"/>
                <w:lang w:val="en-US" w:eastAsia="zh-CN"/>
              </w:rPr>
              <w:t>二氧化硫</w:t>
            </w:r>
          </w:p>
        </w:tc>
        <w:tc>
          <w:tcPr>
            <w:tcW w:w="1035" w:type="pct"/>
            <w:tcBorders>
              <w:tl2br w:val="nil"/>
              <w:tr2bl w:val="nil"/>
            </w:tcBorders>
            <w:vAlign w:val="center"/>
          </w:tcPr>
          <w:p w14:paraId="791DCC95">
            <w:pPr>
              <w:jc w:val="center"/>
              <w:rPr>
                <w:rFonts w:hint="default" w:eastAsia="宋体"/>
                <w:color w:val="auto"/>
                <w:szCs w:val="21"/>
                <w:lang w:val="en-US" w:eastAsia="zh-CN"/>
              </w:rPr>
            </w:pPr>
            <w:r>
              <w:rPr>
                <w:rFonts w:hint="eastAsia"/>
                <w:color w:val="auto"/>
                <w:szCs w:val="21"/>
                <w:lang w:val="en-US" w:eastAsia="zh-CN"/>
              </w:rPr>
              <w:t>0.18</w:t>
            </w:r>
          </w:p>
        </w:tc>
        <w:tc>
          <w:tcPr>
            <w:tcW w:w="1035" w:type="pct"/>
            <w:tcBorders>
              <w:tl2br w:val="nil"/>
              <w:tr2bl w:val="nil"/>
            </w:tcBorders>
            <w:vAlign w:val="center"/>
          </w:tcPr>
          <w:p w14:paraId="0677E872">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54286912">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5E906842">
            <w:pPr>
              <w:jc w:val="center"/>
              <w:rPr>
                <w:color w:val="auto"/>
              </w:rPr>
            </w:pPr>
            <w:r>
              <w:rPr>
                <w:rFonts w:hint="eastAsia"/>
                <w:color w:val="auto"/>
                <w:lang w:val="en-US" w:eastAsia="zh-CN"/>
              </w:rPr>
              <w:t>3.99</w:t>
            </w:r>
            <w:r>
              <w:rPr>
                <w:rFonts w:hint="eastAsia"/>
                <w:color w:val="auto"/>
              </w:rPr>
              <w:t>t/a</w:t>
            </w:r>
          </w:p>
        </w:tc>
      </w:tr>
      <w:tr w14:paraId="7B3A826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6C7238CB">
            <w:pPr>
              <w:jc w:val="center"/>
              <w:rPr>
                <w:rFonts w:hint="default"/>
                <w:color w:val="auto"/>
                <w:lang w:val="en-US" w:eastAsia="zh-CN"/>
              </w:rPr>
            </w:pPr>
            <w:r>
              <w:rPr>
                <w:rFonts w:hint="eastAsia"/>
                <w:color w:val="auto"/>
                <w:lang w:val="en-US" w:eastAsia="zh-CN"/>
              </w:rPr>
              <w:t>氮氧化物</w:t>
            </w:r>
          </w:p>
        </w:tc>
        <w:tc>
          <w:tcPr>
            <w:tcW w:w="1035" w:type="pct"/>
            <w:tcBorders>
              <w:tl2br w:val="nil"/>
              <w:tr2bl w:val="nil"/>
            </w:tcBorders>
            <w:vAlign w:val="center"/>
          </w:tcPr>
          <w:p w14:paraId="183E4CF5">
            <w:pPr>
              <w:jc w:val="center"/>
              <w:rPr>
                <w:rFonts w:hint="default" w:eastAsia="宋体"/>
                <w:color w:val="auto"/>
                <w:szCs w:val="21"/>
                <w:lang w:val="en-US" w:eastAsia="zh-CN"/>
              </w:rPr>
            </w:pPr>
            <w:r>
              <w:rPr>
                <w:rFonts w:hint="eastAsia"/>
                <w:color w:val="auto"/>
                <w:szCs w:val="21"/>
                <w:lang w:val="en-US" w:eastAsia="zh-CN"/>
              </w:rPr>
              <w:t>6.8</w:t>
            </w:r>
          </w:p>
        </w:tc>
        <w:tc>
          <w:tcPr>
            <w:tcW w:w="1035" w:type="pct"/>
            <w:tcBorders>
              <w:tl2br w:val="nil"/>
              <w:tr2bl w:val="nil"/>
            </w:tcBorders>
            <w:vAlign w:val="center"/>
          </w:tcPr>
          <w:p w14:paraId="4442C388">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044DAC04">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578C0361">
            <w:pPr>
              <w:jc w:val="center"/>
              <w:rPr>
                <w:rFonts w:hint="default" w:eastAsia="宋体"/>
                <w:color w:val="auto"/>
                <w:lang w:val="en-US" w:eastAsia="zh-CN"/>
              </w:rPr>
            </w:pPr>
            <w:r>
              <w:rPr>
                <w:rFonts w:hint="eastAsia"/>
                <w:color w:val="auto"/>
                <w:lang w:val="en-US" w:eastAsia="zh-CN"/>
              </w:rPr>
              <w:t>8.55</w:t>
            </w:r>
            <w:r>
              <w:rPr>
                <w:rFonts w:hint="eastAsia"/>
                <w:color w:val="auto"/>
              </w:rPr>
              <w:t>t/a</w:t>
            </w:r>
          </w:p>
        </w:tc>
      </w:tr>
    </w:tbl>
    <w:p w14:paraId="49BF06E9">
      <w:pPr>
        <w:pStyle w:val="20"/>
        <w:spacing w:line="360" w:lineRule="auto"/>
        <w:ind w:firstLine="480" w:firstLineChars="200"/>
        <w:rPr>
          <w:rFonts w:hint="eastAsia" w:ascii="Times New Roman" w:hAnsi="Times New Roman" w:cs="Times New Roman"/>
          <w:color w:val="auto"/>
          <w:sz w:val="24"/>
          <w:szCs w:val="32"/>
          <w:lang w:val="en-US" w:eastAsia="zh-CN"/>
        </w:rPr>
      </w:pPr>
    </w:p>
    <w:p w14:paraId="77D312A1">
      <w:pPr>
        <w:pStyle w:val="20"/>
        <w:spacing w:line="360" w:lineRule="auto"/>
        <w:ind w:firstLine="480" w:firstLineChars="200"/>
        <w:rPr>
          <w:rFonts w:hint="default" w:ascii="Times New Roman" w:hAnsi="Times New Roman" w:cs="Times New Roman" w:eastAsiaTheme="minorEastAsia"/>
          <w:color w:val="auto"/>
          <w:sz w:val="24"/>
          <w:szCs w:val="32"/>
          <w:lang w:val="en-US" w:eastAsia="zh-CN"/>
        </w:rPr>
      </w:pPr>
      <w:r>
        <w:rPr>
          <w:color w:val="auto"/>
          <w:sz w:val="24"/>
          <w:szCs w:val="32"/>
        </w:rPr>
        <w:t>综上可知</w:t>
      </w:r>
      <w:r>
        <w:rPr>
          <w:rFonts w:hint="eastAsia"/>
          <w:color w:val="auto"/>
          <w:sz w:val="24"/>
          <w:szCs w:val="32"/>
          <w:lang w:eastAsia="zh-CN"/>
        </w:rPr>
        <w:t>，</w:t>
      </w:r>
      <w:r>
        <w:rPr>
          <w:rFonts w:hint="eastAsia"/>
          <w:color w:val="auto"/>
          <w:sz w:val="24"/>
          <w:szCs w:val="32"/>
          <w:lang w:val="en-US" w:eastAsia="zh-CN"/>
        </w:rPr>
        <w:t>安徽瑞瑟科金属材料有限公司</w:t>
      </w:r>
      <w:r>
        <w:rPr>
          <w:rFonts w:hint="eastAsia"/>
          <w:color w:val="auto"/>
          <w:sz w:val="24"/>
          <w:szCs w:val="32"/>
        </w:rPr>
        <w:t>实际排污量能够满足</w:t>
      </w:r>
      <w:r>
        <w:rPr>
          <w:rFonts w:hint="eastAsia"/>
          <w:color w:val="auto"/>
          <w:sz w:val="24"/>
          <w:szCs w:val="32"/>
          <w:lang w:val="en-US" w:eastAsia="zh-CN"/>
        </w:rPr>
        <w:t>现行</w:t>
      </w:r>
      <w:r>
        <w:rPr>
          <w:rFonts w:hint="eastAsia"/>
          <w:color w:val="auto"/>
          <w:sz w:val="24"/>
          <w:szCs w:val="32"/>
        </w:rPr>
        <w:t>总量控制</w:t>
      </w:r>
      <w:r>
        <w:rPr>
          <w:rFonts w:hint="eastAsia"/>
          <w:color w:val="auto"/>
          <w:sz w:val="24"/>
          <w:szCs w:val="32"/>
          <w:lang w:val="en-US" w:eastAsia="zh-CN"/>
        </w:rPr>
        <w:t>指标的</w:t>
      </w:r>
      <w:r>
        <w:rPr>
          <w:rFonts w:hint="eastAsia"/>
          <w:color w:val="auto"/>
          <w:sz w:val="24"/>
          <w:szCs w:val="32"/>
        </w:rPr>
        <w:t>要求</w:t>
      </w:r>
      <w:r>
        <w:rPr>
          <w:rFonts w:hint="eastAsia" w:ascii="Times New Roman" w:hAnsi="Times New Roman" w:cs="Times New Roman"/>
          <w:color w:val="auto"/>
          <w:sz w:val="24"/>
          <w:szCs w:val="32"/>
          <w:lang w:val="en-US" w:eastAsia="zh-CN"/>
        </w:rPr>
        <w:t>。</w:t>
      </w:r>
    </w:p>
    <w:p w14:paraId="47BAA086">
      <w:pPr>
        <w:spacing w:line="360" w:lineRule="auto"/>
        <w:outlineLvl w:val="1"/>
        <w:rPr>
          <w:rFonts w:hint="default"/>
          <w:b/>
          <w:bCs/>
          <w:color w:val="auto"/>
          <w:sz w:val="28"/>
          <w:szCs w:val="28"/>
          <w:highlight w:val="none"/>
          <w:lang w:val="en-US" w:eastAsia="zh-CN"/>
        </w:rPr>
      </w:pPr>
      <w:bookmarkStart w:id="291" w:name="_Toc17377"/>
      <w:r>
        <w:rPr>
          <w:rFonts w:hint="default"/>
          <w:b/>
          <w:bCs/>
          <w:color w:val="auto"/>
          <w:sz w:val="28"/>
          <w:szCs w:val="28"/>
          <w:highlight w:val="none"/>
          <w:lang w:val="en-US" w:eastAsia="zh-CN"/>
        </w:rPr>
        <w:t>3.</w:t>
      </w:r>
      <w:r>
        <w:rPr>
          <w:rFonts w:hint="eastAsia"/>
          <w:b/>
          <w:bCs/>
          <w:color w:val="auto"/>
          <w:sz w:val="28"/>
          <w:szCs w:val="28"/>
          <w:highlight w:val="none"/>
          <w:lang w:val="en-US" w:eastAsia="zh-CN"/>
        </w:rPr>
        <w:t>5</w:t>
      </w:r>
      <w:r>
        <w:rPr>
          <w:rFonts w:hint="default"/>
          <w:b/>
          <w:bCs/>
          <w:color w:val="auto"/>
          <w:sz w:val="28"/>
          <w:szCs w:val="28"/>
          <w:highlight w:val="none"/>
          <w:lang w:val="en-US" w:eastAsia="zh-CN"/>
        </w:rPr>
        <w:t>现有工程主要存在的问题及后续整改措施</w:t>
      </w:r>
      <w:bookmarkEnd w:id="291"/>
    </w:p>
    <w:p w14:paraId="1D305C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bCs/>
          <w:color w:val="auto"/>
          <w:sz w:val="28"/>
          <w:szCs w:val="28"/>
          <w:highlight w:val="none"/>
          <w:lang w:val="en-US" w:eastAsia="zh-CN"/>
        </w:rPr>
      </w:pPr>
      <w:r>
        <w:rPr>
          <w:rFonts w:hint="default"/>
          <w:b w:val="0"/>
          <w:bCs w:val="0"/>
          <w:color w:val="auto"/>
          <w:sz w:val="24"/>
          <w:szCs w:val="24"/>
          <w:highlight w:val="none"/>
          <w:lang w:val="en-US" w:eastAsia="zh-CN"/>
        </w:rPr>
        <w:t>目前现有厂区存在的环保问题主要体现在以下几方面：</w:t>
      </w:r>
    </w:p>
    <w:p w14:paraId="38B5A3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ascii="Times New Roman" w:hAnsi="Times New Roman" w:eastAsia="宋体" w:cs="Times New Roman"/>
          <w:b w:val="0"/>
          <w:bCs/>
          <w:color w:val="auto"/>
          <w:kern w:val="2"/>
          <w:sz w:val="24"/>
          <w:szCs w:val="24"/>
          <w:lang w:val="en-US" w:eastAsia="zh-CN" w:bidi="ar-SA"/>
        </w:rPr>
        <w:t>（1）</w:t>
      </w:r>
      <w:r>
        <w:rPr>
          <w:rFonts w:hint="eastAsia" w:cs="Times New Roman"/>
          <w:b w:val="0"/>
          <w:bCs/>
          <w:color w:val="auto"/>
          <w:sz w:val="24"/>
          <w:highlight w:val="none"/>
          <w:lang w:eastAsia="zh-CN"/>
        </w:rPr>
        <w:t>企业生产车间地面硬化局部破</w:t>
      </w:r>
      <w:r>
        <w:rPr>
          <w:rFonts w:hint="eastAsia" w:cs="Times New Roman"/>
          <w:b w:val="0"/>
          <w:bCs/>
          <w:color w:val="auto"/>
          <w:sz w:val="24"/>
          <w:highlight w:val="none"/>
          <w:lang w:val="en-US" w:eastAsia="zh-CN"/>
        </w:rPr>
        <w:t>损及车间墙面破损；</w:t>
      </w:r>
    </w:p>
    <w:p w14:paraId="278298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ascii="Times New Roman" w:hAnsi="Times New Roman" w:eastAsia="宋体" w:cs="Times New Roman"/>
          <w:b w:val="0"/>
          <w:bCs/>
          <w:color w:val="auto"/>
          <w:kern w:val="2"/>
          <w:sz w:val="24"/>
          <w:szCs w:val="24"/>
          <w:lang w:val="en-US" w:eastAsia="zh-CN" w:bidi="ar-SA"/>
        </w:rPr>
        <w:t>（2）</w:t>
      </w:r>
      <w:r>
        <w:rPr>
          <w:rFonts w:hint="eastAsia" w:cs="Times New Roman"/>
          <w:b w:val="0"/>
          <w:bCs/>
          <w:color w:val="auto"/>
          <w:sz w:val="24"/>
          <w:highlight w:val="none"/>
          <w:lang w:val="en-US" w:eastAsia="zh-CN"/>
        </w:rPr>
        <w:t>废气在线监测设备及日常管理需加强完善；</w:t>
      </w:r>
    </w:p>
    <w:p w14:paraId="194F11D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cs="Times New Roman"/>
          <w:b w:val="0"/>
          <w:bCs/>
          <w:color w:val="auto"/>
          <w:sz w:val="24"/>
          <w:highlight w:val="none"/>
          <w:lang w:val="en-US" w:eastAsia="zh-CN"/>
        </w:rPr>
        <w:t>（3）厂区未建立土壤及地下水环境例行监测制度，未按要求开展土壤及地下水环境质量监测，未设置地下水监测井，无法及时掌握土壤及地下水环境质量状况；</w:t>
      </w:r>
    </w:p>
    <w:p w14:paraId="737D70E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cs="Times New Roman"/>
          <w:b w:val="0"/>
          <w:bCs/>
          <w:color w:val="auto"/>
          <w:sz w:val="24"/>
          <w:highlight w:val="none"/>
          <w:lang w:val="en-US" w:eastAsia="zh-CN"/>
        </w:rPr>
        <w:t>（4）厂区未按《企业事业单位突发环境事件应急预案备案管理办法》《突发环境事件应急管理办法》等相关规定编制企业突发环境事件应急预案。</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81"/>
        <w:gridCol w:w="4981"/>
      </w:tblGrid>
      <w:tr w14:paraId="67E4B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1" w:type="dxa"/>
            <w:tcBorders>
              <w:top w:val="dotted" w:color="auto" w:sz="4" w:space="0"/>
              <w:left w:val="dotted" w:color="auto" w:sz="4" w:space="0"/>
              <w:bottom w:val="dotted" w:color="auto" w:sz="4" w:space="0"/>
              <w:right w:val="dotted" w:color="auto" w:sz="4" w:space="0"/>
            </w:tcBorders>
          </w:tcPr>
          <w:p w14:paraId="300B2594">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21965" cy="2334895"/>
                  <wp:effectExtent l="0" t="0" r="6985" b="8255"/>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26"/>
                          <a:stretch>
                            <a:fillRect/>
                          </a:stretch>
                        </pic:blipFill>
                        <pic:spPr>
                          <a:xfrm>
                            <a:off x="0" y="0"/>
                            <a:ext cx="3021965" cy="2334895"/>
                          </a:xfrm>
                          <a:prstGeom prst="rect">
                            <a:avLst/>
                          </a:prstGeom>
                        </pic:spPr>
                      </pic:pic>
                    </a:graphicData>
                  </a:graphic>
                </wp:inline>
              </w:drawing>
            </w:r>
          </w:p>
        </w:tc>
        <w:tc>
          <w:tcPr>
            <w:tcW w:w="4981" w:type="dxa"/>
            <w:tcBorders>
              <w:top w:val="dotted" w:color="auto" w:sz="4" w:space="0"/>
              <w:left w:val="dotted" w:color="auto" w:sz="4" w:space="0"/>
              <w:bottom w:val="dotted" w:color="auto" w:sz="4" w:space="0"/>
              <w:right w:val="dotted" w:color="auto" w:sz="4" w:space="0"/>
            </w:tcBorders>
          </w:tcPr>
          <w:p w14:paraId="12E2B68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16885" cy="2294255"/>
                  <wp:effectExtent l="0" t="0" r="12065" b="10795"/>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7"/>
                          <a:stretch>
                            <a:fillRect/>
                          </a:stretch>
                        </pic:blipFill>
                        <pic:spPr>
                          <a:xfrm>
                            <a:off x="0" y="0"/>
                            <a:ext cx="3016885" cy="2294255"/>
                          </a:xfrm>
                          <a:prstGeom prst="rect">
                            <a:avLst/>
                          </a:prstGeom>
                        </pic:spPr>
                      </pic:pic>
                    </a:graphicData>
                  </a:graphic>
                </wp:inline>
              </w:drawing>
            </w:r>
          </w:p>
        </w:tc>
      </w:tr>
      <w:tr w14:paraId="4EF3D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1" w:type="dxa"/>
            <w:tcBorders>
              <w:top w:val="dotted" w:color="auto" w:sz="4" w:space="0"/>
              <w:left w:val="dotted" w:color="auto" w:sz="4" w:space="0"/>
              <w:bottom w:val="dotted" w:color="auto" w:sz="4" w:space="0"/>
              <w:right w:val="dotted" w:color="auto" w:sz="4" w:space="0"/>
            </w:tcBorders>
          </w:tcPr>
          <w:p w14:paraId="6F2BB37B">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20060" cy="2309495"/>
                  <wp:effectExtent l="0" t="0" r="8890" b="14605"/>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28"/>
                          <a:stretch>
                            <a:fillRect/>
                          </a:stretch>
                        </pic:blipFill>
                        <pic:spPr>
                          <a:xfrm>
                            <a:off x="0" y="0"/>
                            <a:ext cx="3020060" cy="2309495"/>
                          </a:xfrm>
                          <a:prstGeom prst="rect">
                            <a:avLst/>
                          </a:prstGeom>
                        </pic:spPr>
                      </pic:pic>
                    </a:graphicData>
                  </a:graphic>
                </wp:inline>
              </w:drawing>
            </w:r>
          </w:p>
        </w:tc>
        <w:tc>
          <w:tcPr>
            <w:tcW w:w="4981" w:type="dxa"/>
            <w:tcBorders>
              <w:top w:val="dotted" w:color="auto" w:sz="4" w:space="0"/>
              <w:left w:val="dotted" w:color="auto" w:sz="4" w:space="0"/>
              <w:bottom w:val="dotted" w:color="auto" w:sz="4" w:space="0"/>
              <w:right w:val="dotted" w:color="auto" w:sz="4" w:space="0"/>
            </w:tcBorders>
          </w:tcPr>
          <w:p w14:paraId="11B2DD30">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17520" cy="2326640"/>
                  <wp:effectExtent l="0" t="0" r="11430" b="1651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29"/>
                          <a:stretch>
                            <a:fillRect/>
                          </a:stretch>
                        </pic:blipFill>
                        <pic:spPr>
                          <a:xfrm>
                            <a:off x="0" y="0"/>
                            <a:ext cx="3017520" cy="2326640"/>
                          </a:xfrm>
                          <a:prstGeom prst="rect">
                            <a:avLst/>
                          </a:prstGeom>
                        </pic:spPr>
                      </pic:pic>
                    </a:graphicData>
                  </a:graphic>
                </wp:inline>
              </w:drawing>
            </w:r>
          </w:p>
        </w:tc>
      </w:tr>
      <w:tr w14:paraId="5BC54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gridSpan w:val="2"/>
            <w:tcBorders>
              <w:top w:val="dotted" w:color="auto" w:sz="4" w:space="0"/>
              <w:left w:val="nil"/>
              <w:bottom w:val="nil"/>
              <w:right w:val="nil"/>
            </w:tcBorders>
          </w:tcPr>
          <w:p w14:paraId="1C2329A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default" w:ascii="Times New Roman" w:hAnsi="Times New Roman" w:eastAsia="宋体" w:cs="Times New Roman"/>
                <w:b/>
                <w:color w:val="auto"/>
                <w:sz w:val="24"/>
                <w:highlight w:val="none"/>
                <w:vertAlign w:val="baseline"/>
                <w:lang w:val="en-US" w:eastAsia="zh-CN"/>
              </w:rPr>
            </w:pPr>
            <w:r>
              <w:rPr>
                <w:rFonts w:hint="eastAsia" w:cs="Times New Roman"/>
                <w:b/>
                <w:color w:val="auto"/>
                <w:sz w:val="24"/>
                <w:highlight w:val="none"/>
                <w:vertAlign w:val="baseline"/>
                <w:lang w:val="en-US" w:eastAsia="zh-CN"/>
              </w:rPr>
              <w:t>图3-4 厂区地面硬化破损及墙面破损情况示意图</w:t>
            </w:r>
          </w:p>
        </w:tc>
      </w:tr>
    </w:tbl>
    <w:p w14:paraId="25D3523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ascii="Times New Roman" w:hAnsi="Times New Roman" w:cs="Times New Roman"/>
          <w:b/>
          <w:color w:val="auto"/>
          <w:sz w:val="24"/>
          <w:highlight w:val="none"/>
        </w:rPr>
      </w:pPr>
      <w:r>
        <w:rPr>
          <w:rFonts w:ascii="Times New Roman" w:hAnsi="Times New Roman" w:cs="Times New Roman"/>
          <w:b/>
          <w:color w:val="auto"/>
          <w:sz w:val="24"/>
          <w:highlight w:val="none"/>
        </w:rPr>
        <w:t>表3</w:t>
      </w:r>
      <w:r>
        <w:rPr>
          <w:rFonts w:hint="eastAsia" w:ascii="Times New Roman" w:hAnsi="Times New Roman" w:cs="Times New Roman"/>
          <w:b/>
          <w:color w:val="auto"/>
          <w:sz w:val="24"/>
          <w:highlight w:val="none"/>
          <w:lang w:val="en-US" w:eastAsia="zh-CN"/>
        </w:rPr>
        <w:t>-1</w:t>
      </w:r>
      <w:r>
        <w:rPr>
          <w:rFonts w:hint="eastAsia" w:cs="Times New Roman"/>
          <w:b/>
          <w:color w:val="auto"/>
          <w:sz w:val="24"/>
          <w:highlight w:val="none"/>
          <w:lang w:val="en-US" w:eastAsia="zh-CN"/>
        </w:rPr>
        <w:t>4</w:t>
      </w:r>
      <w:r>
        <w:rPr>
          <w:rFonts w:hint="eastAsia" w:ascii="Times New Roman" w:hAnsi="Times New Roman" w:cs="Times New Roman"/>
          <w:b/>
          <w:color w:val="auto"/>
          <w:sz w:val="24"/>
          <w:highlight w:val="none"/>
          <w:lang w:val="en-US" w:eastAsia="zh-CN"/>
        </w:rPr>
        <w:t xml:space="preserve"> </w:t>
      </w:r>
      <w:r>
        <w:rPr>
          <w:rFonts w:ascii="Times New Roman" w:hAnsi="Times New Roman" w:cs="Times New Roman"/>
          <w:b/>
          <w:color w:val="auto"/>
          <w:sz w:val="24"/>
          <w:highlight w:val="none"/>
        </w:rPr>
        <w:t>现有工程存在问题和整改措施表</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6"/>
        <w:gridCol w:w="3904"/>
        <w:gridCol w:w="5182"/>
      </w:tblGrid>
      <w:tr w14:paraId="2CD054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2D16586A">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序号</w:t>
            </w:r>
          </w:p>
        </w:tc>
        <w:tc>
          <w:tcPr>
            <w:tcW w:w="3904" w:type="dxa"/>
            <w:tcBorders>
              <w:tl2br w:val="nil"/>
              <w:tr2bl w:val="nil"/>
            </w:tcBorders>
            <w:vAlign w:val="center"/>
          </w:tcPr>
          <w:p w14:paraId="00A97780">
            <w:pPr>
              <w:pStyle w:val="6"/>
              <w:spacing w:line="320" w:lineRule="exact"/>
              <w:ind w:firstLine="480"/>
              <w:jc w:val="center"/>
              <w:rPr>
                <w:rFonts w:ascii="Times New Roman" w:hAnsi="Times New Roman" w:cs="Times New Roman"/>
                <w:b/>
                <w:bCs/>
                <w:color w:val="auto"/>
                <w:szCs w:val="21"/>
              </w:rPr>
            </w:pPr>
            <w:r>
              <w:rPr>
                <w:rFonts w:ascii="Times New Roman" w:hAnsi="Times New Roman" w:cs="Times New Roman"/>
                <w:b/>
                <w:bCs/>
                <w:color w:val="auto"/>
                <w:szCs w:val="21"/>
              </w:rPr>
              <w:t>现有工程存在问题</w:t>
            </w:r>
          </w:p>
        </w:tc>
        <w:tc>
          <w:tcPr>
            <w:tcW w:w="5182" w:type="dxa"/>
            <w:tcBorders>
              <w:tl2br w:val="nil"/>
              <w:tr2bl w:val="nil"/>
            </w:tcBorders>
            <w:vAlign w:val="center"/>
          </w:tcPr>
          <w:p w14:paraId="735FDE2D">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整改措施</w:t>
            </w:r>
          </w:p>
        </w:tc>
      </w:tr>
      <w:tr w14:paraId="0E0466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1CC8EA81">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1</w:t>
            </w:r>
          </w:p>
        </w:tc>
        <w:tc>
          <w:tcPr>
            <w:tcW w:w="3904" w:type="dxa"/>
            <w:tcBorders>
              <w:tl2br w:val="nil"/>
              <w:tr2bl w:val="nil"/>
            </w:tcBorders>
            <w:vAlign w:val="center"/>
          </w:tcPr>
          <w:p w14:paraId="5CAD8B47">
            <w:pPr>
              <w:spacing w:line="320" w:lineRule="exact"/>
              <w:ind w:left="105" w:hanging="105" w:hangingChars="50"/>
              <w:jc w:val="center"/>
              <w:rPr>
                <w:rFonts w:hint="eastAsia" w:eastAsiaTheme="minorEastAsia"/>
                <w:color w:val="auto"/>
                <w:szCs w:val="21"/>
                <w:lang w:eastAsia="zh-CN"/>
              </w:rPr>
            </w:pPr>
            <w:r>
              <w:rPr>
                <w:rFonts w:eastAsiaTheme="minorEastAsia"/>
                <w:color w:val="auto"/>
                <w:szCs w:val="21"/>
              </w:rPr>
              <w:t>企业生产车间地面硬化局部破</w:t>
            </w:r>
            <w:r>
              <w:rPr>
                <w:rFonts w:hint="eastAsia" w:eastAsiaTheme="minorEastAsia"/>
                <w:color w:val="auto"/>
                <w:szCs w:val="21"/>
                <w:lang w:val="en-US" w:eastAsia="zh-CN"/>
              </w:rPr>
              <w:t>损</w:t>
            </w:r>
          </w:p>
        </w:tc>
        <w:tc>
          <w:tcPr>
            <w:tcW w:w="5182" w:type="dxa"/>
            <w:tcBorders>
              <w:tl2br w:val="nil"/>
              <w:tr2bl w:val="nil"/>
            </w:tcBorders>
            <w:vAlign w:val="center"/>
          </w:tcPr>
          <w:p w14:paraId="105265F3">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对生产车间局部破裂地面重新硬化，建议表层铺设环氧地坪漆。</w:t>
            </w:r>
          </w:p>
        </w:tc>
      </w:tr>
      <w:tr w14:paraId="61E3E4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691BF964">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2</w:t>
            </w:r>
          </w:p>
        </w:tc>
        <w:tc>
          <w:tcPr>
            <w:tcW w:w="3904" w:type="dxa"/>
            <w:tcBorders>
              <w:tl2br w:val="nil"/>
              <w:tr2bl w:val="nil"/>
            </w:tcBorders>
            <w:vAlign w:val="center"/>
          </w:tcPr>
          <w:p w14:paraId="701805D8">
            <w:pPr>
              <w:spacing w:line="320" w:lineRule="exact"/>
              <w:ind w:firstLine="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废气在线监测设备及日常管理需加强完善</w:t>
            </w:r>
          </w:p>
        </w:tc>
        <w:tc>
          <w:tcPr>
            <w:tcW w:w="5182" w:type="dxa"/>
            <w:tcBorders>
              <w:tl2br w:val="nil"/>
              <w:tr2bl w:val="nil"/>
            </w:tcBorders>
            <w:vAlign w:val="center"/>
          </w:tcPr>
          <w:p w14:paraId="39556ACE">
            <w:pPr>
              <w:pStyle w:val="6"/>
              <w:spacing w:line="320" w:lineRule="exact"/>
              <w:ind w:firstLine="0"/>
              <w:jc w:val="center"/>
              <w:rPr>
                <w:rFonts w:hint="default" w:ascii="Times New Roman" w:hAnsi="Times New Roman" w:cs="Times New Roman" w:eastAsiaTheme="minorEastAsia"/>
                <w:color w:val="auto"/>
                <w:szCs w:val="21"/>
                <w:lang w:val="en-US" w:eastAsia="zh-CN"/>
              </w:rPr>
            </w:pPr>
            <w:r>
              <w:rPr>
                <w:rFonts w:hint="eastAsia" w:cs="Times New Roman"/>
                <w:b w:val="0"/>
                <w:bCs w:val="0"/>
                <w:color w:val="auto"/>
                <w:sz w:val="21"/>
                <w:szCs w:val="21"/>
                <w:vertAlign w:val="baseline"/>
                <w:lang w:val="en-US" w:eastAsia="zh-CN"/>
              </w:rPr>
              <w:t>建立健全有组织废气在线监测设备的日常监控、管理</w:t>
            </w:r>
          </w:p>
        </w:tc>
      </w:tr>
      <w:tr w14:paraId="4B08C5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6929DFB4">
            <w:pPr>
              <w:pStyle w:val="6"/>
              <w:spacing w:line="320" w:lineRule="exact"/>
              <w:ind w:firstLine="0"/>
              <w:jc w:val="center"/>
              <w:rPr>
                <w:rFonts w:hint="eastAsia" w:ascii="Times New Roman" w:hAnsi="Times New Roman" w:cs="Times New Roman" w:eastAsiaTheme="minorEastAsia"/>
                <w:color w:val="0000FF"/>
                <w:szCs w:val="21"/>
                <w:lang w:val="en-US" w:eastAsia="zh-CN"/>
              </w:rPr>
            </w:pPr>
            <w:r>
              <w:rPr>
                <w:rFonts w:hint="eastAsia" w:ascii="Times New Roman" w:hAnsi="Times New Roman" w:cs="Times New Roman"/>
                <w:color w:val="0000FF"/>
                <w:szCs w:val="21"/>
                <w:lang w:val="en-US" w:eastAsia="zh-CN"/>
              </w:rPr>
              <w:t>3</w:t>
            </w:r>
          </w:p>
        </w:tc>
        <w:tc>
          <w:tcPr>
            <w:tcW w:w="3904" w:type="dxa"/>
            <w:tcBorders>
              <w:tl2br w:val="nil"/>
              <w:tr2bl w:val="nil"/>
            </w:tcBorders>
            <w:vAlign w:val="center"/>
          </w:tcPr>
          <w:p w14:paraId="6A4D8D50">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厂区未建立土壤及地下水环境例行监测制度，未按要求开展土壤及地下水环境质量监测，未设置地下水监测井，无法及时掌握土壤及地下水环境质量状况</w:t>
            </w:r>
          </w:p>
        </w:tc>
        <w:tc>
          <w:tcPr>
            <w:tcW w:w="5182" w:type="dxa"/>
            <w:tcBorders>
              <w:tl2br w:val="nil"/>
              <w:tr2bl w:val="nil"/>
            </w:tcBorders>
            <w:vAlign w:val="center"/>
          </w:tcPr>
          <w:p w14:paraId="0A34111C">
            <w:pPr>
              <w:pStyle w:val="6"/>
              <w:spacing w:line="320" w:lineRule="exact"/>
              <w:ind w:firstLine="0"/>
              <w:jc w:val="center"/>
              <w:rPr>
                <w:rFonts w:hint="default"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结合厂区水文地质条件，设置地下水监测井</w:t>
            </w:r>
            <w:r>
              <w:rPr>
                <w:rFonts w:hint="eastAsia" w:ascii="Times New Roman" w:hAnsi="Times New Roman" w:cs="Times New Roman"/>
                <w:b w:val="0"/>
                <w:bCs w:val="0"/>
                <w:color w:val="0000FF"/>
                <w:sz w:val="21"/>
                <w:szCs w:val="21"/>
                <w:vertAlign w:val="baseline"/>
                <w:lang w:val="en-US" w:eastAsia="zh-CN"/>
              </w:rPr>
              <w:t>，并</w:t>
            </w:r>
            <w:r>
              <w:rPr>
                <w:rFonts w:hint="default" w:ascii="Times New Roman" w:hAnsi="Times New Roman" w:cs="Times New Roman"/>
                <w:b w:val="0"/>
                <w:bCs w:val="0"/>
                <w:color w:val="0000FF"/>
                <w:sz w:val="21"/>
                <w:szCs w:val="21"/>
                <w:vertAlign w:val="baseline"/>
                <w:lang w:val="en-US" w:eastAsia="zh-CN"/>
              </w:rPr>
              <w:t>按照《排污单位自行监测技术指南有色金属工业一再生金属》（HJ1208-2021）</w:t>
            </w:r>
            <w:r>
              <w:rPr>
                <w:rFonts w:hint="eastAsia" w:ascii="Times New Roman" w:hAnsi="Times New Roman" w:cs="Times New Roman"/>
                <w:b w:val="0"/>
                <w:bCs w:val="0"/>
                <w:color w:val="0000FF"/>
                <w:sz w:val="21"/>
                <w:szCs w:val="21"/>
                <w:vertAlign w:val="baseline"/>
                <w:lang w:val="en-US" w:eastAsia="zh-CN"/>
              </w:rPr>
              <w:t>相关要求定期开展</w:t>
            </w:r>
            <w:r>
              <w:rPr>
                <w:rFonts w:hint="default" w:ascii="Times New Roman" w:hAnsi="Times New Roman" w:eastAsia="宋体" w:cs="Times New Roman"/>
                <w:color w:val="0000FF"/>
                <w:szCs w:val="21"/>
                <w:lang w:val="en-US" w:eastAsia="zh-CN"/>
              </w:rPr>
              <w:t>土壤及地下水环境例行监测</w:t>
            </w:r>
          </w:p>
        </w:tc>
      </w:tr>
      <w:tr w14:paraId="56743C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1D23AB78">
            <w:pPr>
              <w:pStyle w:val="6"/>
              <w:spacing w:line="320" w:lineRule="exact"/>
              <w:ind w:firstLine="0"/>
              <w:jc w:val="center"/>
              <w:rPr>
                <w:rFonts w:hint="default" w:ascii="Times New Roman" w:hAnsi="Times New Roman" w:cs="Times New Roman"/>
                <w:color w:val="0000FF"/>
                <w:szCs w:val="21"/>
                <w:lang w:val="en-US" w:eastAsia="zh-CN"/>
              </w:rPr>
            </w:pPr>
            <w:r>
              <w:rPr>
                <w:rFonts w:hint="eastAsia" w:ascii="Times New Roman" w:hAnsi="Times New Roman" w:cs="Times New Roman"/>
                <w:color w:val="0000FF"/>
                <w:szCs w:val="21"/>
                <w:lang w:val="en-US" w:eastAsia="zh-CN"/>
              </w:rPr>
              <w:t>4</w:t>
            </w:r>
          </w:p>
        </w:tc>
        <w:tc>
          <w:tcPr>
            <w:tcW w:w="3904" w:type="dxa"/>
            <w:tcBorders>
              <w:tl2br w:val="nil"/>
              <w:tr2bl w:val="nil"/>
            </w:tcBorders>
            <w:vAlign w:val="center"/>
          </w:tcPr>
          <w:p w14:paraId="64841C06">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厂区未按《企业事业单位突发环境事件应急预案备案管理办法》《突发环境事件应急管理办法》等相关规定编制企业突发环境事件应急预案</w:t>
            </w:r>
          </w:p>
        </w:tc>
        <w:tc>
          <w:tcPr>
            <w:tcW w:w="5182" w:type="dxa"/>
            <w:tcBorders>
              <w:tl2br w:val="nil"/>
              <w:tr2bl w:val="nil"/>
            </w:tcBorders>
            <w:vAlign w:val="center"/>
          </w:tcPr>
          <w:p w14:paraId="6007BD6F">
            <w:pPr>
              <w:pStyle w:val="6"/>
              <w:spacing w:line="320" w:lineRule="exact"/>
              <w:ind w:firstLine="0"/>
              <w:jc w:val="center"/>
              <w:rPr>
                <w:rFonts w:hint="default" w:ascii="Times New Roman" w:hAnsi="Times New Roman"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限期开展突发环境事件风险评估，编制符合厂区实际的突发环境事件应急预案并完成备案；定期组织应急培训与演练，配备必要应急物资与器材，完善环境应急防控体系</w:t>
            </w:r>
          </w:p>
        </w:tc>
      </w:tr>
    </w:tbl>
    <w:p w14:paraId="2D4F0D6F">
      <w:pPr>
        <w:keepNext w:val="0"/>
        <w:keepLines w:val="0"/>
        <w:pageBreakBefore w:val="0"/>
        <w:widowControl w:val="0"/>
        <w:kinsoku/>
        <w:wordWrap/>
        <w:overflowPunct/>
        <w:topLinePunct w:val="0"/>
        <w:autoSpaceDE/>
        <w:autoSpaceDN/>
        <w:bidi w:val="0"/>
        <w:adjustRightInd/>
        <w:snapToGrid/>
        <w:textAlignment w:val="auto"/>
        <w:outlineLvl w:val="9"/>
        <w:rPr>
          <w:rFonts w:hint="eastAsia"/>
          <w:color w:val="auto"/>
          <w:lang w:val="en-US" w:eastAsia="zh-CN"/>
        </w:rPr>
      </w:pPr>
    </w:p>
    <w:p w14:paraId="0CD78BAA">
      <w:pPr>
        <w:keepNext w:val="0"/>
        <w:keepLines w:val="0"/>
        <w:pageBreakBefore w:val="0"/>
        <w:widowControl w:val="0"/>
        <w:kinsoku/>
        <w:wordWrap/>
        <w:overflowPunct/>
        <w:topLinePunct w:val="0"/>
        <w:autoSpaceDE/>
        <w:autoSpaceDN/>
        <w:bidi w:val="0"/>
        <w:adjustRightInd/>
        <w:snapToGrid/>
        <w:textAlignment w:val="auto"/>
        <w:outlineLvl w:val="9"/>
        <w:rPr>
          <w:rFonts w:hint="eastAsia"/>
          <w:b/>
          <w:bCs/>
          <w:color w:val="auto"/>
          <w:sz w:val="28"/>
          <w:szCs w:val="36"/>
          <w:lang w:val="en-US" w:eastAsia="zh-CN"/>
        </w:rPr>
      </w:pPr>
      <w:r>
        <w:rPr>
          <w:rFonts w:hint="eastAsia"/>
          <w:b/>
          <w:bCs/>
          <w:color w:val="auto"/>
          <w:sz w:val="28"/>
          <w:szCs w:val="36"/>
          <w:lang w:val="en-US" w:eastAsia="zh-CN"/>
        </w:rPr>
        <w:t>3.6 生产设备变化对项目产能的影响分析</w:t>
      </w:r>
    </w:p>
    <w:p w14:paraId="15F10791">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b/>
          <w:bCs/>
          <w:color w:val="auto"/>
          <w:sz w:val="24"/>
          <w:szCs w:val="32"/>
          <w:lang w:val="en-US" w:eastAsia="zh-CN"/>
        </w:rPr>
      </w:pPr>
      <w:r>
        <w:rPr>
          <w:rFonts w:hint="eastAsia"/>
          <w:b/>
          <w:bCs/>
          <w:color w:val="auto"/>
          <w:sz w:val="24"/>
          <w:szCs w:val="32"/>
          <w:lang w:val="en-US" w:eastAsia="zh-CN"/>
        </w:rPr>
        <w:t>3.6.1 设备调整前后产能对比</w:t>
      </w:r>
    </w:p>
    <w:p w14:paraId="3B02E0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auto"/>
          <w:sz w:val="24"/>
          <w:szCs w:val="32"/>
          <w:lang w:val="en-US" w:eastAsia="zh-CN"/>
        </w:rPr>
      </w:pPr>
      <w:r>
        <w:rPr>
          <w:rFonts w:hint="default"/>
          <w:b w:val="0"/>
          <w:bCs w:val="0"/>
          <w:color w:val="auto"/>
          <w:sz w:val="24"/>
          <w:szCs w:val="32"/>
          <w:lang w:val="en-US" w:eastAsia="zh-CN"/>
        </w:rPr>
        <w:t>本次设备调整属于企业内部生产设备的优化整合与升级替换，未新增任何生产单元、未扩大生产场地、未增加生产人员配置，产能始终严格维持在年产5.05万吨再生铝的原有水平，未突破任何产能上限。设备调整的核心目的是淘汰小型、低效、运维成本较高的设备，整合生产功能，提升设备运行效率和稳定性，具体设备变化明细及相关说明如下</w:t>
      </w:r>
      <w:r>
        <w:rPr>
          <w:rFonts w:hint="eastAsia"/>
          <w:b w:val="0"/>
          <w:bCs w:val="0"/>
          <w:color w:val="auto"/>
          <w:sz w:val="24"/>
          <w:szCs w:val="32"/>
          <w:lang w:val="en-US" w:eastAsia="zh-CN"/>
        </w:rPr>
        <w:t>：</w:t>
      </w:r>
    </w:p>
    <w:p w14:paraId="250D7162">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auto"/>
          <w:sz w:val="24"/>
          <w:szCs w:val="32"/>
          <w:lang w:val="en-US" w:eastAsia="zh-CN"/>
        </w:rPr>
      </w:pPr>
      <w:r>
        <w:rPr>
          <w:rFonts w:hint="eastAsia"/>
          <w:b/>
          <w:bCs/>
          <w:color w:val="auto"/>
          <w:sz w:val="24"/>
          <w:szCs w:val="32"/>
          <w:lang w:val="en-US" w:eastAsia="zh-CN"/>
        </w:rPr>
        <w:t>3.6.1.1 调整前主要生产设备产能</w:t>
      </w:r>
    </w:p>
    <w:p w14:paraId="6C2EA0A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1）熔炼设备：1台40t熔炼炉（主要承担大批量废铝熔炼任务，日处理废铝量约80~90吨）、1台30t熔炼炉（辅助熔炼，日处理废铝量约50-60吨）、1台10t熔炼精炼两用炉（主要用于小批量废铝熔炼及应急精炼，日处理废铝量约15~20吨），三台熔炼设备合计日最大处理废铝量约170吨，可满足年产5.05万吨的产能需求；</w:t>
      </w:r>
    </w:p>
    <w:p w14:paraId="3907A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2）精炼设备：1台30t精炼炉（主要承担大批量铝液精炼任务，日精炼铝液量约80-90吨）、1台20t精炼炉（辅助精炼，日精炼铝液量约70-80吨），两台精炼设备合计日最大精炼铝液量约170吨，与熔炼设备处理能力相匹配；</w:t>
      </w:r>
    </w:p>
    <w:p w14:paraId="0CF813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（3）铸锭设备：2条260模铸锭叠锭生产线，可实现铝液快速铸锭，保障生产连续性；</w:t>
      </w:r>
    </w:p>
    <w:p w14:paraId="0000A6CF">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auto"/>
          <w:sz w:val="24"/>
          <w:szCs w:val="32"/>
          <w:lang w:val="en-US" w:eastAsia="zh-CN"/>
        </w:rPr>
      </w:pPr>
      <w:r>
        <w:rPr>
          <w:rFonts w:hint="eastAsia"/>
          <w:b/>
          <w:bCs/>
          <w:color w:val="auto"/>
          <w:sz w:val="24"/>
          <w:szCs w:val="32"/>
          <w:lang w:val="en-US" w:eastAsia="zh-CN"/>
        </w:rPr>
        <w:t>3.6.1.2 调整后主要生产设备产能</w:t>
      </w:r>
    </w:p>
    <w:p w14:paraId="7BFE88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（1）熔炼设备：</w:t>
      </w:r>
      <w:r>
        <w:rPr>
          <w:rFonts w:hint="eastAsia"/>
          <w:color w:val="auto"/>
          <w:kern w:val="24"/>
          <w:sz w:val="24"/>
          <w:lang w:val="en-US" w:eastAsia="zh-CN"/>
        </w:rPr>
        <w:t>安徽瑞瑟科金属材料有限公司已对现有</w:t>
      </w:r>
      <w:r>
        <w:rPr>
          <w:rFonts w:hint="default" w:ascii="Times New Roman" w:hAnsi="Times New Roman" w:eastAsia="宋体" w:cs="Times New Roman"/>
          <w:color w:val="auto"/>
          <w:sz w:val="24"/>
          <w:szCs w:val="24"/>
        </w:rPr>
        <w:t>1台40吨熔炼炉</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1台30吨熔炼炉</w:t>
      </w:r>
      <w:r>
        <w:rPr>
          <w:rFonts w:hint="eastAsia" w:cs="Times New Roman"/>
          <w:color w:val="auto"/>
          <w:sz w:val="24"/>
          <w:szCs w:val="24"/>
          <w:lang w:eastAsia="zh-CN"/>
        </w:rPr>
        <w:t>、</w:t>
      </w:r>
      <w:r>
        <w:rPr>
          <w:rFonts w:hint="eastAsia" w:cs="Times New Roman"/>
          <w:color w:val="auto"/>
          <w:sz w:val="24"/>
          <w:szCs w:val="24"/>
          <w:lang w:val="en-US" w:eastAsia="zh-CN"/>
        </w:rPr>
        <w:t>完成升级更新，升级更新后的熔炼炉生产效率为6~7h/炉（</w:t>
      </w:r>
      <w:r>
        <w:rPr>
          <w:rFonts w:hint="default" w:ascii="Times New Roman" w:hAnsi="Times New Roman" w:eastAsia="宋体" w:cs="Times New Roman"/>
          <w:color w:val="auto"/>
          <w:sz w:val="24"/>
          <w:szCs w:val="24"/>
        </w:rPr>
        <w:t>40吨熔炼炉</w:t>
      </w:r>
      <w:r>
        <w:rPr>
          <w:rFonts w:hint="eastAsia" w:cs="Times New Roman"/>
          <w:color w:val="auto"/>
          <w:sz w:val="24"/>
          <w:szCs w:val="24"/>
          <w:lang w:val="en-US" w:eastAsia="zh-CN"/>
        </w:rPr>
        <w:t>熔炼量为32</w:t>
      </w:r>
      <w:r>
        <w:rPr>
          <w:rFonts w:hint="default" w:ascii="Times New Roman" w:hAnsi="Times New Roman" w:eastAsia="宋体" w:cs="Times New Roman"/>
          <w:color w:val="auto"/>
          <w:sz w:val="24"/>
          <w:szCs w:val="24"/>
        </w:rPr>
        <w:t>吨</w:t>
      </w:r>
      <w:r>
        <w:rPr>
          <w:rFonts w:hint="eastAsia" w:cs="Times New Roman"/>
          <w:color w:val="auto"/>
          <w:sz w:val="24"/>
          <w:szCs w:val="24"/>
          <w:lang w:val="en-US" w:eastAsia="zh-CN"/>
        </w:rPr>
        <w:t>/炉（装填量为80%），</w:t>
      </w:r>
      <w:r>
        <w:rPr>
          <w:rFonts w:hint="default" w:ascii="Times New Roman" w:hAnsi="Times New Roman" w:eastAsia="宋体" w:cs="Times New Roman"/>
          <w:color w:val="auto"/>
          <w:sz w:val="24"/>
          <w:szCs w:val="24"/>
        </w:rPr>
        <w:t>30吨熔炼炉</w:t>
      </w:r>
      <w:r>
        <w:rPr>
          <w:rFonts w:hint="eastAsia" w:cs="Times New Roman"/>
          <w:color w:val="auto"/>
          <w:sz w:val="24"/>
          <w:szCs w:val="24"/>
          <w:lang w:val="en-US" w:eastAsia="zh-CN"/>
        </w:rPr>
        <w:t>熔炼量为24</w:t>
      </w:r>
      <w:r>
        <w:rPr>
          <w:rFonts w:hint="default" w:ascii="Times New Roman" w:hAnsi="Times New Roman" w:eastAsia="宋体" w:cs="Times New Roman"/>
          <w:color w:val="auto"/>
          <w:sz w:val="24"/>
          <w:szCs w:val="24"/>
        </w:rPr>
        <w:t>吨</w:t>
      </w:r>
      <w:r>
        <w:rPr>
          <w:rFonts w:hint="eastAsia" w:cs="Times New Roman"/>
          <w:color w:val="auto"/>
          <w:sz w:val="24"/>
          <w:szCs w:val="24"/>
          <w:lang w:val="en-US" w:eastAsia="zh-CN"/>
        </w:rPr>
        <w:t>/炉（装填量为80%）），每天运行3炉，</w:t>
      </w:r>
      <w:r>
        <w:rPr>
          <w:rFonts w:hint="eastAsia"/>
          <w:b w:val="0"/>
          <w:bCs w:val="0"/>
          <w:color w:val="auto"/>
          <w:sz w:val="24"/>
          <w:szCs w:val="32"/>
          <w:lang w:val="en-US" w:eastAsia="zh-CN"/>
        </w:rPr>
        <w:t>日最大熔炼铝液量约168吨，可满足年产5.05万吨的产能需求。</w:t>
      </w:r>
    </w:p>
    <w:p w14:paraId="4DA883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auto"/>
          <w:sz w:val="24"/>
          <w:szCs w:val="32"/>
          <w:lang w:val="en-US" w:eastAsia="zh-CN"/>
        </w:rPr>
      </w:pPr>
      <w:r>
        <w:rPr>
          <w:rFonts w:hint="eastAsia"/>
          <w:b w:val="0"/>
          <w:bCs w:val="0"/>
          <w:color w:val="auto"/>
          <w:sz w:val="24"/>
          <w:szCs w:val="32"/>
          <w:lang w:val="en-US" w:eastAsia="zh-CN"/>
        </w:rPr>
        <w:t>（2）精炼设备：</w:t>
      </w:r>
      <w:r>
        <w:rPr>
          <w:rFonts w:hint="eastAsia" w:cs="Times New Roman"/>
          <w:color w:val="auto"/>
          <w:sz w:val="24"/>
          <w:szCs w:val="24"/>
          <w:lang w:val="en-US" w:eastAsia="zh-CN"/>
        </w:rPr>
        <w:t>升级更新后1台30吨精炼炉生产效率为4h/炉（30吨精炼炉精炼量为30吨/炉），每天运行6炉，</w:t>
      </w:r>
      <w:r>
        <w:rPr>
          <w:rFonts w:hint="eastAsia"/>
          <w:b w:val="0"/>
          <w:bCs w:val="0"/>
          <w:color w:val="auto"/>
          <w:sz w:val="24"/>
          <w:szCs w:val="32"/>
          <w:lang w:val="en-US" w:eastAsia="zh-CN"/>
        </w:rPr>
        <w:t>日最大精炼铝液量约180吨，可满足年产5.05万吨的产能需求</w:t>
      </w:r>
    </w:p>
    <w:p w14:paraId="0D6080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（3）铸锭设备：为</w:t>
      </w:r>
      <w:r>
        <w:rPr>
          <w:rFonts w:ascii="宋体" w:hAnsi="宋体" w:eastAsia="宋体" w:cs="宋体"/>
          <w:color w:val="auto"/>
          <w:sz w:val="24"/>
          <w:szCs w:val="24"/>
        </w:rPr>
        <w:t>满足</w:t>
      </w:r>
      <w:r>
        <w:rPr>
          <w:rFonts w:hint="eastAsia" w:ascii="宋体" w:hAnsi="宋体" w:cs="宋体"/>
          <w:color w:val="auto"/>
          <w:sz w:val="24"/>
          <w:szCs w:val="24"/>
          <w:lang w:val="en-US" w:eastAsia="zh-CN"/>
        </w:rPr>
        <w:t>市场</w:t>
      </w:r>
      <w:r>
        <w:rPr>
          <w:rFonts w:ascii="宋体" w:hAnsi="宋体" w:eastAsia="宋体" w:cs="宋体"/>
          <w:color w:val="auto"/>
          <w:sz w:val="24"/>
          <w:szCs w:val="24"/>
        </w:rPr>
        <w:t>高端化、</w:t>
      </w:r>
      <w:r>
        <w:rPr>
          <w:rFonts w:hint="eastAsia" w:ascii="宋体" w:hAnsi="宋体" w:cs="宋体"/>
          <w:color w:val="auto"/>
          <w:sz w:val="24"/>
          <w:szCs w:val="24"/>
          <w:lang w:eastAsia="zh-CN"/>
        </w:rPr>
        <w:t>高效</w:t>
      </w:r>
      <w:r>
        <w:rPr>
          <w:rFonts w:ascii="宋体" w:hAnsi="宋体" w:eastAsia="宋体" w:cs="宋体"/>
          <w:color w:val="auto"/>
          <w:sz w:val="24"/>
          <w:szCs w:val="24"/>
        </w:rPr>
        <w:t>铸锭</w:t>
      </w:r>
      <w:r>
        <w:rPr>
          <w:rFonts w:hint="eastAsia" w:ascii="宋体" w:hAnsi="宋体" w:eastAsia="宋体" w:cs="宋体"/>
          <w:color w:val="auto"/>
          <w:sz w:val="24"/>
          <w:szCs w:val="24"/>
          <w:lang w:val="en-US" w:eastAsia="zh-CN"/>
        </w:rPr>
        <w:t>的生产</w:t>
      </w:r>
      <w:r>
        <w:rPr>
          <w:rFonts w:ascii="宋体" w:hAnsi="宋体" w:eastAsia="宋体" w:cs="宋体"/>
          <w:color w:val="auto"/>
          <w:sz w:val="24"/>
          <w:szCs w:val="24"/>
        </w:rPr>
        <w:t>需求</w:t>
      </w:r>
      <w:r>
        <w:rPr>
          <w:rFonts w:hint="eastAsia" w:ascii="宋体" w:hAnsi="宋体" w:cs="宋体"/>
          <w:color w:val="auto"/>
          <w:sz w:val="24"/>
          <w:szCs w:val="24"/>
          <w:lang w:eastAsia="zh-CN"/>
        </w:rPr>
        <w:t>，</w:t>
      </w:r>
      <w:r>
        <w:rPr>
          <w:rFonts w:hint="eastAsia"/>
          <w:b w:val="0"/>
          <w:bCs w:val="0"/>
          <w:color w:val="auto"/>
          <w:sz w:val="24"/>
          <w:szCs w:val="32"/>
          <w:lang w:val="en-US" w:eastAsia="zh-CN"/>
        </w:rPr>
        <w:t>将原有2条260模铸锭叠锭生产线，替换为2条500模铸锭叠锭生产线，根据前端熔炼炉日最大熔炼量为168吨，项目产能可严格控制在年产5.05万吨的产能上限内。</w:t>
      </w:r>
    </w:p>
    <w:p w14:paraId="53355A9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9"/>
        <w:rPr>
          <w:rFonts w:hint="default"/>
          <w:b w:val="0"/>
          <w:bCs w:val="0"/>
          <w:color w:val="0000FF"/>
          <w:sz w:val="24"/>
          <w:szCs w:val="32"/>
          <w:lang w:val="en-US" w:eastAsia="zh-CN"/>
        </w:rPr>
      </w:pPr>
      <w:r>
        <w:rPr>
          <w:rFonts w:hint="eastAsia"/>
          <w:b/>
          <w:bCs/>
          <w:color w:val="0000FF"/>
          <w:sz w:val="24"/>
          <w:szCs w:val="32"/>
          <w:lang w:val="en-US" w:eastAsia="zh-CN"/>
        </w:rPr>
        <w:t>表3-15 设备调整前后项目产能一览表</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91"/>
        <w:gridCol w:w="2369"/>
        <w:gridCol w:w="2369"/>
        <w:gridCol w:w="2370"/>
        <w:gridCol w:w="1363"/>
      </w:tblGrid>
      <w:tr w14:paraId="729C8B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91" w:type="dxa"/>
            <w:tcBorders>
              <w:tl2br w:val="nil"/>
              <w:tr2bl w:val="nil"/>
            </w:tcBorders>
            <w:vAlign w:val="center"/>
          </w:tcPr>
          <w:p w14:paraId="4076BDF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产品名称</w:t>
            </w:r>
          </w:p>
        </w:tc>
        <w:tc>
          <w:tcPr>
            <w:tcW w:w="2369" w:type="dxa"/>
            <w:tcBorders>
              <w:tl2br w:val="nil"/>
              <w:tr2bl w:val="nil"/>
            </w:tcBorders>
            <w:vAlign w:val="center"/>
          </w:tcPr>
          <w:p w14:paraId="0C8E114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生产设备调整前产能（t/a）</w:t>
            </w:r>
          </w:p>
        </w:tc>
        <w:tc>
          <w:tcPr>
            <w:tcW w:w="2369" w:type="dxa"/>
            <w:tcBorders>
              <w:tl2br w:val="nil"/>
              <w:tr2bl w:val="nil"/>
            </w:tcBorders>
            <w:vAlign w:val="center"/>
          </w:tcPr>
          <w:p w14:paraId="73267D3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生产设备调整后产能（t/a）</w:t>
            </w:r>
          </w:p>
        </w:tc>
        <w:tc>
          <w:tcPr>
            <w:tcW w:w="2370" w:type="dxa"/>
            <w:tcBorders>
              <w:tl2br w:val="nil"/>
              <w:tr2bl w:val="nil"/>
            </w:tcBorders>
            <w:vAlign w:val="center"/>
          </w:tcPr>
          <w:p w14:paraId="1D6F37F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b/>
                <w:bCs/>
                <w:color w:val="0000FF"/>
                <w:sz w:val="21"/>
                <w:szCs w:val="24"/>
                <w:vertAlign w:val="baseline"/>
                <w:lang w:val="en-US" w:eastAsia="zh-CN"/>
              </w:rPr>
            </w:pPr>
            <w:r>
              <w:rPr>
                <w:rFonts w:hint="eastAsia"/>
                <w:b/>
                <w:bCs/>
                <w:color w:val="0000FF"/>
                <w:sz w:val="21"/>
                <w:szCs w:val="24"/>
                <w:vertAlign w:val="baseline"/>
                <w:lang w:val="en-US" w:eastAsia="zh-CN"/>
              </w:rPr>
              <w:t>原环评批复</w:t>
            </w:r>
          </w:p>
          <w:p w14:paraId="004D005B">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（一期工程）产能（t/a）</w:t>
            </w:r>
          </w:p>
        </w:tc>
        <w:tc>
          <w:tcPr>
            <w:tcW w:w="1363" w:type="dxa"/>
            <w:tcBorders>
              <w:tl2br w:val="nil"/>
              <w:tr2bl w:val="nil"/>
            </w:tcBorders>
            <w:vAlign w:val="center"/>
          </w:tcPr>
          <w:p w14:paraId="370A27D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变化情况</w:t>
            </w:r>
          </w:p>
        </w:tc>
      </w:tr>
      <w:tr w14:paraId="61B9ED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91" w:type="dxa"/>
            <w:tcBorders>
              <w:tl2br w:val="nil"/>
              <w:tr2bl w:val="nil"/>
            </w:tcBorders>
            <w:vAlign w:val="center"/>
          </w:tcPr>
          <w:p w14:paraId="2E97366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val="0"/>
                <w:bCs w:val="0"/>
                <w:color w:val="0000FF"/>
                <w:sz w:val="21"/>
                <w:szCs w:val="24"/>
                <w:vertAlign w:val="baseline"/>
                <w:lang w:val="en-US" w:eastAsia="zh-CN"/>
              </w:rPr>
            </w:pPr>
            <w:r>
              <w:rPr>
                <w:rFonts w:hint="eastAsia"/>
                <w:color w:val="0000FF"/>
                <w:szCs w:val="21"/>
              </w:rPr>
              <w:t>铝硅系铸造铝合金锭</w:t>
            </w:r>
          </w:p>
        </w:tc>
        <w:tc>
          <w:tcPr>
            <w:tcW w:w="2369" w:type="dxa"/>
            <w:tcBorders>
              <w:tl2br w:val="nil"/>
              <w:tr2bl w:val="nil"/>
            </w:tcBorders>
            <w:vAlign w:val="center"/>
          </w:tcPr>
          <w:p w14:paraId="4DCFCE5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val="0"/>
                <w:bCs w:val="0"/>
                <w:color w:val="0000FF"/>
                <w:sz w:val="21"/>
                <w:szCs w:val="24"/>
                <w:vertAlign w:val="baseline"/>
                <w:lang w:val="en-US" w:eastAsia="zh-CN"/>
              </w:rPr>
            </w:pPr>
            <w:r>
              <w:rPr>
                <w:rFonts w:hint="eastAsia"/>
                <w:b w:val="0"/>
                <w:bCs w:val="0"/>
                <w:color w:val="0000FF"/>
                <w:sz w:val="21"/>
                <w:szCs w:val="24"/>
                <w:vertAlign w:val="baseline"/>
                <w:lang w:val="en-US" w:eastAsia="zh-CN"/>
              </w:rPr>
              <w:t>50500</w:t>
            </w:r>
          </w:p>
        </w:tc>
        <w:tc>
          <w:tcPr>
            <w:tcW w:w="2369" w:type="dxa"/>
            <w:tcBorders>
              <w:tl2br w:val="nil"/>
              <w:tr2bl w:val="nil"/>
            </w:tcBorders>
            <w:vAlign w:val="center"/>
          </w:tcPr>
          <w:p w14:paraId="45807ED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b w:val="0"/>
                <w:bCs w:val="0"/>
                <w:color w:val="0000FF"/>
                <w:sz w:val="21"/>
                <w:szCs w:val="24"/>
                <w:vertAlign w:val="baseline"/>
                <w:lang w:val="en-US" w:eastAsia="zh-CN"/>
              </w:rPr>
            </w:pPr>
            <w:r>
              <w:rPr>
                <w:rFonts w:hint="eastAsia"/>
                <w:b w:val="0"/>
                <w:bCs w:val="0"/>
                <w:color w:val="0000FF"/>
                <w:sz w:val="21"/>
                <w:szCs w:val="24"/>
                <w:vertAlign w:val="baseline"/>
                <w:lang w:val="en-US" w:eastAsia="zh-CN"/>
              </w:rPr>
              <w:t>50500</w:t>
            </w:r>
          </w:p>
        </w:tc>
        <w:tc>
          <w:tcPr>
            <w:tcW w:w="2370" w:type="dxa"/>
            <w:tcBorders>
              <w:tl2br w:val="nil"/>
              <w:tr2bl w:val="nil"/>
            </w:tcBorders>
            <w:vAlign w:val="center"/>
          </w:tcPr>
          <w:p w14:paraId="0FD9D5E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b w:val="0"/>
                <w:bCs w:val="0"/>
                <w:color w:val="0000FF"/>
                <w:sz w:val="21"/>
                <w:szCs w:val="24"/>
                <w:vertAlign w:val="baseline"/>
                <w:lang w:val="en-US" w:eastAsia="zh-CN"/>
              </w:rPr>
            </w:pPr>
            <w:r>
              <w:rPr>
                <w:rFonts w:hint="eastAsia"/>
                <w:b w:val="0"/>
                <w:bCs w:val="0"/>
                <w:color w:val="0000FF"/>
                <w:sz w:val="21"/>
                <w:szCs w:val="24"/>
                <w:vertAlign w:val="baseline"/>
                <w:lang w:val="en-US" w:eastAsia="zh-CN"/>
              </w:rPr>
              <w:t>50500</w:t>
            </w:r>
          </w:p>
        </w:tc>
        <w:tc>
          <w:tcPr>
            <w:tcW w:w="1363" w:type="dxa"/>
            <w:tcBorders>
              <w:tl2br w:val="nil"/>
              <w:tr2bl w:val="nil"/>
            </w:tcBorders>
            <w:vAlign w:val="center"/>
          </w:tcPr>
          <w:p w14:paraId="62A78D3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val="0"/>
                <w:bCs w:val="0"/>
                <w:color w:val="0000FF"/>
                <w:sz w:val="21"/>
                <w:szCs w:val="24"/>
                <w:vertAlign w:val="baseline"/>
                <w:lang w:val="en-US" w:eastAsia="zh-CN"/>
              </w:rPr>
            </w:pPr>
            <w:r>
              <w:rPr>
                <w:rFonts w:hint="eastAsia"/>
                <w:b w:val="0"/>
                <w:bCs w:val="0"/>
                <w:color w:val="0000FF"/>
                <w:sz w:val="21"/>
                <w:szCs w:val="24"/>
                <w:vertAlign w:val="baseline"/>
                <w:lang w:val="en-US" w:eastAsia="zh-CN"/>
              </w:rPr>
              <w:t>未变化</w:t>
            </w:r>
          </w:p>
        </w:tc>
      </w:tr>
    </w:tbl>
    <w:p w14:paraId="64F37D30">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b/>
          <w:bCs/>
          <w:color w:val="auto"/>
          <w:sz w:val="24"/>
          <w:szCs w:val="32"/>
          <w:highlight w:val="none"/>
          <w:lang w:val="en-US" w:eastAsia="zh-CN"/>
        </w:rPr>
      </w:pPr>
    </w:p>
    <w:p w14:paraId="532071C5">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b/>
          <w:bCs/>
          <w:color w:val="auto"/>
          <w:sz w:val="24"/>
          <w:szCs w:val="32"/>
          <w:highlight w:val="none"/>
          <w:lang w:val="en-US" w:eastAsia="zh-CN"/>
        </w:rPr>
      </w:pPr>
      <w:r>
        <w:rPr>
          <w:rFonts w:hint="eastAsia"/>
          <w:b/>
          <w:bCs/>
          <w:color w:val="auto"/>
          <w:sz w:val="24"/>
          <w:szCs w:val="32"/>
          <w:highlight w:val="none"/>
          <w:lang w:val="en-US" w:eastAsia="zh-CN"/>
        </w:rPr>
        <w:t>3.6.1.3 设备调整核心特点</w:t>
      </w:r>
    </w:p>
    <w:p w14:paraId="6D0210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none"/>
          <w:lang w:val="en-US" w:eastAsia="zh-CN"/>
        </w:rPr>
      </w:pPr>
      <w:r>
        <w:rPr>
          <w:rFonts w:hint="eastAsia"/>
          <w:b w:val="0"/>
          <w:bCs w:val="0"/>
          <w:color w:val="auto"/>
          <w:sz w:val="24"/>
          <w:szCs w:val="32"/>
          <w:highlight w:val="none"/>
          <w:lang w:val="en-US" w:eastAsia="zh-CN"/>
        </w:rPr>
        <w:t>（1）熔炼、精炼设备</w:t>
      </w:r>
    </w:p>
    <w:p w14:paraId="4CD8BE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yellow"/>
          <w:lang w:val="en-US" w:eastAsia="zh-CN"/>
        </w:rPr>
      </w:pPr>
      <w:r>
        <w:rPr>
          <w:rFonts w:hint="eastAsia"/>
          <w:b w:val="0"/>
          <w:bCs w:val="0"/>
          <w:color w:val="auto"/>
          <w:sz w:val="24"/>
          <w:szCs w:val="32"/>
          <w:highlight w:val="none"/>
          <w:lang w:val="en-US" w:eastAsia="zh-CN"/>
        </w:rPr>
        <w:t>熔炼、精炼设备总量由调整前的5台减少至调整后的3台（2台熔炼+1台精炼），核心变化是移除了小型、低效、功能重叠的设备，并对40t、30t熔炼炉及30t精炼炉原有核心生产设备进行升级更新，未进行任何扩容、改造，单台设备处理能力与原有水平一致，多台设备合计处理能力与调整前设备总和持平，未新增任何熔炼、精炼单元，也未改变熔炼、精炼的核心工艺参数。</w:t>
      </w:r>
    </w:p>
    <w:p w14:paraId="5C78E1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none"/>
          <w:lang w:val="en-US" w:eastAsia="zh-CN"/>
        </w:rPr>
      </w:pPr>
      <w:r>
        <w:rPr>
          <w:rFonts w:hint="eastAsia"/>
          <w:b w:val="0"/>
          <w:bCs w:val="0"/>
          <w:color w:val="auto"/>
          <w:sz w:val="24"/>
          <w:szCs w:val="32"/>
          <w:highlight w:val="none"/>
          <w:lang w:val="en-US" w:eastAsia="zh-CN"/>
        </w:rPr>
        <w:t>铸锭设备：仅对模铸规格进行优化替换，生产线数量始终保持2条，未新增任何铸锭设备或铸锭工序。替换后的500模铸锭生产线，主要优化了铸锭模具尺寸，提升了单次铸锭生产效率，可减少生产班次，降低设备能耗，但铸锭的核心工艺（铝液浇筑、冷却、叠锭）未发生任何变化，且严格控制铸锭总量，未超出原有5.05万吨/年的产能上限，不会因效率提升而增加污染物产生。</w:t>
      </w:r>
    </w:p>
    <w:p w14:paraId="31AEED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color w:val="auto"/>
          <w:kern w:val="24"/>
          <w:sz w:val="24"/>
          <w:highlight w:val="none"/>
          <w:lang w:val="en-US" w:eastAsia="zh-CN"/>
        </w:rPr>
      </w:pPr>
      <w:r>
        <w:rPr>
          <w:rFonts w:hint="eastAsia"/>
          <w:b w:val="0"/>
          <w:bCs w:val="0"/>
          <w:color w:val="auto"/>
          <w:sz w:val="24"/>
          <w:szCs w:val="32"/>
          <w:highlight w:val="none"/>
          <w:lang w:val="en-US" w:eastAsia="zh-CN"/>
        </w:rPr>
        <w:t>整体设备：本次调整未新增任何类型的生产设备，也未新增废铝预处理、铝液深加工等任何生产工序，仅对原有设备进行功能整合、低效设备淘汰和铸锭设备规格替换，生产流程从废铝进料、熔炼、精炼、铸锭到成品入库，未发生任何本质变化，生产环节的衔接与调整前保持一致，</w:t>
      </w:r>
      <w:r>
        <w:rPr>
          <w:rFonts w:hint="eastAsia" w:cs="Times New Roman"/>
          <w:color w:val="auto"/>
          <w:sz w:val="24"/>
          <w:szCs w:val="24"/>
          <w:highlight w:val="none"/>
          <w:lang w:val="en-US" w:eastAsia="zh-CN"/>
        </w:rPr>
        <w:t>项目产能不突破</w:t>
      </w:r>
      <w:r>
        <w:rPr>
          <w:rFonts w:hint="eastAsia"/>
          <w:color w:val="auto"/>
          <w:kern w:val="24"/>
          <w:sz w:val="24"/>
          <w:highlight w:val="none"/>
          <w:lang w:val="en-US" w:eastAsia="zh-CN"/>
        </w:rPr>
        <w:t>“安徽华中天力铝业有限公司年产11万吨再生铝建设项目的一期工程”产能（即5.05万吨/年）。</w:t>
      </w:r>
    </w:p>
    <w:p w14:paraId="2254A6E7">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color w:val="auto"/>
          <w:kern w:val="24"/>
          <w:sz w:val="24"/>
          <w:highlight w:val="none"/>
          <w:lang w:val="en-US" w:eastAsia="zh-CN"/>
        </w:rPr>
      </w:pPr>
      <w:r>
        <w:rPr>
          <w:rFonts w:hint="eastAsia"/>
          <w:b/>
          <w:bCs/>
          <w:color w:val="auto"/>
          <w:sz w:val="28"/>
          <w:szCs w:val="36"/>
          <w:lang w:val="en-US" w:eastAsia="zh-CN"/>
        </w:rPr>
        <w:t>3.7 生产设备变化对废气污染物产生及排放的影响分析</w:t>
      </w:r>
    </w:p>
    <w:p w14:paraId="043431D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none"/>
          <w:lang w:val="en-US" w:eastAsia="zh-CN"/>
        </w:rPr>
      </w:pPr>
      <w:r>
        <w:rPr>
          <w:rFonts w:hint="eastAsia"/>
          <w:b w:val="0"/>
          <w:bCs w:val="0"/>
          <w:color w:val="auto"/>
          <w:sz w:val="24"/>
          <w:szCs w:val="32"/>
          <w:highlight w:val="none"/>
          <w:lang w:val="en-US" w:eastAsia="zh-CN"/>
        </w:rPr>
        <w:t>本次设备调整仅涉及设备的整合与替换，未改变上述污染源的产生机理、产生环节，也未增加污染物的产生量，具体详细分析如下：</w:t>
      </w:r>
    </w:p>
    <w:p w14:paraId="1BC0979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b w:val="0"/>
          <w:bCs w:val="0"/>
          <w:color w:val="auto"/>
          <w:sz w:val="24"/>
          <w:szCs w:val="32"/>
          <w:highlight w:val="none"/>
          <w:lang w:val="en-US" w:eastAsia="zh-CN"/>
        </w:rPr>
      </w:pPr>
      <w:r>
        <w:rPr>
          <w:rFonts w:hint="eastAsia"/>
          <w:b/>
          <w:bCs/>
          <w:color w:val="auto"/>
          <w:sz w:val="24"/>
          <w:szCs w:val="32"/>
          <w:highlight w:val="none"/>
          <w:lang w:val="en-US" w:eastAsia="zh-CN"/>
        </w:rPr>
        <w:t>产生环节未新增</w:t>
      </w:r>
      <w:r>
        <w:rPr>
          <w:rFonts w:hint="eastAsia"/>
          <w:b w:val="0"/>
          <w:bCs w:val="0"/>
          <w:color w:val="auto"/>
          <w:sz w:val="24"/>
          <w:szCs w:val="32"/>
          <w:highlight w:val="none"/>
          <w:lang w:val="en-US" w:eastAsia="zh-CN"/>
        </w:rPr>
        <w:t>：废气的核心产生环节是熔炼炉高温熔炼（温度约1000℃）和精炼炉高温精炼（温度约660～710℃）过程，主要是废铝在高温下氧化、燃料燃烧及铝液中杂质挥发产生。调整后拆除的10t熔炼精炼两用炉、20t精炼炉，其原有废气产生环节已完全整合至保留的40t、30t熔炼炉及30t精炼炉中，即原10t熔炼精炼两用炉承担的小批量熔炼、应急精炼任务，全部转移至40t、30t熔炼炉，原20t精炼炉承担的辅助精炼任务，全部转移至30t精炼炉，未新增任何废气产生设备、任何废气产生工序，废气产生环节与调整前完全一致。</w:t>
      </w:r>
    </w:p>
    <w:p w14:paraId="74D153B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b w:val="0"/>
          <w:bCs w:val="0"/>
          <w:color w:val="auto"/>
          <w:sz w:val="24"/>
          <w:szCs w:val="32"/>
          <w:highlight w:val="none"/>
          <w:lang w:val="en-US" w:eastAsia="zh-CN"/>
        </w:rPr>
      </w:pPr>
      <w:r>
        <w:rPr>
          <w:rFonts w:hint="eastAsia"/>
          <w:b/>
          <w:bCs/>
          <w:color w:val="auto"/>
          <w:sz w:val="24"/>
          <w:szCs w:val="32"/>
          <w:highlight w:val="none"/>
          <w:lang w:val="en-US" w:eastAsia="zh-CN"/>
        </w:rPr>
        <w:t>产生量未增加：</w:t>
      </w:r>
      <w:r>
        <w:rPr>
          <w:rFonts w:hint="eastAsia"/>
          <w:b w:val="0"/>
          <w:bCs w:val="0"/>
          <w:color w:val="auto"/>
          <w:sz w:val="24"/>
          <w:szCs w:val="32"/>
          <w:highlight w:val="none"/>
          <w:lang w:val="en-US" w:eastAsia="zh-CN"/>
        </w:rPr>
        <w:t>再生铝生产中，废气产生量与熔炼、精炼的铝料处理量呈正相关关系，即铝料处理总量越多，废气产生量越大，而铝料处理总量由产能决定。调整前后产能均严格控制在5.05万吨/年，铝料处理总量未发生任何增加。调整后，保留的40t、30t熔炼炉单台处理能力增加，可通过优化生产排班，实现原有产能目标，无需增加铝料处理量，因此废气产生量与调整前保持一致，未发生任何增加。同时，移除的小型设备本身处理效率低，其废气产生量相对较少，整合后由大型设备集中处理，不会导致废气总量增加。</w:t>
      </w:r>
    </w:p>
    <w:p w14:paraId="07296C9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b w:val="0"/>
          <w:bCs w:val="0"/>
          <w:color w:val="auto"/>
          <w:sz w:val="24"/>
          <w:szCs w:val="32"/>
          <w:highlight w:val="none"/>
          <w:lang w:val="en-US" w:eastAsia="zh-CN"/>
        </w:rPr>
      </w:pPr>
      <w:r>
        <w:rPr>
          <w:rFonts w:hint="eastAsia"/>
          <w:b/>
          <w:bCs/>
          <w:color w:val="auto"/>
          <w:sz w:val="24"/>
          <w:szCs w:val="32"/>
          <w:highlight w:val="none"/>
          <w:lang w:val="en-US" w:eastAsia="zh-CN"/>
        </w:rPr>
        <w:t>排放量未增加：</w:t>
      </w:r>
      <w:r>
        <w:rPr>
          <w:rFonts w:hint="eastAsia"/>
          <w:b w:val="0"/>
          <w:bCs w:val="0"/>
          <w:color w:val="auto"/>
          <w:sz w:val="24"/>
          <w:szCs w:val="32"/>
          <w:highlight w:val="none"/>
          <w:lang w:val="en-US" w:eastAsia="zh-CN"/>
        </w:rPr>
        <w:t>调整后保留的40t、30t熔炼炉及30t精炼炉，均为原有核心设备，企业在保持产能不变，升级更新设备的同时，还升级更新原项目的污染防治措施，污染防治措施升级后的工艺为“SNCR+烟气急冷+重力沉降除尘器+布袋除尘器+活性炭喷粉+碱喷淋”，组合工艺。</w:t>
      </w:r>
      <w:r>
        <w:rPr>
          <w:rFonts w:hint="eastAsia" w:cs="Times New Roman"/>
          <w:color w:val="auto"/>
          <w:kern w:val="0"/>
          <w:sz w:val="24"/>
          <w:lang w:val="en-US" w:eastAsia="zh-CN"/>
        </w:rPr>
        <w:t>对照</w:t>
      </w:r>
      <w:r>
        <w:rPr>
          <w:rFonts w:hint="default" w:ascii="Times New Roman" w:hAnsi="Times New Roman" w:eastAsia="宋体" w:cs="Times New Roman"/>
          <w:color w:val="auto"/>
          <w:kern w:val="0"/>
          <w:sz w:val="24"/>
        </w:rPr>
        <w:t>《排污许可申请与核发技术规范</w:t>
      </w:r>
      <w:r>
        <w:rPr>
          <w:rFonts w:hint="eastAsia" w:cs="Times New Roman"/>
          <w:color w:val="auto"/>
          <w:kern w:val="0"/>
          <w:sz w:val="24"/>
          <w:lang w:val="en-US" w:eastAsia="zh-CN"/>
        </w:rPr>
        <w:t xml:space="preserve"> 有色金属工业—</w:t>
      </w:r>
      <w:r>
        <w:rPr>
          <w:rFonts w:hint="default" w:ascii="Times New Roman" w:hAnsi="Times New Roman" w:eastAsia="宋体" w:cs="Times New Roman"/>
          <w:color w:val="auto"/>
          <w:kern w:val="0"/>
          <w:sz w:val="24"/>
        </w:rPr>
        <w:t>再生金属》（HJ863.4-2018）</w:t>
      </w:r>
      <w:r>
        <w:rPr>
          <w:rFonts w:hint="eastAsia" w:cs="Times New Roman"/>
          <w:color w:val="auto"/>
          <w:kern w:val="0"/>
          <w:sz w:val="24"/>
          <w:lang w:eastAsia="zh-CN"/>
        </w:rPr>
        <w:t>，</w:t>
      </w:r>
      <w:r>
        <w:rPr>
          <w:rFonts w:hint="eastAsia" w:cs="Times New Roman"/>
          <w:color w:val="auto"/>
          <w:kern w:val="0"/>
          <w:sz w:val="24"/>
          <w:lang w:val="en-US" w:eastAsia="zh-CN"/>
        </w:rPr>
        <w:t>本次升级更新后的废气</w:t>
      </w:r>
      <w:r>
        <w:rPr>
          <w:rFonts w:hint="default" w:ascii="Times New Roman" w:hAnsi="Times New Roman" w:eastAsia="宋体" w:cs="Times New Roman"/>
          <w:color w:val="auto"/>
          <w:kern w:val="0"/>
          <w:sz w:val="24"/>
        </w:rPr>
        <w:t>污染</w:t>
      </w:r>
      <w:r>
        <w:rPr>
          <w:rFonts w:hint="eastAsia" w:cs="Times New Roman"/>
          <w:color w:val="auto"/>
          <w:kern w:val="0"/>
          <w:sz w:val="24"/>
          <w:lang w:val="en-US" w:eastAsia="zh-CN"/>
        </w:rPr>
        <w:t>防治技术均为</w:t>
      </w:r>
      <w:r>
        <w:rPr>
          <w:rFonts w:hint="default" w:ascii="Times New Roman" w:hAnsi="Times New Roman" w:eastAsia="宋体" w:cs="Times New Roman"/>
          <w:color w:val="auto"/>
          <w:kern w:val="0"/>
          <w:sz w:val="24"/>
        </w:rPr>
        <w:t>可行推荐技术</w:t>
      </w:r>
      <w:r>
        <w:rPr>
          <w:rFonts w:hint="eastAsia" w:cs="Times New Roman"/>
          <w:color w:val="auto"/>
          <w:kern w:val="0"/>
          <w:sz w:val="24"/>
          <w:lang w:eastAsia="zh-CN"/>
        </w:rPr>
        <w:t>，</w:t>
      </w:r>
      <w:r>
        <w:rPr>
          <w:rFonts w:hint="eastAsia" w:cs="Times New Roman"/>
          <w:color w:val="auto"/>
          <w:kern w:val="0"/>
          <w:sz w:val="24"/>
          <w:lang w:val="en-US" w:eastAsia="zh-CN"/>
        </w:rPr>
        <w:t>项目废气可得到有效处理，不会增加废气排放量</w:t>
      </w:r>
      <w:r>
        <w:rPr>
          <w:rFonts w:hint="eastAsia"/>
          <w:b w:val="0"/>
          <w:bCs w:val="0"/>
          <w:color w:val="auto"/>
          <w:sz w:val="24"/>
          <w:szCs w:val="32"/>
          <w:highlight w:val="none"/>
          <w:lang w:val="en-US" w:eastAsia="zh-CN"/>
        </w:rPr>
        <w:t>。此外，替换后的500模铸锭生产线，仅涉及铝液浇筑、冷却，无高温燃烧、氧化过程，不产生任何废气，不会额外增加废气排放。</w:t>
      </w:r>
    </w:p>
    <w:p w14:paraId="56332E8B">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val="0"/>
          <w:bCs w:val="0"/>
          <w:color w:val="auto"/>
          <w:sz w:val="28"/>
          <w:szCs w:val="36"/>
          <w:highlight w:val="none"/>
          <w:lang w:val="en-US" w:eastAsia="zh-CN"/>
        </w:rPr>
      </w:pPr>
      <w:r>
        <w:rPr>
          <w:rFonts w:hint="eastAsia"/>
          <w:b/>
          <w:bCs/>
          <w:color w:val="0000FF"/>
          <w:sz w:val="28"/>
          <w:szCs w:val="36"/>
          <w:highlight w:val="none"/>
          <w:lang w:val="en-US" w:eastAsia="zh-CN"/>
        </w:rPr>
        <w:t>3.8 生产设施与废气处理设施匹配性分析</w:t>
      </w:r>
    </w:p>
    <w:p w14:paraId="00339162">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3.8.1 生产设施及产排污情况</w:t>
      </w:r>
    </w:p>
    <w:p w14:paraId="0BB608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本项目熔炼及辅助生产设施包括：</w:t>
      </w:r>
    </w:p>
    <w:p w14:paraId="7B50E9F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1台40吨熔炼炉、1台30吨熔炼炉、1台30吨精炼炉、1台回转炉和1台冷灰桶。</w:t>
      </w:r>
    </w:p>
    <w:p w14:paraId="34B1BA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上述设施均为再生铝生产典型产污设备，废气主要产生于：</w:t>
      </w:r>
    </w:p>
    <w:p w14:paraId="6A71710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①</w:t>
      </w:r>
      <w:r>
        <w:rPr>
          <w:rFonts w:hint="eastAsia"/>
          <w:b w:val="0"/>
          <w:bCs w:val="0"/>
          <w:color w:val="0000FF"/>
          <w:sz w:val="24"/>
          <w:szCs w:val="32"/>
          <w:highlight w:val="none"/>
          <w:lang w:val="en-US" w:eastAsia="zh-CN"/>
        </w:rPr>
        <w:t>熔铝炉熔化、扒渣、搅拌工序；</w:t>
      </w:r>
    </w:p>
    <w:p w14:paraId="2D1DC33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②</w:t>
      </w:r>
      <w:r>
        <w:rPr>
          <w:rFonts w:hint="eastAsia"/>
          <w:b w:val="0"/>
          <w:bCs w:val="0"/>
          <w:color w:val="0000FF"/>
          <w:sz w:val="24"/>
          <w:szCs w:val="32"/>
          <w:highlight w:val="none"/>
          <w:lang w:val="en-US" w:eastAsia="zh-CN"/>
        </w:rPr>
        <w:t>精炼炉精炼、除气、除杂工序；</w:t>
      </w:r>
    </w:p>
    <w:p w14:paraId="4D464D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③</w:t>
      </w:r>
      <w:r>
        <w:rPr>
          <w:rFonts w:hint="eastAsia"/>
          <w:b w:val="0"/>
          <w:bCs w:val="0"/>
          <w:color w:val="0000FF"/>
          <w:sz w:val="24"/>
          <w:szCs w:val="32"/>
          <w:highlight w:val="none"/>
          <w:lang w:val="en-US" w:eastAsia="zh-CN"/>
        </w:rPr>
        <w:t>回转炉铝灰炒灰、盐渣热处理工序；</w:t>
      </w:r>
    </w:p>
    <w:p w14:paraId="28FB33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④</w:t>
      </w:r>
      <w:r>
        <w:rPr>
          <w:rFonts w:hint="eastAsia"/>
          <w:b w:val="0"/>
          <w:bCs w:val="0"/>
          <w:color w:val="0000FF"/>
          <w:sz w:val="24"/>
          <w:szCs w:val="32"/>
          <w:highlight w:val="none"/>
          <w:lang w:val="en-US" w:eastAsia="zh-CN"/>
        </w:rPr>
        <w:t>冷灰桶冷却、翻灰过程逸散烟气。</w:t>
      </w:r>
    </w:p>
    <w:p w14:paraId="62D7D94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主要污染物为：颗粒物、二氧化硫、氮氧化物、氯化氢、氟化物、二噁英类和重金属。</w:t>
      </w:r>
    </w:p>
    <w:p w14:paraId="200552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项目三台熔炼/精炼炉+回转炉+冷灰桶采用共用一套废气收集+处理系统，设计处理风量200000m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/h，处理工艺为：“SNCR脱硝+烟气急冷+活性炭喷粉+重力沉降除尘+布袋除尘+碱喷淋”，处理后通过一根排气筒排放。</w:t>
      </w:r>
    </w:p>
    <w:p w14:paraId="543881EF">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3.8.2 风量匹配性分析</w:t>
      </w:r>
    </w:p>
    <w:p w14:paraId="4980873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（1）设备烟气量</w:t>
      </w:r>
    </w:p>
    <w:p w14:paraId="473A21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40吨熔炼炉：约50000m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671A8B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30吨熔炼炉：约45000m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04C5A9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30吨精炼炉：约35000m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1066B5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回转炉：约35000m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51F192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冷灰桶：约25000m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65B970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项目正常生产组织为熔炼、精炼、铝灰处理错峰/交替运行，一般不会出现所有设备同时满负荷排烟。</w:t>
      </w:r>
    </w:p>
    <w:p w14:paraId="410337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（2）处理系统风量匹配性</w:t>
      </w:r>
    </w:p>
    <w:p w14:paraId="658641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废气处理系统设计风量200000m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/h，可覆盖正常生产工况，满足最大排放烟气量需求，并预留一定波动、漏风及系统阻力余量。</w:t>
      </w:r>
    </w:p>
    <w:p w14:paraId="6B5F4E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风机选型、管网布置与多炉共用收集系统匹配，可保证各产污节点负压稳定、无明显无组织逸散。</w:t>
      </w:r>
    </w:p>
    <w:p w14:paraId="74B095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由上述内容可知，废气处理系统风量与生产设施废气产生量匹配合理。</w:t>
      </w:r>
    </w:p>
    <w:p w14:paraId="04033188">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3.8.2 污染物与废气处理设施匹配性分析</w:t>
      </w:r>
    </w:p>
    <w:p w14:paraId="2B0E4A5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（1）氮氧化物</w:t>
      </w:r>
    </w:p>
    <w:p w14:paraId="7CCF12D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氮氧化物来源：主要为熔铝炉高温熔炼过程产生的燃料型氮氧化物和热力型氮氧化物。</w:t>
      </w:r>
    </w:p>
    <w:p w14:paraId="162C8D2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SNCR工艺适用性：SNCR反应温度窗口为850~1100℃，与熔铝炉出口烟气温度高度契合。还原剂在高温烟道喷射，无需催化剂，适合再生铝高温、波动大的烟气工况，脱硝效率可达40%~60%，可满足氮氧化物排放限值要求。</w:t>
      </w:r>
    </w:p>
    <w:p w14:paraId="1CEB9DA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p>
    <w:p w14:paraId="6FD172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（2）高温烟气</w:t>
      </w:r>
    </w:p>
    <w:p w14:paraId="023602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熔</w:t>
      </w:r>
      <w:r>
        <w:rPr>
          <w:rFonts w:hint="default" w:ascii="Times New Roman" w:hAnsi="Times New Roman" w:eastAsia="宋体" w:cs="Times New Roman"/>
          <w:b w:val="0"/>
          <w:bCs w:val="0"/>
          <w:color w:val="0000FF"/>
          <w:kern w:val="2"/>
          <w:sz w:val="24"/>
          <w:szCs w:val="32"/>
          <w:lang w:val="en-US" w:eastAsia="zh-CN" w:bidi="ar-SA"/>
        </w:rPr>
        <w:t>炼及回转炉烟气温度可达800~1100</w:t>
      </w:r>
      <w:r>
        <w:rPr>
          <w:rFonts w:hint="default" w:ascii="Times New Roman" w:hAnsi="Times New Roman" w:cs="Times New Roman"/>
          <w:b w:val="0"/>
          <w:bCs w:val="0"/>
          <w:color w:val="0000FF"/>
          <w:sz w:val="24"/>
          <w:szCs w:val="32"/>
          <w:highlight w:val="none"/>
          <w:lang w:val="en-US" w:eastAsia="zh-CN"/>
        </w:rPr>
        <w:t>℃</w:t>
      </w:r>
      <w:r>
        <w:rPr>
          <w:rFonts w:hint="default" w:ascii="Times New Roman" w:hAnsi="Times New Roman" w:eastAsia="宋体" w:cs="Times New Roman"/>
          <w:b w:val="0"/>
          <w:bCs w:val="0"/>
          <w:color w:val="0000FF"/>
          <w:kern w:val="2"/>
          <w:sz w:val="24"/>
          <w:szCs w:val="32"/>
          <w:lang w:val="en-US" w:eastAsia="zh-CN" w:bidi="ar-SA"/>
        </w:rPr>
        <w:t>，直接进入后段会造成</w:t>
      </w:r>
      <w:r>
        <w:rPr>
          <w:rFonts w:hint="default" w:ascii="Times New Roman" w:hAnsi="Times New Roman" w:cs="Times New Roman"/>
          <w:b w:val="0"/>
          <w:bCs w:val="0"/>
          <w:color w:val="0000FF"/>
          <w:kern w:val="2"/>
          <w:sz w:val="24"/>
          <w:szCs w:val="32"/>
          <w:lang w:val="en-US" w:eastAsia="zh-CN" w:bidi="ar-SA"/>
        </w:rPr>
        <w:t>：</w:t>
      </w:r>
      <w:r>
        <w:rPr>
          <w:rFonts w:hint="default" w:ascii="Times New Roman" w:hAnsi="Times New Roman" w:eastAsia="宋体" w:cs="Times New Roman"/>
          <w:color w:val="0000FF"/>
          <w:sz w:val="24"/>
          <w:szCs w:val="24"/>
        </w:rPr>
        <w:t>布袋烧损</w:t>
      </w:r>
      <w:r>
        <w:rPr>
          <w:rFonts w:hint="default" w:ascii="Times New Roman" w:hAnsi="Times New Roman" w:eastAsia="宋体" w:cs="Times New Roman"/>
          <w:color w:val="0000FF"/>
          <w:sz w:val="24"/>
          <w:szCs w:val="24"/>
          <w:lang w:val="en-US" w:eastAsia="zh-CN"/>
        </w:rPr>
        <w:t>和</w:t>
      </w:r>
      <w:r>
        <w:rPr>
          <w:rFonts w:hint="default" w:ascii="Times New Roman" w:hAnsi="Times New Roman" w:eastAsia="宋体" w:cs="Times New Roman"/>
          <w:color w:val="0000FF"/>
          <w:sz w:val="24"/>
          <w:szCs w:val="24"/>
          <w:lang w:eastAsia="zh-CN"/>
        </w:rPr>
        <w:t>二噁英重新合成</w:t>
      </w:r>
      <w:r>
        <w:rPr>
          <w:rFonts w:hint="eastAsia" w:ascii="Times New Roman" w:hAnsi="Times New Roman" w:eastAsia="宋体" w:cs="Times New Roman"/>
          <w:color w:val="0000FF"/>
          <w:sz w:val="24"/>
          <w:szCs w:val="24"/>
          <w:lang w:eastAsia="zh-CN"/>
        </w:rPr>
        <w:t>。</w:t>
      </w:r>
    </w:p>
    <w:p w14:paraId="21E2B7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烟气急冷工艺适用性：烟气急冷装置可在1s内将烟气温度快速降至200</w:t>
      </w:r>
      <w:r>
        <w:rPr>
          <w:rFonts w:hint="default" w:ascii="Times New Roman" w:hAnsi="Times New Roman" w:cs="Times New Roman"/>
          <w:b w:val="0"/>
          <w:bCs w:val="0"/>
          <w:color w:val="0000FF"/>
          <w:sz w:val="24"/>
          <w:szCs w:val="32"/>
          <w:highlight w:val="none"/>
          <w:lang w:val="en-US" w:eastAsia="zh-CN"/>
        </w:rPr>
        <w:t>℃</w:t>
      </w:r>
      <w:r>
        <w:rPr>
          <w:rFonts w:hint="eastAsia"/>
          <w:b w:val="0"/>
          <w:bCs w:val="0"/>
          <w:color w:val="0000FF"/>
          <w:sz w:val="24"/>
          <w:szCs w:val="32"/>
          <w:highlight w:val="none"/>
          <w:lang w:val="en-US" w:eastAsia="zh-CN"/>
        </w:rPr>
        <w:t>以下，快速穿越二噁英再生成温度区间，控制二噁英的生成。同时降低烟气体积负荷，保护后续除尘、喷淋设备。</w:t>
      </w:r>
    </w:p>
    <w:p w14:paraId="2F618F8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（3）二噁英、重金属</w:t>
      </w:r>
    </w:p>
    <w:p w14:paraId="4D927B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二噁英、重金属产生来源：熔铝炉熔炼过程中在高温下会产生微量二噁英、</w:t>
      </w:r>
      <w:r>
        <w:rPr>
          <w:rFonts w:hint="default" w:ascii="Times New Roman" w:hAnsi="Times New Roman" w:eastAsia="宋体" w:cs="Times New Roman"/>
          <w:color w:val="0000FF"/>
          <w:kern w:val="0"/>
          <w:sz w:val="24"/>
          <w:szCs w:val="20"/>
        </w:rPr>
        <w:t>砷及其化合物、铅及其化合物、锡及其化合物、镉及其化合物、铬及其化合物</w:t>
      </w:r>
      <w:r>
        <w:rPr>
          <w:rFonts w:hint="eastAsia"/>
          <w:b w:val="0"/>
          <w:bCs w:val="0"/>
          <w:color w:val="0000FF"/>
          <w:sz w:val="24"/>
          <w:szCs w:val="32"/>
          <w:highlight w:val="none"/>
          <w:lang w:val="en-US" w:eastAsia="zh-CN"/>
        </w:rPr>
        <w:t>等重金属。</w:t>
      </w:r>
    </w:p>
    <w:p w14:paraId="52AAE5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活性炭喷粉适用性：急冷后烟气温度适宜活性炭吸附，活性炭喷粉可高效吸附二噁英、重金属及微量有机物，与布袋除尘配合实现“吸附+捕集”协同去除。</w:t>
      </w:r>
    </w:p>
    <w:p w14:paraId="55931C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（4）重力沉降+布袋除尘与颗粒物匹配性</w:t>
      </w:r>
    </w:p>
    <w:p w14:paraId="183D1F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重力沉降：预先脱除大颗粒、高密度粉尘，降低布袋负荷，减少糊袋、磨损；</w:t>
      </w:r>
    </w:p>
    <w:p w14:paraId="55237C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布袋除尘：作为终端高效除尘，总除尘效率≥99.5%，可稳定实现颗粒物达标。</w:t>
      </w:r>
    </w:p>
    <w:p w14:paraId="243718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（5）酸性气体匹配性分析</w:t>
      </w:r>
    </w:p>
    <w:p w14:paraId="262D97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酸性气体来源：主要为熔铝炉熔炼过程和铝灰处理过程产生，主要污染物为二氧化硫、氯化氢、氟化物。</w:t>
      </w:r>
    </w:p>
    <w:p w14:paraId="0B0559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碱喷淋工艺适用性：碱液（NaOH溶液）可高效中和HCI、HF、SO</w:t>
      </w:r>
      <w:r>
        <w:rPr>
          <w:rFonts w:hint="eastAsia"/>
          <w:b w:val="0"/>
          <w:bCs w:val="0"/>
          <w:color w:val="0000FF"/>
          <w:sz w:val="24"/>
          <w:szCs w:val="32"/>
          <w:highlight w:val="none"/>
          <w:vertAlign w:val="subscript"/>
          <w:lang w:val="en-US" w:eastAsia="zh-CN"/>
        </w:rPr>
        <w:t>2</w:t>
      </w:r>
      <w:r>
        <w:rPr>
          <w:rFonts w:hint="eastAsia"/>
          <w:b w:val="0"/>
          <w:bCs w:val="0"/>
          <w:color w:val="0000FF"/>
          <w:sz w:val="24"/>
          <w:szCs w:val="32"/>
          <w:highlight w:val="none"/>
          <w:lang w:val="en-US" w:eastAsia="zh-CN"/>
        </w:rPr>
        <w:t>，同时进一步去除残余粉尘、氟化物与异味。烟气经降温、除尘后进入喷淋系统，气液接触条件好，不易堵塞、结垢，脱酸效率稳定。</w:t>
      </w:r>
    </w:p>
    <w:p w14:paraId="65369373">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3.8.3 总体匹配性结论</w:t>
      </w:r>
    </w:p>
    <w:p w14:paraId="3C7280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本项目2台熔铝炉、1 台精炼炉、1 台回转炉及 1 台冷灰桶产生的废气污染物，与采用SNCR+烟气急冷急冷+活性炭喷粉+重力沉降除尘+布袋除尘+碱喷淋组合处理工艺及200000 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/h废气处理系统在风量负荷、温度特性、污染物组分、工况波动、设备运行安全等方面整体匹配合理。</w:t>
      </w:r>
    </w:p>
    <w:p w14:paraId="063DB94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color w:val="auto"/>
        </w:rPr>
      </w:pPr>
      <w:r>
        <w:rPr>
          <w:color w:val="auto"/>
        </w:rPr>
        <w:br w:type="page"/>
      </w:r>
    </w:p>
    <w:p w14:paraId="08F876BD">
      <w:pPr>
        <w:spacing w:line="360" w:lineRule="auto"/>
        <w:jc w:val="center"/>
        <w:outlineLvl w:val="0"/>
        <w:rPr>
          <w:b/>
          <w:bCs/>
          <w:color w:val="auto"/>
          <w:sz w:val="32"/>
          <w:szCs w:val="40"/>
        </w:rPr>
      </w:pPr>
      <w:bookmarkStart w:id="292" w:name="_Toc17944"/>
      <w:r>
        <w:rPr>
          <w:b/>
          <w:bCs/>
          <w:color w:val="auto"/>
          <w:sz w:val="32"/>
          <w:szCs w:val="40"/>
        </w:rPr>
        <w:t>4 区域环境变化评价</w:t>
      </w:r>
      <w:bookmarkEnd w:id="292"/>
    </w:p>
    <w:p w14:paraId="3EEFE3C3">
      <w:pPr>
        <w:spacing w:line="360" w:lineRule="auto"/>
        <w:rPr>
          <w:color w:val="auto"/>
          <w:sz w:val="24"/>
          <w:szCs w:val="32"/>
        </w:rPr>
      </w:pPr>
    </w:p>
    <w:p w14:paraId="14018509">
      <w:pPr>
        <w:spacing w:line="360" w:lineRule="auto"/>
        <w:outlineLvl w:val="1"/>
        <w:rPr>
          <w:b/>
          <w:bCs/>
          <w:color w:val="auto"/>
          <w:sz w:val="28"/>
          <w:szCs w:val="36"/>
        </w:rPr>
      </w:pPr>
      <w:bookmarkStart w:id="293" w:name="_Toc13278"/>
      <w:r>
        <w:rPr>
          <w:b/>
          <w:bCs/>
          <w:color w:val="auto"/>
          <w:sz w:val="28"/>
          <w:szCs w:val="36"/>
        </w:rPr>
        <w:t>4.1周边区域环境敏感目标变化情况</w:t>
      </w:r>
      <w:bookmarkEnd w:id="293"/>
    </w:p>
    <w:p w14:paraId="195971E7">
      <w:pPr>
        <w:spacing w:line="360" w:lineRule="auto"/>
        <w:ind w:firstLine="480" w:firstLineChars="200"/>
        <w:rPr>
          <w:color w:val="auto"/>
          <w:sz w:val="24"/>
          <w:szCs w:val="32"/>
        </w:rPr>
      </w:pPr>
      <w:r>
        <w:rPr>
          <w:color w:val="auto"/>
          <w:sz w:val="24"/>
          <w:szCs w:val="32"/>
        </w:rPr>
        <w:t>项目位于安徽</w:t>
      </w:r>
      <w:r>
        <w:rPr>
          <w:rFonts w:hint="eastAsia"/>
          <w:color w:val="auto"/>
          <w:sz w:val="24"/>
          <w:szCs w:val="32"/>
          <w:lang w:val="en-US" w:eastAsia="zh-CN"/>
        </w:rPr>
        <w:t>濉溪经济开发区内</w:t>
      </w:r>
      <w:r>
        <w:rPr>
          <w:color w:val="auto"/>
          <w:sz w:val="24"/>
          <w:szCs w:val="32"/>
        </w:rPr>
        <w:t>，项目位于安徽</w:t>
      </w:r>
      <w:r>
        <w:rPr>
          <w:rFonts w:hint="eastAsia"/>
          <w:color w:val="auto"/>
          <w:sz w:val="24"/>
          <w:szCs w:val="32"/>
          <w:lang w:val="en-US" w:eastAsia="zh-CN"/>
        </w:rPr>
        <w:t>濉溪经济开发区内</w:t>
      </w:r>
      <w:r>
        <w:rPr>
          <w:color w:val="auto"/>
          <w:sz w:val="24"/>
          <w:szCs w:val="32"/>
        </w:rPr>
        <w:t>，</w:t>
      </w:r>
      <w:r>
        <w:rPr>
          <w:rFonts w:hint="eastAsia"/>
          <w:color w:val="auto"/>
          <w:sz w:val="24"/>
          <w:szCs w:val="32"/>
        </w:rPr>
        <w:t>根据现场调查</w:t>
      </w:r>
      <w:r>
        <w:rPr>
          <w:color w:val="auto"/>
          <w:sz w:val="24"/>
          <w:szCs w:val="32"/>
        </w:rPr>
        <w:t>，本评价区域内无历史文物古迹和风景名胜区等特殊敏感目标</w:t>
      </w:r>
      <w:r>
        <w:rPr>
          <w:rFonts w:hint="eastAsia"/>
          <w:color w:val="auto"/>
          <w:sz w:val="24"/>
          <w:szCs w:val="32"/>
        </w:rPr>
        <w:t>，后评价阶段环评报告目标与</w:t>
      </w:r>
      <w:r>
        <w:rPr>
          <w:rFonts w:hint="eastAsia"/>
          <w:color w:val="auto"/>
          <w:sz w:val="24"/>
          <w:szCs w:val="32"/>
          <w:lang w:val="en-US" w:eastAsia="zh-CN"/>
        </w:rPr>
        <w:t>原</w:t>
      </w:r>
      <w:r>
        <w:rPr>
          <w:rFonts w:hint="eastAsia"/>
          <w:color w:val="auto"/>
          <w:sz w:val="24"/>
          <w:szCs w:val="32"/>
        </w:rPr>
        <w:t>环评阶段</w:t>
      </w:r>
      <w:r>
        <w:rPr>
          <w:rFonts w:hint="eastAsia"/>
          <w:color w:val="auto"/>
          <w:sz w:val="24"/>
          <w:szCs w:val="32"/>
          <w:lang w:val="en-US" w:eastAsia="zh-CN"/>
        </w:rPr>
        <w:t>环境</w:t>
      </w:r>
      <w:r>
        <w:rPr>
          <w:rFonts w:hint="eastAsia"/>
          <w:color w:val="auto"/>
          <w:sz w:val="24"/>
          <w:szCs w:val="32"/>
        </w:rPr>
        <w:t>保护目标</w:t>
      </w:r>
      <w:r>
        <w:rPr>
          <w:rFonts w:hint="eastAsia"/>
          <w:color w:val="auto"/>
          <w:sz w:val="24"/>
          <w:szCs w:val="32"/>
          <w:lang w:val="en-US" w:eastAsia="zh-CN"/>
        </w:rPr>
        <w:t>发生变化，大气评价范围内的梁庄、王埝村、戚牌坊现已拆迁</w:t>
      </w:r>
      <w:r>
        <w:rPr>
          <w:rFonts w:hint="eastAsia"/>
          <w:color w:val="auto"/>
          <w:sz w:val="24"/>
          <w:szCs w:val="32"/>
        </w:rPr>
        <w:t>。</w:t>
      </w:r>
      <w:r>
        <w:rPr>
          <w:color w:val="auto"/>
          <w:sz w:val="24"/>
          <w:szCs w:val="32"/>
        </w:rPr>
        <w:t>具体见表1-</w:t>
      </w:r>
      <w:r>
        <w:rPr>
          <w:rFonts w:hint="eastAsia"/>
          <w:color w:val="auto"/>
          <w:sz w:val="24"/>
          <w:szCs w:val="32"/>
          <w:lang w:val="en-US" w:eastAsia="zh-CN"/>
        </w:rPr>
        <w:t>18</w:t>
      </w:r>
      <w:r>
        <w:rPr>
          <w:color w:val="auto"/>
          <w:sz w:val="24"/>
          <w:szCs w:val="32"/>
        </w:rPr>
        <w:t>和图1-4。</w:t>
      </w:r>
    </w:p>
    <w:p w14:paraId="17737746">
      <w:pPr>
        <w:spacing w:line="360" w:lineRule="auto"/>
        <w:outlineLvl w:val="1"/>
        <w:rPr>
          <w:b/>
          <w:bCs/>
          <w:color w:val="auto"/>
          <w:sz w:val="28"/>
          <w:szCs w:val="36"/>
        </w:rPr>
      </w:pPr>
      <w:bookmarkStart w:id="294" w:name="_Toc32616"/>
      <w:r>
        <w:rPr>
          <w:b/>
          <w:bCs/>
          <w:color w:val="auto"/>
          <w:sz w:val="28"/>
          <w:szCs w:val="36"/>
        </w:rPr>
        <w:t>4.2污染源或其他影响源变化</w:t>
      </w:r>
      <w:bookmarkEnd w:id="294"/>
    </w:p>
    <w:p w14:paraId="43B36F6D">
      <w:pPr>
        <w:spacing w:line="360" w:lineRule="auto"/>
        <w:ind w:firstLine="480" w:firstLineChars="200"/>
        <w:rPr>
          <w:color w:val="auto"/>
          <w:sz w:val="24"/>
          <w:szCs w:val="32"/>
        </w:rPr>
      </w:pPr>
      <w:r>
        <w:rPr>
          <w:color w:val="auto"/>
          <w:sz w:val="24"/>
          <w:szCs w:val="32"/>
        </w:rPr>
        <w:t>根据调查，项目生产过</w:t>
      </w:r>
      <w:r>
        <w:rPr>
          <w:rFonts w:hint="eastAsia"/>
          <w:color w:val="auto"/>
          <w:sz w:val="24"/>
          <w:szCs w:val="32"/>
          <w:lang w:eastAsia="zh-CN"/>
        </w:rPr>
        <w:t>程中</w:t>
      </w:r>
      <w:r>
        <w:rPr>
          <w:color w:val="auto"/>
          <w:sz w:val="24"/>
          <w:szCs w:val="32"/>
        </w:rPr>
        <w:t>，安徽</w:t>
      </w:r>
      <w:r>
        <w:rPr>
          <w:rFonts w:hint="eastAsia"/>
          <w:color w:val="auto"/>
          <w:sz w:val="24"/>
          <w:szCs w:val="32"/>
          <w:lang w:val="en-US" w:eastAsia="zh-CN"/>
        </w:rPr>
        <w:t>濉溪经济开发区</w:t>
      </w:r>
      <w:r>
        <w:rPr>
          <w:color w:val="auto"/>
          <w:sz w:val="24"/>
          <w:szCs w:val="32"/>
        </w:rPr>
        <w:t>入驻企业发生变化，主要包括：</w:t>
      </w:r>
    </w:p>
    <w:p w14:paraId="55C68EE0">
      <w:pPr>
        <w:spacing w:line="360" w:lineRule="auto"/>
        <w:ind w:firstLine="480" w:firstLineChars="200"/>
        <w:rPr>
          <w:color w:val="auto"/>
          <w:sz w:val="24"/>
          <w:szCs w:val="32"/>
        </w:rPr>
      </w:pPr>
      <w:r>
        <w:rPr>
          <w:color w:val="auto"/>
          <w:sz w:val="24"/>
          <w:szCs w:val="32"/>
        </w:rPr>
        <w:t>（1）</w:t>
      </w:r>
      <w:r>
        <w:rPr>
          <w:rFonts w:hint="eastAsia"/>
          <w:color w:val="auto"/>
          <w:sz w:val="24"/>
          <w:szCs w:val="32"/>
        </w:rPr>
        <w:t>安徽省久江新能源科技有限公司产1万吨亚磷酸二甲酯、4000吨间羟基-N,N二乙基苯胺、2万吨氯乙烷、4.5万吨酰氯类改扩建项目（一、二期）</w:t>
      </w:r>
      <w:r>
        <w:rPr>
          <w:color w:val="auto"/>
          <w:sz w:val="24"/>
          <w:szCs w:val="32"/>
        </w:rPr>
        <w:t>；</w:t>
      </w:r>
    </w:p>
    <w:p w14:paraId="3D63FEE4">
      <w:pPr>
        <w:spacing w:line="360" w:lineRule="auto"/>
        <w:ind w:firstLine="480" w:firstLineChars="200"/>
        <w:rPr>
          <w:color w:val="auto"/>
          <w:sz w:val="24"/>
          <w:szCs w:val="32"/>
        </w:rPr>
      </w:pPr>
      <w:r>
        <w:rPr>
          <w:color w:val="auto"/>
          <w:sz w:val="24"/>
          <w:szCs w:val="32"/>
        </w:rPr>
        <w:t>（2）</w:t>
      </w:r>
      <w:r>
        <w:rPr>
          <w:rFonts w:hint="eastAsia"/>
          <w:color w:val="auto"/>
          <w:sz w:val="24"/>
          <w:szCs w:val="32"/>
        </w:rPr>
        <w:t>淮北晓欣环保科技有限公司年产30万吨液体肥料及盐碱改良剂和冲施肥项目</w:t>
      </w:r>
      <w:r>
        <w:rPr>
          <w:color w:val="auto"/>
          <w:sz w:val="24"/>
          <w:szCs w:val="32"/>
        </w:rPr>
        <w:t>；</w:t>
      </w:r>
    </w:p>
    <w:p w14:paraId="403650A9">
      <w:pPr>
        <w:spacing w:line="360" w:lineRule="auto"/>
        <w:ind w:firstLine="480" w:firstLineChars="200"/>
        <w:rPr>
          <w:color w:val="auto"/>
          <w:sz w:val="24"/>
          <w:szCs w:val="32"/>
        </w:rPr>
      </w:pPr>
      <w:r>
        <w:rPr>
          <w:color w:val="auto"/>
          <w:sz w:val="24"/>
          <w:szCs w:val="32"/>
        </w:rPr>
        <w:t>（3）</w:t>
      </w:r>
      <w:r>
        <w:rPr>
          <w:rFonts w:hint="eastAsia"/>
          <w:color w:val="auto"/>
          <w:sz w:val="24"/>
          <w:szCs w:val="32"/>
        </w:rPr>
        <w:t>安徽汇联智新材料科技有限公司年产10万吨铝合金材料项目</w:t>
      </w:r>
      <w:r>
        <w:rPr>
          <w:color w:val="auto"/>
          <w:sz w:val="24"/>
          <w:szCs w:val="32"/>
        </w:rPr>
        <w:t>；</w:t>
      </w:r>
    </w:p>
    <w:p w14:paraId="7EC14971">
      <w:pPr>
        <w:spacing w:line="360" w:lineRule="auto"/>
        <w:ind w:firstLine="480" w:firstLineChars="200"/>
        <w:rPr>
          <w:color w:val="auto"/>
          <w:sz w:val="24"/>
          <w:szCs w:val="32"/>
        </w:rPr>
      </w:pPr>
      <w:r>
        <w:rPr>
          <w:color w:val="auto"/>
          <w:sz w:val="24"/>
          <w:szCs w:val="32"/>
        </w:rPr>
        <w:t>（4）</w:t>
      </w:r>
      <w:r>
        <w:rPr>
          <w:rFonts w:hint="eastAsia"/>
          <w:color w:val="auto"/>
          <w:sz w:val="24"/>
          <w:szCs w:val="32"/>
        </w:rPr>
        <w:t>安徽华昱铝业有限公司年产5万吨再生铝综合利用及1万吨铜制品项目</w:t>
      </w:r>
      <w:r>
        <w:rPr>
          <w:color w:val="auto"/>
          <w:sz w:val="24"/>
          <w:szCs w:val="32"/>
        </w:rPr>
        <w:t>；</w:t>
      </w:r>
    </w:p>
    <w:p w14:paraId="582B8363">
      <w:pPr>
        <w:spacing w:line="360" w:lineRule="auto"/>
        <w:ind w:firstLine="480" w:firstLineChars="200"/>
        <w:rPr>
          <w:color w:val="auto"/>
          <w:sz w:val="24"/>
          <w:szCs w:val="32"/>
        </w:rPr>
      </w:pPr>
      <w:r>
        <w:rPr>
          <w:color w:val="auto"/>
          <w:sz w:val="24"/>
          <w:szCs w:val="32"/>
        </w:rPr>
        <w:t>（5）</w:t>
      </w:r>
      <w:r>
        <w:rPr>
          <w:rFonts w:hint="eastAsia"/>
          <w:color w:val="auto"/>
          <w:sz w:val="24"/>
          <w:szCs w:val="32"/>
        </w:rPr>
        <w:t>安徽汇联智新材料科技有限公司年产4万吨保级利用超宽幅铝合金板项目（重新报批）</w:t>
      </w:r>
      <w:r>
        <w:rPr>
          <w:color w:val="auto"/>
          <w:sz w:val="24"/>
          <w:szCs w:val="32"/>
        </w:rPr>
        <w:t>；</w:t>
      </w:r>
    </w:p>
    <w:p w14:paraId="185C593D">
      <w:pPr>
        <w:spacing w:line="360" w:lineRule="auto"/>
        <w:ind w:firstLine="480" w:firstLineChars="200"/>
        <w:rPr>
          <w:color w:val="auto"/>
          <w:sz w:val="24"/>
          <w:szCs w:val="32"/>
        </w:rPr>
      </w:pPr>
      <w:r>
        <w:rPr>
          <w:color w:val="auto"/>
          <w:sz w:val="24"/>
          <w:szCs w:val="32"/>
        </w:rPr>
        <w:t>（6）</w:t>
      </w:r>
      <w:r>
        <w:rPr>
          <w:rFonts w:hint="eastAsia"/>
          <w:color w:val="auto"/>
          <w:sz w:val="24"/>
          <w:szCs w:val="32"/>
        </w:rPr>
        <w:t>安徽雄创铝合金新型材料有限责任公司年产15万吨的新型铝合金项目（重新报批）</w:t>
      </w:r>
      <w:r>
        <w:rPr>
          <w:color w:val="auto"/>
          <w:sz w:val="24"/>
          <w:szCs w:val="32"/>
        </w:rPr>
        <w:t>；</w:t>
      </w:r>
    </w:p>
    <w:p w14:paraId="29D83EB2">
      <w:pPr>
        <w:spacing w:line="360" w:lineRule="auto"/>
        <w:ind w:firstLine="480" w:firstLineChars="200"/>
        <w:rPr>
          <w:color w:val="auto"/>
          <w:sz w:val="24"/>
          <w:szCs w:val="32"/>
        </w:rPr>
      </w:pPr>
      <w:r>
        <w:rPr>
          <w:color w:val="auto"/>
          <w:sz w:val="24"/>
          <w:szCs w:val="32"/>
        </w:rPr>
        <w:t>（7）</w:t>
      </w:r>
      <w:r>
        <w:rPr>
          <w:rFonts w:hint="eastAsia"/>
          <w:color w:val="auto"/>
          <w:sz w:val="24"/>
          <w:szCs w:val="32"/>
        </w:rPr>
        <w:t>淮北润农腾辉生物科技有限公司年产15000吨新型生物制剂复配项目</w:t>
      </w:r>
      <w:r>
        <w:rPr>
          <w:color w:val="auto"/>
          <w:sz w:val="24"/>
          <w:szCs w:val="32"/>
        </w:rPr>
        <w:t>；</w:t>
      </w:r>
    </w:p>
    <w:p w14:paraId="67E9FBB8">
      <w:pPr>
        <w:spacing w:line="360" w:lineRule="auto"/>
        <w:ind w:firstLine="480" w:firstLineChars="200"/>
        <w:rPr>
          <w:color w:val="auto"/>
          <w:sz w:val="24"/>
          <w:szCs w:val="32"/>
        </w:rPr>
      </w:pPr>
      <w:r>
        <w:rPr>
          <w:color w:val="auto"/>
          <w:sz w:val="24"/>
          <w:szCs w:val="32"/>
        </w:rPr>
        <w:t>（8）</w:t>
      </w:r>
      <w:r>
        <w:rPr>
          <w:rFonts w:hint="eastAsia"/>
          <w:color w:val="auto"/>
          <w:sz w:val="24"/>
          <w:szCs w:val="32"/>
        </w:rPr>
        <w:t>安徽丹青新材料科技有限公司年产3万吨水性油墨、油性油墨生产线建设项目</w:t>
      </w:r>
      <w:r>
        <w:rPr>
          <w:color w:val="auto"/>
          <w:sz w:val="24"/>
          <w:szCs w:val="32"/>
        </w:rPr>
        <w:t>；</w:t>
      </w:r>
    </w:p>
    <w:p w14:paraId="166A9F82">
      <w:pPr>
        <w:spacing w:line="360" w:lineRule="auto"/>
        <w:ind w:firstLine="480" w:firstLineChars="200"/>
        <w:rPr>
          <w:color w:val="auto"/>
          <w:sz w:val="24"/>
          <w:szCs w:val="32"/>
        </w:rPr>
      </w:pPr>
      <w:r>
        <w:rPr>
          <w:color w:val="auto"/>
          <w:sz w:val="24"/>
          <w:szCs w:val="32"/>
        </w:rPr>
        <w:t>（9）</w:t>
      </w:r>
      <w:r>
        <w:rPr>
          <w:rFonts w:hint="eastAsia"/>
          <w:color w:val="auto"/>
          <w:sz w:val="24"/>
          <w:szCs w:val="32"/>
        </w:rPr>
        <w:t>安徽力幕新材料科技有限公司资源循环利用及环保除尘改造项目</w:t>
      </w:r>
      <w:r>
        <w:rPr>
          <w:color w:val="auto"/>
          <w:sz w:val="24"/>
          <w:szCs w:val="32"/>
        </w:rPr>
        <w:t>；</w:t>
      </w:r>
    </w:p>
    <w:p w14:paraId="1375F3A7">
      <w:pPr>
        <w:spacing w:line="360" w:lineRule="auto"/>
        <w:ind w:firstLine="480" w:firstLineChars="200"/>
        <w:rPr>
          <w:rFonts w:hint="eastAsia" w:eastAsia="宋体"/>
          <w:color w:val="auto"/>
          <w:sz w:val="24"/>
          <w:szCs w:val="32"/>
          <w:lang w:eastAsia="zh-CN"/>
        </w:rPr>
      </w:pPr>
      <w:r>
        <w:rPr>
          <w:color w:val="auto"/>
          <w:sz w:val="24"/>
          <w:szCs w:val="32"/>
        </w:rPr>
        <w:t>（10）</w:t>
      </w:r>
      <w:r>
        <w:rPr>
          <w:rFonts w:hint="eastAsia"/>
          <w:color w:val="auto"/>
          <w:sz w:val="24"/>
          <w:szCs w:val="32"/>
        </w:rPr>
        <w:t>安徽省绿康金属材料有限公司年回收加工利用4万吨铝灰渣无害化处理建设项目（重新报批）</w:t>
      </w:r>
      <w:r>
        <w:rPr>
          <w:rFonts w:hint="eastAsia"/>
          <w:color w:val="auto"/>
          <w:sz w:val="24"/>
          <w:szCs w:val="32"/>
          <w:lang w:eastAsia="zh-CN"/>
        </w:rPr>
        <w:t>；</w:t>
      </w:r>
    </w:p>
    <w:p w14:paraId="2F1114B4">
      <w:pPr>
        <w:spacing w:line="360" w:lineRule="auto"/>
        <w:ind w:firstLine="480" w:firstLineChars="200"/>
        <w:rPr>
          <w:color w:val="auto"/>
          <w:sz w:val="24"/>
          <w:szCs w:val="32"/>
        </w:rPr>
      </w:pPr>
      <w:bookmarkStart w:id="295" w:name="_Toc11794"/>
      <w:bookmarkStart w:id="296" w:name="_Toc23643"/>
      <w:r>
        <w:rPr>
          <w:color w:val="auto"/>
          <w:sz w:val="24"/>
          <w:szCs w:val="32"/>
        </w:rPr>
        <w:t>（11）</w:t>
      </w:r>
      <w:r>
        <w:rPr>
          <w:rFonts w:hint="eastAsia"/>
          <w:color w:val="auto"/>
          <w:sz w:val="24"/>
          <w:szCs w:val="32"/>
        </w:rPr>
        <w:t>安徽巨成精细化工有限公司年产15万吨聚丙烯酰胺生产线改扩建项目</w:t>
      </w:r>
      <w:r>
        <w:rPr>
          <w:color w:val="auto"/>
          <w:sz w:val="24"/>
          <w:szCs w:val="32"/>
        </w:rPr>
        <w:t>；</w:t>
      </w:r>
      <w:bookmarkEnd w:id="295"/>
      <w:bookmarkEnd w:id="296"/>
    </w:p>
    <w:p w14:paraId="3D53F85C">
      <w:pPr>
        <w:spacing w:line="360" w:lineRule="auto"/>
        <w:ind w:firstLine="480" w:firstLineChars="200"/>
        <w:rPr>
          <w:color w:val="auto"/>
          <w:sz w:val="24"/>
          <w:szCs w:val="32"/>
        </w:rPr>
      </w:pPr>
      <w:r>
        <w:rPr>
          <w:color w:val="auto"/>
          <w:sz w:val="24"/>
          <w:szCs w:val="32"/>
        </w:rPr>
        <w:t>（12）</w:t>
      </w:r>
      <w:r>
        <w:rPr>
          <w:rFonts w:hint="eastAsia"/>
          <w:color w:val="auto"/>
          <w:sz w:val="24"/>
          <w:szCs w:val="32"/>
        </w:rPr>
        <w:t>安徽锐畅科技有限公司高档铝幕墙装饰材料及金属表面处理材料生产项目</w:t>
      </w:r>
      <w:r>
        <w:rPr>
          <w:color w:val="auto"/>
          <w:sz w:val="24"/>
          <w:szCs w:val="32"/>
        </w:rPr>
        <w:t>；</w:t>
      </w:r>
    </w:p>
    <w:p w14:paraId="596BB963">
      <w:pPr>
        <w:spacing w:line="360" w:lineRule="auto"/>
        <w:ind w:firstLine="480" w:firstLineChars="200"/>
        <w:rPr>
          <w:color w:val="auto"/>
          <w:sz w:val="24"/>
          <w:szCs w:val="32"/>
        </w:rPr>
      </w:pPr>
      <w:r>
        <w:rPr>
          <w:color w:val="auto"/>
          <w:sz w:val="24"/>
          <w:szCs w:val="32"/>
        </w:rPr>
        <w:t>（13）</w:t>
      </w:r>
      <w:r>
        <w:rPr>
          <w:rFonts w:hint="eastAsia"/>
          <w:color w:val="auto"/>
          <w:sz w:val="24"/>
          <w:szCs w:val="32"/>
        </w:rPr>
        <w:t>安徽东博盛业新材料科技有限公司年产6万吨铝合金添加剂、3万吨铝中间合金和3万吨铝钛硼丝生产项目</w:t>
      </w:r>
      <w:r>
        <w:rPr>
          <w:color w:val="auto"/>
          <w:sz w:val="24"/>
          <w:szCs w:val="32"/>
        </w:rPr>
        <w:t>；</w:t>
      </w:r>
    </w:p>
    <w:p w14:paraId="14B3EE3F">
      <w:pPr>
        <w:spacing w:line="360" w:lineRule="auto"/>
        <w:ind w:firstLine="480" w:firstLineChars="200"/>
        <w:rPr>
          <w:color w:val="auto"/>
          <w:sz w:val="24"/>
          <w:szCs w:val="32"/>
        </w:rPr>
      </w:pPr>
      <w:r>
        <w:rPr>
          <w:color w:val="auto"/>
          <w:sz w:val="24"/>
          <w:szCs w:val="32"/>
        </w:rPr>
        <w:t>（14）</w:t>
      </w:r>
      <w:r>
        <w:rPr>
          <w:rFonts w:hint="eastAsia"/>
          <w:color w:val="auto"/>
          <w:sz w:val="24"/>
          <w:szCs w:val="32"/>
        </w:rPr>
        <w:t>安徽理银环境科技有限公司公司危险废弃物综合利用项目</w:t>
      </w:r>
      <w:r>
        <w:rPr>
          <w:color w:val="auto"/>
          <w:sz w:val="24"/>
          <w:szCs w:val="32"/>
        </w:rPr>
        <w:t>；</w:t>
      </w:r>
    </w:p>
    <w:p w14:paraId="55C7B436">
      <w:pPr>
        <w:spacing w:line="360" w:lineRule="auto"/>
        <w:ind w:firstLine="480" w:firstLineChars="200"/>
        <w:rPr>
          <w:color w:val="auto"/>
          <w:sz w:val="24"/>
          <w:szCs w:val="32"/>
        </w:rPr>
      </w:pPr>
      <w:r>
        <w:rPr>
          <w:color w:val="auto"/>
          <w:sz w:val="24"/>
          <w:szCs w:val="32"/>
        </w:rPr>
        <w:t>（15）</w:t>
      </w:r>
      <w:r>
        <w:rPr>
          <w:rFonts w:hint="eastAsia"/>
          <w:color w:val="auto"/>
          <w:sz w:val="24"/>
          <w:szCs w:val="32"/>
        </w:rPr>
        <w:t>淮北优美特新材料技术有限公司高性能玻纤轻质复合材料项目</w:t>
      </w:r>
      <w:r>
        <w:rPr>
          <w:color w:val="auto"/>
          <w:sz w:val="24"/>
          <w:szCs w:val="32"/>
        </w:rPr>
        <w:t>；</w:t>
      </w:r>
    </w:p>
    <w:p w14:paraId="695966D6">
      <w:pPr>
        <w:spacing w:line="360" w:lineRule="auto"/>
        <w:ind w:firstLine="480" w:firstLineChars="200"/>
        <w:rPr>
          <w:color w:val="auto"/>
          <w:sz w:val="24"/>
          <w:szCs w:val="32"/>
        </w:rPr>
      </w:pPr>
      <w:r>
        <w:rPr>
          <w:color w:val="auto"/>
          <w:sz w:val="24"/>
          <w:szCs w:val="32"/>
        </w:rPr>
        <w:t>（16）</w:t>
      </w:r>
      <w:r>
        <w:rPr>
          <w:rFonts w:hint="eastAsia"/>
          <w:color w:val="auto"/>
          <w:sz w:val="24"/>
          <w:szCs w:val="32"/>
        </w:rPr>
        <w:t>安徽元丰新材料科技有限公司年产180万支截齿20万个异形焊接产品项目</w:t>
      </w:r>
      <w:r>
        <w:rPr>
          <w:color w:val="auto"/>
          <w:sz w:val="24"/>
          <w:szCs w:val="32"/>
        </w:rPr>
        <w:t>；</w:t>
      </w:r>
    </w:p>
    <w:p w14:paraId="1846FDEE">
      <w:pPr>
        <w:spacing w:line="360" w:lineRule="auto"/>
        <w:ind w:firstLine="480" w:firstLineChars="200"/>
        <w:rPr>
          <w:color w:val="auto"/>
          <w:sz w:val="24"/>
          <w:szCs w:val="32"/>
        </w:rPr>
      </w:pPr>
      <w:r>
        <w:rPr>
          <w:color w:val="auto"/>
          <w:sz w:val="24"/>
          <w:szCs w:val="32"/>
        </w:rPr>
        <w:t>（1</w:t>
      </w:r>
      <w:r>
        <w:rPr>
          <w:rFonts w:hint="eastAsia"/>
          <w:color w:val="auto"/>
          <w:sz w:val="24"/>
          <w:szCs w:val="32"/>
          <w:lang w:val="en-US" w:eastAsia="zh-CN"/>
        </w:rPr>
        <w:t>7</w:t>
      </w:r>
      <w:r>
        <w:rPr>
          <w:color w:val="auto"/>
          <w:sz w:val="24"/>
          <w:szCs w:val="32"/>
        </w:rPr>
        <w:t>）</w:t>
      </w:r>
      <w:r>
        <w:rPr>
          <w:rFonts w:hint="eastAsia"/>
          <w:color w:val="auto"/>
          <w:sz w:val="24"/>
          <w:szCs w:val="32"/>
        </w:rPr>
        <w:t>安徽赛宇新能源科技有限公司赛宇新能源轮毂生产线技术改造项目</w:t>
      </w:r>
      <w:r>
        <w:rPr>
          <w:color w:val="auto"/>
          <w:sz w:val="24"/>
          <w:szCs w:val="32"/>
        </w:rPr>
        <w:t>；</w:t>
      </w:r>
    </w:p>
    <w:p w14:paraId="398EA984">
      <w:pPr>
        <w:spacing w:line="360" w:lineRule="auto"/>
        <w:ind w:firstLine="480" w:firstLineChars="200"/>
        <w:rPr>
          <w:rFonts w:hint="eastAsia"/>
          <w:color w:val="auto"/>
          <w:sz w:val="24"/>
          <w:szCs w:val="32"/>
          <w:lang w:eastAsia="zh-CN"/>
        </w:rPr>
      </w:pPr>
      <w:r>
        <w:rPr>
          <w:color w:val="auto"/>
          <w:sz w:val="24"/>
          <w:szCs w:val="32"/>
        </w:rPr>
        <w:t>（</w:t>
      </w:r>
      <w:r>
        <w:rPr>
          <w:rFonts w:hint="eastAsia"/>
          <w:color w:val="auto"/>
          <w:sz w:val="24"/>
          <w:szCs w:val="32"/>
          <w:lang w:val="en-US" w:eastAsia="zh-CN"/>
        </w:rPr>
        <w:t>18</w:t>
      </w:r>
      <w:r>
        <w:rPr>
          <w:color w:val="auto"/>
          <w:sz w:val="24"/>
          <w:szCs w:val="32"/>
        </w:rPr>
        <w:t>）</w:t>
      </w:r>
      <w:r>
        <w:rPr>
          <w:rFonts w:hint="eastAsia"/>
          <w:color w:val="auto"/>
          <w:sz w:val="24"/>
          <w:szCs w:val="32"/>
        </w:rPr>
        <w:t>安徽华昱铝业有限公司年产5万吨再生铝综合利用及1万吨铜制品项目（二期）</w:t>
      </w:r>
      <w:r>
        <w:rPr>
          <w:rFonts w:hint="eastAsia"/>
          <w:color w:val="auto"/>
          <w:sz w:val="24"/>
          <w:szCs w:val="32"/>
          <w:lang w:eastAsia="zh-CN"/>
        </w:rPr>
        <w:t>；</w:t>
      </w:r>
    </w:p>
    <w:p w14:paraId="7FEE281C">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19</w:t>
      </w:r>
      <w:r>
        <w:rPr>
          <w:rFonts w:hint="eastAsia"/>
          <w:color w:val="auto"/>
          <w:sz w:val="24"/>
          <w:szCs w:val="32"/>
          <w:lang w:eastAsia="zh-CN"/>
        </w:rPr>
        <w:t>）安徽亚明铝业科技有限公司高速电子铝箔生产线建设项目；</w:t>
      </w:r>
    </w:p>
    <w:p w14:paraId="1641755B">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20</w:t>
      </w:r>
      <w:r>
        <w:rPr>
          <w:rFonts w:hint="eastAsia"/>
          <w:color w:val="auto"/>
          <w:sz w:val="24"/>
          <w:szCs w:val="32"/>
          <w:lang w:eastAsia="zh-CN"/>
        </w:rPr>
        <w:t>）安徽中基电池箔科技有限公司年产15000吨涂布铝箔项目；</w:t>
      </w:r>
    </w:p>
    <w:p w14:paraId="0403A77B">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21</w:t>
      </w:r>
      <w:r>
        <w:rPr>
          <w:rFonts w:hint="eastAsia"/>
          <w:color w:val="auto"/>
          <w:sz w:val="24"/>
          <w:szCs w:val="32"/>
          <w:lang w:eastAsia="zh-CN"/>
        </w:rPr>
        <w:t>）安徽天诺制动系统有限公司年产1000万套制动总成碟刹和碟刹盘迁建项目；</w:t>
      </w:r>
    </w:p>
    <w:p w14:paraId="18E2E539">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22</w:t>
      </w:r>
      <w:r>
        <w:rPr>
          <w:rFonts w:hint="eastAsia"/>
          <w:color w:val="auto"/>
          <w:sz w:val="24"/>
          <w:szCs w:val="32"/>
          <w:lang w:eastAsia="zh-CN"/>
        </w:rPr>
        <w:t>）安徽理士新能源系统部件开发有限公司年产9850吨（8300万件）电池组部件生产线项目</w:t>
      </w:r>
    </w:p>
    <w:p w14:paraId="768853D2">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23</w:t>
      </w:r>
      <w:r>
        <w:rPr>
          <w:rFonts w:hint="eastAsia"/>
          <w:color w:val="auto"/>
          <w:sz w:val="24"/>
          <w:szCs w:val="32"/>
          <w:lang w:eastAsia="zh-CN"/>
        </w:rPr>
        <w:t>）安徽鑫发铜业有限公司年产8万吨铜杆、铜排（覆锡）建设项目。</w:t>
      </w:r>
    </w:p>
    <w:p w14:paraId="379294A8">
      <w:pPr>
        <w:spacing w:line="360" w:lineRule="auto"/>
        <w:ind w:firstLine="480" w:firstLineChars="200"/>
        <w:rPr>
          <w:color w:val="auto"/>
          <w:sz w:val="24"/>
          <w:szCs w:val="32"/>
        </w:rPr>
      </w:pPr>
      <w:r>
        <w:rPr>
          <w:color w:val="auto"/>
          <w:sz w:val="24"/>
          <w:szCs w:val="32"/>
        </w:rPr>
        <w:t>这些项目中的主要污染物包括本项目主要废气污染物</w:t>
      </w:r>
      <w:r>
        <w:rPr>
          <w:rFonts w:hint="eastAsia"/>
          <w:color w:val="auto"/>
          <w:sz w:val="24"/>
          <w:szCs w:val="32"/>
          <w:lang w:val="en-US" w:eastAsia="zh-CN"/>
        </w:rPr>
        <w:t>颗粒物、二氧化硫、氮氧化物</w:t>
      </w:r>
      <w:r>
        <w:rPr>
          <w:color w:val="auto"/>
          <w:sz w:val="24"/>
          <w:szCs w:val="32"/>
        </w:rPr>
        <w:t>，使得区域内同类污染源排放点增加。</w:t>
      </w:r>
    </w:p>
    <w:p w14:paraId="0D5DC0E9">
      <w:pPr>
        <w:spacing w:line="360" w:lineRule="auto"/>
        <w:outlineLvl w:val="1"/>
        <w:rPr>
          <w:b/>
          <w:bCs/>
          <w:color w:val="auto"/>
          <w:sz w:val="28"/>
          <w:szCs w:val="36"/>
        </w:rPr>
      </w:pPr>
      <w:bookmarkStart w:id="297" w:name="_Toc957"/>
      <w:r>
        <w:rPr>
          <w:b/>
          <w:bCs/>
          <w:color w:val="auto"/>
          <w:sz w:val="28"/>
          <w:szCs w:val="36"/>
        </w:rPr>
        <w:t>4.3环境质量现状</w:t>
      </w:r>
      <w:bookmarkEnd w:id="297"/>
    </w:p>
    <w:p w14:paraId="60BE4FE2">
      <w:pPr>
        <w:spacing w:line="360" w:lineRule="auto"/>
        <w:outlineLvl w:val="2"/>
        <w:rPr>
          <w:b/>
          <w:bCs/>
          <w:color w:val="auto"/>
          <w:sz w:val="24"/>
        </w:rPr>
      </w:pPr>
      <w:r>
        <w:rPr>
          <w:b/>
          <w:bCs/>
          <w:color w:val="auto"/>
          <w:sz w:val="24"/>
        </w:rPr>
        <w:t>4.3.1大气环境质量现状</w:t>
      </w:r>
    </w:p>
    <w:p w14:paraId="000B7582">
      <w:pPr>
        <w:spacing w:line="360" w:lineRule="auto"/>
        <w:ind w:firstLine="480" w:firstLineChars="200"/>
        <w:rPr>
          <w:rFonts w:hint="default" w:eastAsia="宋体"/>
          <w:color w:val="auto"/>
          <w:sz w:val="24"/>
          <w:szCs w:val="32"/>
          <w:lang w:val="en-US" w:eastAsia="zh-CN"/>
        </w:rPr>
      </w:pPr>
      <w:bookmarkStart w:id="298" w:name="_Toc8555"/>
      <w:bookmarkStart w:id="299" w:name="_Toc30752"/>
      <w:r>
        <w:rPr>
          <w:color w:val="auto"/>
          <w:sz w:val="24"/>
          <w:szCs w:val="32"/>
        </w:rPr>
        <w:t>1、</w:t>
      </w:r>
      <w:bookmarkEnd w:id="298"/>
      <w:bookmarkEnd w:id="299"/>
      <w:r>
        <w:rPr>
          <w:rFonts w:hint="eastAsia"/>
          <w:color w:val="auto"/>
          <w:sz w:val="24"/>
          <w:szCs w:val="32"/>
          <w:lang w:val="en-US" w:eastAsia="zh-CN"/>
        </w:rPr>
        <w:t>基本污染物</w:t>
      </w:r>
    </w:p>
    <w:p w14:paraId="52A7BEFD">
      <w:pPr>
        <w:spacing w:line="360" w:lineRule="auto"/>
        <w:ind w:firstLine="480" w:firstLineChars="200"/>
        <w:rPr>
          <w:color w:val="auto"/>
          <w:sz w:val="24"/>
          <w:szCs w:val="32"/>
        </w:rPr>
      </w:pPr>
      <w:r>
        <w:rPr>
          <w:color w:val="auto"/>
          <w:sz w:val="24"/>
          <w:szCs w:val="32"/>
        </w:rPr>
        <w:t>根据《环境影响评价技术导则 大气环境》（HJ2.2-2018）要求，本项目所在区域环境空气达标情况评价指标为SO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、PM</w:t>
      </w:r>
      <w:r>
        <w:rPr>
          <w:color w:val="auto"/>
          <w:sz w:val="24"/>
          <w:szCs w:val="32"/>
          <w:vertAlign w:val="subscript"/>
        </w:rPr>
        <w:t>2.5</w:t>
      </w:r>
      <w:r>
        <w:rPr>
          <w:color w:val="auto"/>
          <w:sz w:val="24"/>
          <w:szCs w:val="32"/>
        </w:rPr>
        <w:t>、CO和O</w:t>
      </w:r>
      <w:r>
        <w:rPr>
          <w:color w:val="auto"/>
          <w:sz w:val="24"/>
          <w:szCs w:val="32"/>
          <w:vertAlign w:val="subscript"/>
        </w:rPr>
        <w:t>3</w:t>
      </w:r>
      <w:r>
        <w:rPr>
          <w:color w:val="auto"/>
          <w:sz w:val="24"/>
          <w:szCs w:val="32"/>
        </w:rPr>
        <w:t>，六项基本污染物全部达标即为城市环境空气质量达标。基本污染物环境质量现状数据优先采用国家或地方生态环境主管部门发布的评价基准年环境质量公告或环境质量报告中的数据或结论。</w:t>
      </w:r>
    </w:p>
    <w:p w14:paraId="0856C3AF">
      <w:pPr>
        <w:spacing w:line="360" w:lineRule="auto"/>
        <w:ind w:firstLine="480" w:firstLineChars="200"/>
        <w:rPr>
          <w:color w:val="auto"/>
          <w:sz w:val="24"/>
          <w:szCs w:val="32"/>
        </w:rPr>
      </w:pPr>
      <w:r>
        <w:rPr>
          <w:color w:val="auto"/>
          <w:sz w:val="24"/>
          <w:szCs w:val="32"/>
        </w:rPr>
        <w:t>本次评价采用淮北市生态环境局发布的《2024年度淮北市生态环境状况公报》中的数据，对区域达标情况进行判定，具体结果见下表：</w:t>
      </w:r>
    </w:p>
    <w:p w14:paraId="039DD48A">
      <w:pPr>
        <w:spacing w:line="360" w:lineRule="auto"/>
        <w:jc w:val="center"/>
        <w:rPr>
          <w:b/>
          <w:bCs/>
          <w:color w:val="auto"/>
          <w:sz w:val="24"/>
          <w:szCs w:val="32"/>
        </w:rPr>
      </w:pPr>
      <w:r>
        <w:rPr>
          <w:b/>
          <w:bCs/>
          <w:color w:val="auto"/>
          <w:sz w:val="24"/>
          <w:szCs w:val="32"/>
        </w:rPr>
        <w:t>表4-1 区域空气质量现状评价表</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7259EE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8EF5BF1">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71A71406">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31B8247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005BAD7F">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581B807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321BDF80">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3FB7C7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F306B4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7F90EAB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5888F65">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239" w:type="dxa"/>
            <w:tcBorders>
              <w:tl2br w:val="nil"/>
              <w:tr2bl w:val="nil"/>
            </w:tcBorders>
            <w:vAlign w:val="center"/>
          </w:tcPr>
          <w:p w14:paraId="12F202B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695EE50B">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100</w:t>
            </w:r>
          </w:p>
        </w:tc>
        <w:tc>
          <w:tcPr>
            <w:tcW w:w="1151" w:type="dxa"/>
            <w:tcBorders>
              <w:tl2br w:val="nil"/>
              <w:tr2bl w:val="nil"/>
            </w:tcBorders>
            <w:vAlign w:val="center"/>
          </w:tcPr>
          <w:p w14:paraId="7885CA8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0B462F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085C4379">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56953533">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3526C0D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43μg/m³</w:t>
            </w:r>
          </w:p>
        </w:tc>
        <w:tc>
          <w:tcPr>
            <w:tcW w:w="1239" w:type="dxa"/>
            <w:tcBorders>
              <w:tl2br w:val="nil"/>
              <w:tr2bl w:val="nil"/>
            </w:tcBorders>
            <w:vAlign w:val="center"/>
          </w:tcPr>
          <w:p w14:paraId="2AC1C83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672B797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122.9</w:t>
            </w:r>
          </w:p>
        </w:tc>
        <w:tc>
          <w:tcPr>
            <w:tcW w:w="1151" w:type="dxa"/>
            <w:tcBorders>
              <w:tl2br w:val="nil"/>
              <w:tr2bl w:val="nil"/>
            </w:tcBorders>
            <w:vAlign w:val="center"/>
          </w:tcPr>
          <w:p w14:paraId="09E0AC7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66FDF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EA5612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498D1B8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4565649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6μg/m³</w:t>
            </w:r>
          </w:p>
        </w:tc>
        <w:tc>
          <w:tcPr>
            <w:tcW w:w="1239" w:type="dxa"/>
            <w:tcBorders>
              <w:tl2br w:val="nil"/>
              <w:tr2bl w:val="nil"/>
            </w:tcBorders>
            <w:vAlign w:val="center"/>
          </w:tcPr>
          <w:p w14:paraId="5DD0627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1E5F8F16">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w:t>
            </w:r>
          </w:p>
        </w:tc>
        <w:tc>
          <w:tcPr>
            <w:tcW w:w="1151" w:type="dxa"/>
            <w:tcBorders>
              <w:tl2br w:val="nil"/>
              <w:tr2bl w:val="nil"/>
            </w:tcBorders>
            <w:vAlign w:val="center"/>
          </w:tcPr>
          <w:p w14:paraId="5300F68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658BDA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6F7DB3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5DA0A2E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695F89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19μg/m³</w:t>
            </w:r>
          </w:p>
        </w:tc>
        <w:tc>
          <w:tcPr>
            <w:tcW w:w="1239" w:type="dxa"/>
            <w:tcBorders>
              <w:tl2br w:val="nil"/>
              <w:tr2bl w:val="nil"/>
            </w:tcBorders>
            <w:vAlign w:val="center"/>
          </w:tcPr>
          <w:p w14:paraId="726EAB0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1AA4BE4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47.5</w:t>
            </w:r>
          </w:p>
        </w:tc>
        <w:tc>
          <w:tcPr>
            <w:tcW w:w="1151" w:type="dxa"/>
            <w:tcBorders>
              <w:tl2br w:val="nil"/>
              <w:tr2bl w:val="nil"/>
            </w:tcBorders>
            <w:vAlign w:val="center"/>
          </w:tcPr>
          <w:p w14:paraId="3D25932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5795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15784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558FBC9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0642C53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1.0mg/m³</w:t>
            </w:r>
          </w:p>
        </w:tc>
        <w:tc>
          <w:tcPr>
            <w:tcW w:w="1239" w:type="dxa"/>
            <w:tcBorders>
              <w:tl2br w:val="nil"/>
              <w:tr2bl w:val="nil"/>
            </w:tcBorders>
            <w:vAlign w:val="center"/>
          </w:tcPr>
          <w:p w14:paraId="4A93EEE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2841B2D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25</w:t>
            </w:r>
          </w:p>
        </w:tc>
        <w:tc>
          <w:tcPr>
            <w:tcW w:w="1151" w:type="dxa"/>
            <w:tcBorders>
              <w:tl2br w:val="nil"/>
              <w:tr2bl w:val="nil"/>
            </w:tcBorders>
            <w:vAlign w:val="center"/>
          </w:tcPr>
          <w:p w14:paraId="7B75E90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4BFDEA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A1765B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7EA6EC7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64CB2F4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175μg/m³</w:t>
            </w:r>
          </w:p>
        </w:tc>
        <w:tc>
          <w:tcPr>
            <w:tcW w:w="1239" w:type="dxa"/>
            <w:tcBorders>
              <w:tl2br w:val="nil"/>
              <w:tr2bl w:val="nil"/>
            </w:tcBorders>
            <w:vAlign w:val="center"/>
          </w:tcPr>
          <w:p w14:paraId="61E2B0A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09FF76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109.4</w:t>
            </w:r>
          </w:p>
        </w:tc>
        <w:tc>
          <w:tcPr>
            <w:tcW w:w="1151" w:type="dxa"/>
            <w:tcBorders>
              <w:tl2br w:val="nil"/>
              <w:tr2bl w:val="nil"/>
            </w:tcBorders>
            <w:vAlign w:val="center"/>
          </w:tcPr>
          <w:p w14:paraId="23E2B9C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bl>
    <w:p w14:paraId="43E6C9A8">
      <w:pPr>
        <w:spacing w:before="120" w:beforeLines="50" w:line="240" w:lineRule="auto"/>
        <w:rPr>
          <w:rFonts w:hint="eastAsia" w:eastAsia="宋体"/>
          <w:color w:val="auto"/>
          <w:sz w:val="21"/>
          <w:szCs w:val="24"/>
          <w:lang w:val="en-US" w:eastAsia="zh-CN"/>
        </w:rPr>
      </w:pPr>
      <w:r>
        <w:rPr>
          <w:rFonts w:hint="eastAsia"/>
          <w:color w:val="auto"/>
          <w:sz w:val="21"/>
          <w:szCs w:val="24"/>
          <w:lang w:val="en-US" w:eastAsia="zh-CN"/>
        </w:rPr>
        <w:t>注：由于《环境空气质量标准》（GB3095-2026）实施时间为2026年3月1日，本项目环境空气质量现状评价中六项基本污染物引用</w:t>
      </w:r>
      <w:r>
        <w:rPr>
          <w:color w:val="auto"/>
          <w:sz w:val="21"/>
          <w:szCs w:val="24"/>
        </w:rPr>
        <w:t>《2024年度淮北市生态环境状况公报》</w:t>
      </w:r>
      <w:r>
        <w:rPr>
          <w:rFonts w:hint="eastAsia"/>
          <w:color w:val="auto"/>
          <w:sz w:val="21"/>
          <w:szCs w:val="24"/>
          <w:lang w:val="en-US" w:eastAsia="zh-CN"/>
        </w:rPr>
        <w:t>数据，故环境空气质量现状评价各污染物质量浓度标准值为《环境空气质量标准》（GB3095-2012）中数值。</w:t>
      </w:r>
    </w:p>
    <w:p w14:paraId="670E775F">
      <w:pPr>
        <w:spacing w:before="120" w:beforeLines="50" w:line="360" w:lineRule="auto"/>
        <w:ind w:firstLine="480" w:firstLineChars="200"/>
        <w:rPr>
          <w:color w:val="auto"/>
          <w:sz w:val="24"/>
          <w:szCs w:val="32"/>
        </w:rPr>
      </w:pPr>
      <w:r>
        <w:rPr>
          <w:color w:val="auto"/>
          <w:sz w:val="24"/>
          <w:szCs w:val="32"/>
        </w:rPr>
        <w:t>根据上表可知，淮北市PM</w:t>
      </w:r>
      <w:r>
        <w:rPr>
          <w:color w:val="auto"/>
          <w:sz w:val="24"/>
          <w:szCs w:val="32"/>
          <w:vertAlign w:val="subscript"/>
        </w:rPr>
        <w:t>2.5</w:t>
      </w:r>
      <w:r>
        <w:rPr>
          <w:color w:val="auto"/>
          <w:sz w:val="24"/>
          <w:szCs w:val="32"/>
        </w:rPr>
        <w:t>、</w:t>
      </w:r>
      <w:r>
        <w:rPr>
          <w:color w:val="auto"/>
          <w:szCs w:val="21"/>
        </w:rPr>
        <w:t>O</w:t>
      </w:r>
      <w:r>
        <w:rPr>
          <w:color w:val="auto"/>
          <w:szCs w:val="21"/>
          <w:vertAlign w:val="subscript"/>
        </w:rPr>
        <w:t>3</w:t>
      </w:r>
      <w:r>
        <w:rPr>
          <w:color w:val="auto"/>
          <w:sz w:val="24"/>
          <w:szCs w:val="32"/>
        </w:rPr>
        <w:t>超标，因此，项目所在区域为不达标区。</w:t>
      </w:r>
    </w:p>
    <w:p w14:paraId="622423D0">
      <w:pPr>
        <w:numPr>
          <w:ilvl w:val="0"/>
          <w:numId w:val="0"/>
        </w:numPr>
        <w:spacing w:line="360" w:lineRule="auto"/>
        <w:ind w:left="0" w:leftChars="0" w:firstLine="480" w:firstLineChars="200"/>
        <w:rPr>
          <w:color w:val="auto"/>
          <w:sz w:val="24"/>
          <w:szCs w:val="32"/>
        </w:rPr>
      </w:pPr>
      <w:bookmarkStart w:id="300" w:name="_Toc8182"/>
      <w:bookmarkStart w:id="301" w:name="_Toc15853"/>
      <w:r>
        <w:rPr>
          <w:rFonts w:ascii="Times New Roman" w:hAnsi="Times New Roman" w:eastAsia="宋体" w:cs="Times New Roman"/>
          <w:color w:val="auto"/>
          <w:kern w:val="2"/>
          <w:sz w:val="24"/>
          <w:szCs w:val="32"/>
          <w:lang w:val="en-US" w:eastAsia="zh-CN" w:bidi="ar-SA"/>
        </w:rPr>
        <w:t>1、</w:t>
      </w:r>
      <w:r>
        <w:rPr>
          <w:color w:val="auto"/>
          <w:sz w:val="24"/>
          <w:szCs w:val="32"/>
        </w:rPr>
        <w:t>其他污染物</w:t>
      </w:r>
      <w:bookmarkEnd w:id="300"/>
      <w:bookmarkEnd w:id="301"/>
    </w:p>
    <w:p w14:paraId="4921DA2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color w:val="auto"/>
          <w:sz w:val="24"/>
          <w:szCs w:val="32"/>
          <w:lang w:val="en-US" w:eastAsia="zh-CN"/>
        </w:rPr>
      </w:pPr>
      <w:r>
        <w:rPr>
          <w:color w:val="auto"/>
          <w:sz w:val="24"/>
          <w:szCs w:val="32"/>
        </w:rPr>
        <w:t>项目其他污染物为TSP、</w:t>
      </w:r>
      <w:r>
        <w:rPr>
          <w:rFonts w:hint="eastAsia"/>
          <w:color w:val="auto"/>
          <w:sz w:val="24"/>
          <w:szCs w:val="32"/>
          <w:lang w:val="en-US" w:eastAsia="zh-CN"/>
        </w:rPr>
        <w:t>氯化氢、氟化物、氨、二噁英类、铅、砷、铬、镉、锡及其化合物等。其中</w:t>
      </w:r>
      <w:r>
        <w:rPr>
          <w:color w:val="auto"/>
          <w:sz w:val="24"/>
          <w:szCs w:val="32"/>
        </w:rPr>
        <w:t>TSP</w:t>
      </w:r>
      <w:r>
        <w:rPr>
          <w:rFonts w:hint="eastAsia"/>
          <w:color w:val="auto"/>
          <w:sz w:val="24"/>
          <w:szCs w:val="32"/>
          <w:lang w:eastAsia="zh-CN"/>
        </w:rPr>
        <w:t>、</w:t>
      </w:r>
      <w:r>
        <w:rPr>
          <w:rFonts w:hint="eastAsia"/>
          <w:color w:val="auto"/>
          <w:sz w:val="24"/>
          <w:szCs w:val="32"/>
          <w:lang w:val="en-US" w:eastAsia="zh-CN"/>
        </w:rPr>
        <w:t>氯化氢、氟化物、氨、二噁英类引用《安徽濉溪经济开发区总体发展规划（2023～2035）环境影响报告书》中的“黄大庄”监测点位，监测时间为2023年7月6日～7月12日；铅、砷、铬、镉、锡及其化合物等引用《安徽雄创铝合金新型材料有限责任公司年产15万吨的新型铝合金项目环境影响报告书》中“朱楼村”监测点位，监测时间为2024年6月23日~6月29日。</w:t>
      </w:r>
    </w:p>
    <w:p w14:paraId="458D285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eastAsia="宋体"/>
          <w:color w:val="auto"/>
          <w:sz w:val="24"/>
          <w:szCs w:val="32"/>
          <w:lang w:val="en-US" w:eastAsia="zh-CN"/>
        </w:rPr>
      </w:pPr>
      <w:r>
        <w:rPr>
          <w:rFonts w:hint="eastAsia"/>
          <w:color w:val="auto"/>
          <w:sz w:val="24"/>
          <w:szCs w:val="32"/>
          <w:lang w:val="en-US" w:eastAsia="zh-CN"/>
        </w:rPr>
        <w:t>具体点位设置见表4-2和图4-1。</w:t>
      </w:r>
    </w:p>
    <w:p w14:paraId="00315C2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eastAsia="宋体"/>
          <w:b/>
          <w:bCs/>
          <w:color w:val="auto"/>
          <w:sz w:val="24"/>
          <w:szCs w:val="32"/>
          <w:lang w:val="en-US" w:eastAsia="zh-CN"/>
        </w:rPr>
      </w:pPr>
      <w:r>
        <w:rPr>
          <w:rFonts w:hint="eastAsia"/>
          <w:b/>
          <w:bCs/>
          <w:color w:val="auto"/>
          <w:sz w:val="24"/>
          <w:szCs w:val="32"/>
          <w:lang w:val="en-US" w:eastAsia="zh-CN"/>
        </w:rPr>
        <w:t>表4-2 特征污染物监测点位一览表</w:t>
      </w:r>
    </w:p>
    <w:tbl>
      <w:tblPr>
        <w:tblStyle w:val="31"/>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573"/>
        <w:gridCol w:w="2557"/>
        <w:gridCol w:w="1754"/>
        <w:gridCol w:w="1258"/>
        <w:gridCol w:w="1407"/>
        <w:gridCol w:w="1409"/>
      </w:tblGrid>
      <w:tr w14:paraId="67B932D9">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2" w:hRule="atLeast"/>
          <w:jc w:val="center"/>
        </w:trPr>
        <w:tc>
          <w:tcPr>
            <w:tcW w:w="789" w:type="pct"/>
            <w:vMerge w:val="restart"/>
            <w:tcBorders>
              <w:tl2br w:val="nil"/>
              <w:tr2bl w:val="nil"/>
            </w:tcBorders>
            <w:vAlign w:val="center"/>
          </w:tcPr>
          <w:p w14:paraId="219D7586">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监测点位</w:t>
            </w:r>
          </w:p>
        </w:tc>
        <w:tc>
          <w:tcPr>
            <w:tcW w:w="1283" w:type="pct"/>
            <w:vMerge w:val="restart"/>
            <w:tcBorders>
              <w:tl2br w:val="nil"/>
              <w:tr2bl w:val="nil"/>
            </w:tcBorders>
            <w:vAlign w:val="center"/>
          </w:tcPr>
          <w:p w14:paraId="01ACE20B">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监测时间</w:t>
            </w:r>
          </w:p>
        </w:tc>
        <w:tc>
          <w:tcPr>
            <w:tcW w:w="880" w:type="pct"/>
            <w:vMerge w:val="restart"/>
            <w:tcBorders>
              <w:tl2br w:val="nil"/>
              <w:tr2bl w:val="nil"/>
            </w:tcBorders>
            <w:vAlign w:val="center"/>
          </w:tcPr>
          <w:p w14:paraId="4D319820">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监测因子</w:t>
            </w:r>
          </w:p>
        </w:tc>
        <w:tc>
          <w:tcPr>
            <w:tcW w:w="631" w:type="pct"/>
            <w:vMerge w:val="restart"/>
            <w:tcBorders>
              <w:tl2br w:val="nil"/>
              <w:tr2bl w:val="nil"/>
            </w:tcBorders>
            <w:vAlign w:val="center"/>
          </w:tcPr>
          <w:p w14:paraId="0BC7006C">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相对厂址方位</w:t>
            </w:r>
          </w:p>
        </w:tc>
        <w:tc>
          <w:tcPr>
            <w:tcW w:w="706" w:type="pct"/>
            <w:vMerge w:val="restart"/>
            <w:tcBorders>
              <w:tl2br w:val="nil"/>
              <w:tr2bl w:val="nil"/>
            </w:tcBorders>
            <w:vAlign w:val="center"/>
          </w:tcPr>
          <w:p w14:paraId="32DC7010">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相对厂界距离/m</w:t>
            </w:r>
          </w:p>
        </w:tc>
        <w:tc>
          <w:tcPr>
            <w:tcW w:w="707" w:type="pct"/>
            <w:vMerge w:val="restart"/>
            <w:tcBorders>
              <w:tl2br w:val="nil"/>
              <w:tr2bl w:val="nil"/>
            </w:tcBorders>
            <w:vAlign w:val="center"/>
          </w:tcPr>
          <w:p w14:paraId="1992CC9E">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监测频次</w:t>
            </w:r>
          </w:p>
        </w:tc>
      </w:tr>
      <w:tr w14:paraId="05B9BF1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2" w:hRule="atLeast"/>
          <w:jc w:val="center"/>
        </w:trPr>
        <w:tc>
          <w:tcPr>
            <w:tcW w:w="789" w:type="pct"/>
            <w:vMerge w:val="continue"/>
            <w:tcBorders>
              <w:tl2br w:val="nil"/>
              <w:tr2bl w:val="nil"/>
            </w:tcBorders>
            <w:vAlign w:val="center"/>
          </w:tcPr>
          <w:p w14:paraId="466EEA8D">
            <w:pPr>
              <w:spacing w:line="320" w:lineRule="exact"/>
              <w:jc w:val="center"/>
              <w:rPr>
                <w:rFonts w:hint="default" w:ascii="Times New Roman" w:hAnsi="Times New Roman" w:eastAsia="宋体" w:cs="Times New Roman"/>
                <w:color w:val="auto"/>
                <w:sz w:val="21"/>
                <w:szCs w:val="21"/>
              </w:rPr>
            </w:pPr>
          </w:p>
        </w:tc>
        <w:tc>
          <w:tcPr>
            <w:tcW w:w="1283" w:type="pct"/>
            <w:vMerge w:val="continue"/>
            <w:tcBorders>
              <w:tl2br w:val="nil"/>
              <w:tr2bl w:val="nil"/>
            </w:tcBorders>
            <w:vAlign w:val="center"/>
          </w:tcPr>
          <w:p w14:paraId="0F132313">
            <w:pPr>
              <w:spacing w:line="320" w:lineRule="exact"/>
              <w:jc w:val="center"/>
              <w:rPr>
                <w:rFonts w:hint="default" w:ascii="Times New Roman" w:hAnsi="Times New Roman" w:eastAsia="宋体" w:cs="Times New Roman"/>
                <w:color w:val="auto"/>
                <w:sz w:val="21"/>
                <w:szCs w:val="21"/>
              </w:rPr>
            </w:pPr>
          </w:p>
        </w:tc>
        <w:tc>
          <w:tcPr>
            <w:tcW w:w="880" w:type="pct"/>
            <w:vMerge w:val="continue"/>
            <w:tcBorders>
              <w:tl2br w:val="nil"/>
              <w:tr2bl w:val="nil"/>
            </w:tcBorders>
            <w:vAlign w:val="center"/>
          </w:tcPr>
          <w:p w14:paraId="59F3C06C">
            <w:pPr>
              <w:spacing w:line="320" w:lineRule="exact"/>
              <w:jc w:val="center"/>
              <w:rPr>
                <w:rFonts w:hint="default" w:ascii="Times New Roman" w:hAnsi="Times New Roman" w:eastAsia="宋体" w:cs="Times New Roman"/>
                <w:color w:val="auto"/>
                <w:sz w:val="21"/>
                <w:szCs w:val="21"/>
              </w:rPr>
            </w:pPr>
          </w:p>
        </w:tc>
        <w:tc>
          <w:tcPr>
            <w:tcW w:w="631" w:type="pct"/>
            <w:vMerge w:val="continue"/>
            <w:tcBorders>
              <w:tl2br w:val="nil"/>
              <w:tr2bl w:val="nil"/>
            </w:tcBorders>
            <w:vAlign w:val="center"/>
          </w:tcPr>
          <w:p w14:paraId="72B5A832">
            <w:pPr>
              <w:spacing w:line="320" w:lineRule="exact"/>
              <w:jc w:val="center"/>
              <w:rPr>
                <w:rFonts w:hint="default" w:ascii="Times New Roman" w:hAnsi="Times New Roman" w:eastAsia="宋体" w:cs="Times New Roman"/>
                <w:color w:val="auto"/>
                <w:sz w:val="21"/>
                <w:szCs w:val="21"/>
              </w:rPr>
            </w:pPr>
          </w:p>
        </w:tc>
        <w:tc>
          <w:tcPr>
            <w:tcW w:w="706" w:type="pct"/>
            <w:vMerge w:val="continue"/>
            <w:tcBorders>
              <w:tl2br w:val="nil"/>
              <w:tr2bl w:val="nil"/>
            </w:tcBorders>
            <w:vAlign w:val="center"/>
          </w:tcPr>
          <w:p w14:paraId="2EE67A7D">
            <w:pPr>
              <w:spacing w:line="320" w:lineRule="exact"/>
              <w:jc w:val="center"/>
              <w:rPr>
                <w:rFonts w:hint="default" w:ascii="Times New Roman" w:hAnsi="Times New Roman" w:eastAsia="宋体" w:cs="Times New Roman"/>
                <w:color w:val="auto"/>
                <w:sz w:val="21"/>
                <w:szCs w:val="21"/>
              </w:rPr>
            </w:pPr>
          </w:p>
        </w:tc>
        <w:tc>
          <w:tcPr>
            <w:tcW w:w="707" w:type="pct"/>
            <w:vMerge w:val="continue"/>
            <w:tcBorders>
              <w:tl2br w:val="nil"/>
              <w:tr2bl w:val="nil"/>
            </w:tcBorders>
            <w:vAlign w:val="center"/>
          </w:tcPr>
          <w:p w14:paraId="0D4C4038">
            <w:pPr>
              <w:spacing w:line="320" w:lineRule="exact"/>
              <w:jc w:val="center"/>
              <w:rPr>
                <w:rFonts w:hint="default" w:ascii="Times New Roman" w:hAnsi="Times New Roman" w:eastAsia="宋体" w:cs="Times New Roman"/>
                <w:color w:val="auto"/>
                <w:sz w:val="21"/>
                <w:szCs w:val="21"/>
              </w:rPr>
            </w:pPr>
          </w:p>
        </w:tc>
      </w:tr>
      <w:tr w14:paraId="414E6A8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1179" w:hRule="atLeast"/>
          <w:jc w:val="center"/>
        </w:trPr>
        <w:tc>
          <w:tcPr>
            <w:tcW w:w="789" w:type="pct"/>
            <w:tcBorders>
              <w:tl2br w:val="nil"/>
              <w:tr2bl w:val="nil"/>
            </w:tcBorders>
            <w:vAlign w:val="center"/>
          </w:tcPr>
          <w:p w14:paraId="5314C116">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w:t>
            </w:r>
            <w:r>
              <w:rPr>
                <w:rFonts w:hint="default" w:ascii="Times New Roman" w:hAnsi="Times New Roman" w:eastAsia="宋体" w:cs="Times New Roman"/>
                <w:color w:val="auto"/>
                <w:sz w:val="21"/>
                <w:szCs w:val="21"/>
                <w:vertAlign w:val="subscript"/>
              </w:rPr>
              <w:t>1</w:t>
            </w:r>
            <w:r>
              <w:rPr>
                <w:rFonts w:hint="default" w:ascii="Times New Roman" w:hAnsi="Times New Roman" w:eastAsia="宋体" w:cs="Times New Roman"/>
                <w:color w:val="auto"/>
                <w:sz w:val="21"/>
                <w:szCs w:val="21"/>
              </w:rPr>
              <w:t>黄大庄</w:t>
            </w:r>
          </w:p>
        </w:tc>
        <w:tc>
          <w:tcPr>
            <w:tcW w:w="1283" w:type="pct"/>
            <w:tcBorders>
              <w:tl2br w:val="nil"/>
              <w:tr2bl w:val="nil"/>
            </w:tcBorders>
            <w:vAlign w:val="center"/>
          </w:tcPr>
          <w:p w14:paraId="3A24B4E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2023年7月6日~12日</w:t>
            </w:r>
          </w:p>
        </w:tc>
        <w:tc>
          <w:tcPr>
            <w:tcW w:w="880" w:type="pct"/>
            <w:tcBorders>
              <w:tl2br w:val="nil"/>
              <w:tr2bl w:val="nil"/>
            </w:tcBorders>
            <w:vAlign w:val="center"/>
          </w:tcPr>
          <w:p w14:paraId="7B3080BB">
            <w:pPr>
              <w:spacing w:line="320" w:lineRule="exac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TSP、氯化氢、氟化物、氨、二噁英类</w:t>
            </w:r>
          </w:p>
        </w:tc>
        <w:tc>
          <w:tcPr>
            <w:tcW w:w="1258" w:type="dxa"/>
            <w:tcBorders>
              <w:tl2br w:val="nil"/>
              <w:tr2bl w:val="nil"/>
            </w:tcBorders>
            <w:vAlign w:val="center"/>
          </w:tcPr>
          <w:p w14:paraId="2E6D362A">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SW</w:t>
            </w:r>
          </w:p>
        </w:tc>
        <w:tc>
          <w:tcPr>
            <w:tcW w:w="1407" w:type="dxa"/>
            <w:tcBorders>
              <w:tl2br w:val="nil"/>
              <w:tr2bl w:val="nil"/>
            </w:tcBorders>
            <w:vAlign w:val="center"/>
          </w:tcPr>
          <w:p w14:paraId="6D38928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2209</w:t>
            </w:r>
          </w:p>
        </w:tc>
        <w:tc>
          <w:tcPr>
            <w:tcW w:w="707" w:type="pct"/>
            <w:vMerge w:val="restart"/>
            <w:tcBorders>
              <w:tl2br w:val="nil"/>
              <w:tr2bl w:val="nil"/>
            </w:tcBorders>
            <w:vAlign w:val="center"/>
          </w:tcPr>
          <w:p w14:paraId="63201399">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连续监测七天</w:t>
            </w:r>
          </w:p>
        </w:tc>
      </w:tr>
      <w:tr w14:paraId="14CA4A2E">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93" w:hRule="atLeast"/>
          <w:jc w:val="center"/>
        </w:trPr>
        <w:tc>
          <w:tcPr>
            <w:tcW w:w="789" w:type="pct"/>
            <w:tcBorders>
              <w:tl2br w:val="nil"/>
              <w:tr2bl w:val="nil"/>
            </w:tcBorders>
            <w:vAlign w:val="center"/>
          </w:tcPr>
          <w:p w14:paraId="19560D77">
            <w:pPr>
              <w:spacing w:line="320" w:lineRule="exact"/>
              <w:ind w:left="174"/>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G</w:t>
            </w:r>
            <w:r>
              <w:rPr>
                <w:rFonts w:hint="default" w:ascii="Times New Roman" w:hAnsi="Times New Roman" w:eastAsia="宋体" w:cs="Times New Roman"/>
                <w:color w:val="auto"/>
                <w:sz w:val="21"/>
                <w:szCs w:val="21"/>
                <w:vertAlign w:val="subscript"/>
              </w:rPr>
              <w:t>2</w:t>
            </w:r>
            <w:r>
              <w:rPr>
                <w:rFonts w:hint="eastAsia" w:cs="Times New Roman"/>
                <w:color w:val="auto"/>
                <w:sz w:val="21"/>
                <w:szCs w:val="21"/>
                <w:lang w:val="en-US" w:eastAsia="zh-CN"/>
              </w:rPr>
              <w:t>朱楼村</w:t>
            </w:r>
          </w:p>
        </w:tc>
        <w:tc>
          <w:tcPr>
            <w:tcW w:w="1283" w:type="pct"/>
            <w:tcBorders>
              <w:tl2br w:val="nil"/>
              <w:tr2bl w:val="nil"/>
            </w:tcBorders>
            <w:vAlign w:val="center"/>
          </w:tcPr>
          <w:p w14:paraId="07DC80C0">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4"/>
                <w:lang w:val="en-US" w:eastAsia="zh-CN"/>
              </w:rPr>
              <w:t>2024年6月23日~29日</w:t>
            </w:r>
          </w:p>
        </w:tc>
        <w:tc>
          <w:tcPr>
            <w:tcW w:w="880" w:type="pct"/>
            <w:tcBorders>
              <w:tl2br w:val="nil"/>
              <w:tr2bl w:val="nil"/>
            </w:tcBorders>
            <w:vAlign w:val="center"/>
          </w:tcPr>
          <w:p w14:paraId="0078D9CB">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铅、砷、铬、镉、锡及其化合物</w:t>
            </w:r>
          </w:p>
        </w:tc>
        <w:tc>
          <w:tcPr>
            <w:tcW w:w="631" w:type="pct"/>
            <w:tcBorders>
              <w:tl2br w:val="nil"/>
              <w:tr2bl w:val="nil"/>
            </w:tcBorders>
            <w:vAlign w:val="center"/>
          </w:tcPr>
          <w:p w14:paraId="1C1BBE57">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SW</w:t>
            </w:r>
          </w:p>
        </w:tc>
        <w:tc>
          <w:tcPr>
            <w:tcW w:w="706" w:type="pct"/>
            <w:tcBorders>
              <w:tl2br w:val="nil"/>
              <w:tr2bl w:val="nil"/>
            </w:tcBorders>
            <w:vAlign w:val="center"/>
          </w:tcPr>
          <w:p w14:paraId="06A4A82B">
            <w:pPr>
              <w:spacing w:line="320" w:lineRule="exac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1</w:t>
            </w:r>
            <w:r>
              <w:rPr>
                <w:rFonts w:hint="eastAsia" w:cs="Times New Roman"/>
                <w:color w:val="auto"/>
                <w:sz w:val="21"/>
                <w:szCs w:val="21"/>
                <w:lang w:val="en-US" w:eastAsia="zh-CN"/>
              </w:rPr>
              <w:t>807</w:t>
            </w:r>
          </w:p>
        </w:tc>
        <w:tc>
          <w:tcPr>
            <w:tcW w:w="707" w:type="pct"/>
            <w:vMerge w:val="continue"/>
            <w:tcBorders>
              <w:tl2br w:val="nil"/>
              <w:tr2bl w:val="nil"/>
            </w:tcBorders>
            <w:vAlign w:val="center"/>
          </w:tcPr>
          <w:p w14:paraId="2017855E">
            <w:pPr>
              <w:spacing w:line="320" w:lineRule="exact"/>
              <w:jc w:val="center"/>
              <w:rPr>
                <w:rFonts w:hint="default" w:ascii="Times New Roman" w:hAnsi="Times New Roman" w:eastAsia="宋体" w:cs="Times New Roman"/>
                <w:color w:val="auto"/>
                <w:sz w:val="21"/>
                <w:szCs w:val="21"/>
              </w:rPr>
            </w:pPr>
          </w:p>
        </w:tc>
      </w:tr>
    </w:tbl>
    <w:p w14:paraId="2BA6C071">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auto"/>
          <w:sz w:val="24"/>
          <w:szCs w:val="32"/>
        </w:rPr>
      </w:pPr>
    </w:p>
    <w:p w14:paraId="1C318C0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color w:val="auto"/>
          <w:sz w:val="24"/>
          <w:szCs w:val="32"/>
        </w:rPr>
      </w:pPr>
      <w:r>
        <w:rPr>
          <w:color w:val="auto"/>
          <w:sz w:val="24"/>
        </w:rPr>
        <mc:AlternateContent>
          <mc:Choice Requires="wps">
            <w:drawing>
              <wp:anchor distT="0" distB="0" distL="114300" distR="114300" simplePos="0" relativeHeight="251794432" behindDoc="0" locked="0" layoutInCell="1" allowOverlap="1">
                <wp:simplePos x="0" y="0"/>
                <wp:positionH relativeFrom="column">
                  <wp:posOffset>548005</wp:posOffset>
                </wp:positionH>
                <wp:positionV relativeFrom="paragraph">
                  <wp:posOffset>3752850</wp:posOffset>
                </wp:positionV>
                <wp:extent cx="171450" cy="177800"/>
                <wp:effectExtent l="4445" t="4445" r="14605" b="8255"/>
                <wp:wrapNone/>
                <wp:docPr id="179" name="椭圆 179"/>
                <wp:cNvGraphicFramePr/>
                <a:graphic xmlns:a="http://schemas.openxmlformats.org/drawingml/2006/main">
                  <a:graphicData uri="http://schemas.microsoft.com/office/word/2010/wordprocessingShape">
                    <wps:wsp>
                      <wps:cNvSpPr/>
                      <wps:spPr>
                        <a:xfrm>
                          <a:off x="0" y="0"/>
                          <a:ext cx="171450" cy="1778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3.15pt;margin-top:295.5pt;height:14pt;width:13.5pt;z-index:251794432;v-text-anchor:middle;mso-width-relative:page;mso-height-relative:page;" fillcolor="#FFFF00" filled="t" stroked="t" coordsize="21600,21600" o:gfxdata="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Db7TZvXAAAACgEAAA8AAAAAAAAAAQAgAAAAIgAA&#10;AGRycy9kb3ducmV2LnhtbFBLAQIUABQAAAAIAIdO4kBO1ccDewIAAAQFAAAOAAAAAAAAAAEAIAAA&#10;ACYBAABkcnMvZTJvRG9jLnhtbFBLBQYAAAAABgAGAFkBAAATBgAAAAA=&#1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793408" behindDoc="0" locked="0" layoutInCell="1" allowOverlap="1">
                <wp:simplePos x="0" y="0"/>
                <wp:positionH relativeFrom="column">
                  <wp:posOffset>516255</wp:posOffset>
                </wp:positionH>
                <wp:positionV relativeFrom="paragraph">
                  <wp:posOffset>3517900</wp:posOffset>
                </wp:positionV>
                <wp:extent cx="234950" cy="127000"/>
                <wp:effectExtent l="6350" t="6350" r="6350" b="19050"/>
                <wp:wrapNone/>
                <wp:docPr id="178" name="矩形 178"/>
                <wp:cNvGraphicFramePr/>
                <a:graphic xmlns:a="http://schemas.openxmlformats.org/drawingml/2006/main">
                  <a:graphicData uri="http://schemas.microsoft.com/office/word/2010/wordprocessingShape">
                    <wps:wsp>
                      <wps:cNvSpPr/>
                      <wps:spPr>
                        <a:xfrm>
                          <a:off x="1233805" y="8545195"/>
                          <a:ext cx="234950" cy="127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65pt;margin-top:277pt;height:10pt;width:18.5pt;z-index:251793408;v-text-anchor:middle;mso-width-relative:page;mso-height-relative:page;" filled="f" stroked="t" coordsize="21600,21600" o:gfxdata="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mMQ0vtUAAAAKAQAADwAAAAAAAAABACAAAAAiAAAAZHJzL2Rvd25yZXYueG1sUEsB&#10;AhQAFAAAAAgAh07iQJAVNSRqAgAAwwQAAA4AAAAAAAAAAQAgAAAAJAEAAGRycy9lMm9Eb2MueG1s&#10;UEsFBgAAAAAGAAYAWQEAAAAGAAAAAA==&#10;">
                <v:fill on="f" focussize="0,0"/>
                <v:stroke weight="1pt" color="#FF0000 [2404]" joinstyle="round"/>
                <v:imagedata o:title=""/>
                <o:lock v:ext="edit" aspectratio="f"/>
              </v:rect>
            </w:pict>
          </mc:Fallback>
        </mc:AlternateContent>
      </w:r>
      <w:r>
        <w:rPr>
          <w:color w:val="auto"/>
        </w:rPr>
        <w:drawing>
          <wp:anchor distT="0" distB="0" distL="114300" distR="114300" simplePos="0" relativeHeight="251791360" behindDoc="0" locked="0" layoutInCell="1" allowOverlap="1">
            <wp:simplePos x="0" y="0"/>
            <wp:positionH relativeFrom="column">
              <wp:posOffset>5110480</wp:posOffset>
            </wp:positionH>
            <wp:positionV relativeFrom="paragraph">
              <wp:posOffset>40005</wp:posOffset>
            </wp:positionV>
            <wp:extent cx="758190" cy="1022985"/>
            <wp:effectExtent l="0" t="0" r="3810" b="5715"/>
            <wp:wrapNone/>
            <wp:docPr id="176" name="图片 176"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风向标"/>
                    <pic:cNvPicPr>
                      <a:picLocks noChangeAspect="1"/>
                    </pic:cNvPicPr>
                  </pic:nvPicPr>
                  <pic:blipFill>
                    <a:blip r:embed="rId18"/>
                    <a:srcRect l="8090" t="1916" r="5231" b="6034"/>
                    <a:stretch>
                      <a:fillRect/>
                    </a:stretch>
                  </pic:blipFill>
                  <pic:spPr>
                    <a:xfrm>
                      <a:off x="0" y="0"/>
                      <a:ext cx="758190" cy="1022985"/>
                    </a:xfrm>
                    <a:prstGeom prst="rect">
                      <a:avLst/>
                    </a:prstGeom>
                  </pic:spPr>
                </pic:pic>
              </a:graphicData>
            </a:graphic>
          </wp:anchor>
        </w:drawing>
      </w:r>
      <w:r>
        <w:rPr>
          <w:color w:val="auto"/>
          <w:sz w:val="21"/>
        </w:rPr>
        <mc:AlternateContent>
          <mc:Choice Requires="wps">
            <w:drawing>
              <wp:anchor distT="0" distB="0" distL="114300" distR="114300" simplePos="0" relativeHeight="251792384" behindDoc="0" locked="0" layoutInCell="1" allowOverlap="1">
                <wp:simplePos x="0" y="0"/>
                <wp:positionH relativeFrom="column">
                  <wp:posOffset>478790</wp:posOffset>
                </wp:positionH>
                <wp:positionV relativeFrom="paragraph">
                  <wp:posOffset>3073400</wp:posOffset>
                </wp:positionV>
                <wp:extent cx="1263015" cy="935355"/>
                <wp:effectExtent l="0" t="0" r="0" b="0"/>
                <wp:wrapNone/>
                <wp:docPr id="177" name="文本框 177"/>
                <wp:cNvGraphicFramePr/>
                <a:graphic xmlns:a="http://schemas.openxmlformats.org/drawingml/2006/main">
                  <a:graphicData uri="http://schemas.microsoft.com/office/word/2010/wordprocessingShape">
                    <wps:wsp>
                      <wps:cNvSpPr txBox="1"/>
                      <wps:spPr>
                        <a:xfrm>
                          <a:off x="1049655" y="8214995"/>
                          <a:ext cx="1263015" cy="9353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0A559E">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图例</w:t>
                            </w:r>
                          </w:p>
                          <w:p w14:paraId="6DA55062">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项目厂址</w:t>
                            </w:r>
                          </w:p>
                          <w:p w14:paraId="55BBB7FD">
                            <w:pPr>
                              <w:spacing w:line="360" w:lineRule="auto"/>
                              <w:jc w:val="center"/>
                              <w:rPr>
                                <w:rFonts w:hint="default"/>
                                <w:lang w:val="en-US" w:eastAsia="zh-CN"/>
                              </w:rPr>
                            </w:pPr>
                            <w:r>
                              <w:rPr>
                                <w:rFonts w:hint="eastAsia"/>
                                <w:b/>
                                <w:bCs/>
                                <w:color w:val="FFFFFF" w:themeColor="background1"/>
                                <w:lang w:val="en-US" w:eastAsia="zh-CN"/>
                                <w14:textFill>
                                  <w14:solidFill>
                                    <w14:schemeClr w14:val="bg1"/>
                                  </w14:solidFill>
                                </w14:textFill>
                              </w:rPr>
                              <w:t>监测点位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7pt;margin-top:242pt;height:73.65pt;width:99.45pt;z-index:251792384;mso-width-relative:page;mso-height-relative:page;" filled="f" stroked="f" coordsize="21600,21600" o:gfxdata="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86PTrtwAAAAKAQAADwAAAAAA&#10;AAABACAAAAAiAAAAZHJzL2Rvd25yZXYueG1sUEsBAhQAFAAAAAgAh07iQDsjqGtIAgAAdgQAAA4A&#10;AAAAAAAAAQAgAAAAKwEAAGRycy9lMm9Eb2MueG1sUEsFBgAAAAAGAAYAWQEAAOUFAAAAAA==&#10;">
                <v:fill on="f" focussize="0,0"/>
                <v:stroke on="f" weight="0.5pt"/>
                <v:imagedata o:title=""/>
                <o:lock v:ext="edit" aspectratio="f"/>
                <v:textbox>
                  <w:txbxContent>
                    <w:p w14:paraId="150A559E">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图例</w:t>
                      </w:r>
                    </w:p>
                    <w:p w14:paraId="6DA55062">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项目厂址</w:t>
                      </w:r>
                    </w:p>
                    <w:p w14:paraId="55BBB7FD">
                      <w:pPr>
                        <w:spacing w:line="360" w:lineRule="auto"/>
                        <w:jc w:val="center"/>
                        <w:rPr>
                          <w:rFonts w:hint="default"/>
                          <w:lang w:val="en-US" w:eastAsia="zh-CN"/>
                        </w:rPr>
                      </w:pPr>
                      <w:r>
                        <w:rPr>
                          <w:rFonts w:hint="eastAsia"/>
                          <w:b/>
                          <w:bCs/>
                          <w:color w:val="FFFFFF" w:themeColor="background1"/>
                          <w:lang w:val="en-US" w:eastAsia="zh-CN"/>
                          <w14:textFill>
                            <w14:solidFill>
                              <w14:schemeClr w14:val="bg1"/>
                            </w14:solidFill>
                          </w14:textFill>
                        </w:rPr>
                        <w:t>监测点位</w:t>
                      </w:r>
                    </w:p>
                  </w:txbxContent>
                </v:textbox>
              </v:shape>
            </w:pict>
          </mc:Fallback>
        </mc:AlternateContent>
      </w:r>
      <w:r>
        <w:rPr>
          <w:color w:val="auto"/>
          <w:sz w:val="24"/>
        </w:rPr>
        <mc:AlternateContent>
          <mc:Choice Requires="wps">
            <w:drawing>
              <wp:anchor distT="0" distB="0" distL="114300" distR="114300" simplePos="0" relativeHeight="251788288" behindDoc="0" locked="0" layoutInCell="1" allowOverlap="1">
                <wp:simplePos x="0" y="0"/>
                <wp:positionH relativeFrom="column">
                  <wp:posOffset>3411855</wp:posOffset>
                </wp:positionH>
                <wp:positionV relativeFrom="paragraph">
                  <wp:posOffset>3067050</wp:posOffset>
                </wp:positionV>
                <wp:extent cx="876300" cy="273050"/>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876300" cy="273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101F50">
                            <w:pPr>
                              <w:rPr>
                                <w:rFonts w:hint="default" w:eastAsia="宋体"/>
                                <w:b/>
                                <w:bCs/>
                                <w:color w:val="FFFF00"/>
                                <w:lang w:val="en-US" w:eastAsia="zh-CN"/>
                              </w:rPr>
                            </w:pPr>
                            <w:r>
                              <w:rPr>
                                <w:rFonts w:hint="eastAsia"/>
                                <w:b/>
                                <w:bCs/>
                                <w:color w:val="FFFF00"/>
                                <w:lang w:val="en-US" w:eastAsia="zh-CN"/>
                              </w:rPr>
                              <w:t>G2朱楼村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65pt;margin-top:241.5pt;height:21.5pt;width:69pt;z-index:251788288;mso-width-relative:page;mso-height-relative:page;" filled="f" stroked="f" coordsize="21600,21600" o:gfxdata="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&#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0WmJ/2wAAAAsBAAAPAAAAAAAAAAEAIAAAACIAAABk&#10;cnMvZG93bnJldi54bWxQSwECFAAUAAAACACHTuJAlnRz5zwCAABpBAAADgAAAAAAAAABACAAAAAq&#10;AQAAZHJzL2Uyb0RvYy54bWxQSwUGAAAAAAYABgBZAQAA2AUAAAAA&#10;">
                <v:fill on="f" focussize="0,0"/>
                <v:stroke on="f" weight="0.5pt"/>
                <v:imagedata o:title=""/>
                <o:lock v:ext="edit" aspectratio="f"/>
                <v:textbox>
                  <w:txbxContent>
                    <w:p w14:paraId="20101F50">
                      <w:pPr>
                        <w:rPr>
                          <w:rFonts w:hint="default" w:eastAsia="宋体"/>
                          <w:b/>
                          <w:bCs/>
                          <w:color w:val="FFFF00"/>
                          <w:lang w:val="en-US" w:eastAsia="zh-CN"/>
                        </w:rPr>
                      </w:pPr>
                      <w:r>
                        <w:rPr>
                          <w:rFonts w:hint="eastAsia"/>
                          <w:b/>
                          <w:bCs/>
                          <w:color w:val="FFFF00"/>
                          <w:lang w:val="en-US" w:eastAsia="zh-CN"/>
                        </w:rPr>
                        <w:t>G2朱楼村</w:t>
                      </w:r>
                    </w:p>
                  </w:txbxContent>
                </v:textbox>
              </v:shape>
            </w:pict>
          </mc:Fallback>
        </mc:AlternateContent>
      </w:r>
      <w:r>
        <w:rPr>
          <w:color w:val="auto"/>
          <w:sz w:val="24"/>
        </w:rPr>
        <mc:AlternateContent>
          <mc:Choice Requires="wps">
            <w:drawing>
              <wp:anchor distT="0" distB="0" distL="114300" distR="114300" simplePos="0" relativeHeight="251787264" behindDoc="0" locked="0" layoutInCell="1" allowOverlap="1">
                <wp:simplePos x="0" y="0"/>
                <wp:positionH relativeFrom="column">
                  <wp:posOffset>2364105</wp:posOffset>
                </wp:positionH>
                <wp:positionV relativeFrom="paragraph">
                  <wp:posOffset>3181350</wp:posOffset>
                </wp:positionV>
                <wp:extent cx="876300" cy="273050"/>
                <wp:effectExtent l="0" t="0" r="0" b="0"/>
                <wp:wrapNone/>
                <wp:docPr id="94" name="文本框 94"/>
                <wp:cNvGraphicFramePr/>
                <a:graphic xmlns:a="http://schemas.openxmlformats.org/drawingml/2006/main">
                  <a:graphicData uri="http://schemas.microsoft.com/office/word/2010/wordprocessingShape">
                    <wps:wsp>
                      <wps:cNvSpPr txBox="1"/>
                      <wps:spPr>
                        <a:xfrm>
                          <a:off x="2643505" y="6595745"/>
                          <a:ext cx="876300" cy="273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912AEF">
                            <w:pPr>
                              <w:rPr>
                                <w:rFonts w:hint="default" w:eastAsia="宋体"/>
                                <w:b/>
                                <w:bCs/>
                                <w:color w:val="FFFF00"/>
                                <w:lang w:val="en-US" w:eastAsia="zh-CN"/>
                              </w:rPr>
                            </w:pPr>
                            <w:r>
                              <w:rPr>
                                <w:rFonts w:hint="eastAsia"/>
                                <w:b/>
                                <w:bCs/>
                                <w:color w:val="FFFF00"/>
                                <w:lang w:val="en-US" w:eastAsia="zh-CN"/>
                              </w:rPr>
                              <w:t>G1黄大庄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6.15pt;margin-top:250.5pt;height:21.5pt;width:69pt;z-index:251787264;mso-width-relative:page;mso-height-relative:page;" filled="f" stroked="f" coordsize="21600,21600" o:gfxdata="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mkdO/bAAAACwEAAA8AAAAA&#10;AAAAAQAgAAAAIgAAAGRycy9kb3ducmV2LnhtbFBLAQIUABQAAAAIAIdO4kAA9ty5SgIAAHMEAAAO&#10;AAAAAAAAAAEAIAAAACoBAABkcnMvZTJvRG9jLnhtbFBLBQYAAAAABgAGAFkBAADmBQAAAAA=&#10;">
                <v:fill on="f" focussize="0,0"/>
                <v:stroke on="f" weight="0.5pt"/>
                <v:imagedata o:title=""/>
                <o:lock v:ext="edit" aspectratio="f"/>
                <v:textbox>
                  <w:txbxContent>
                    <w:p w14:paraId="33912AEF">
                      <w:pPr>
                        <w:rPr>
                          <w:rFonts w:hint="default" w:eastAsia="宋体"/>
                          <w:b/>
                          <w:bCs/>
                          <w:color w:val="FFFF00"/>
                          <w:lang w:val="en-US" w:eastAsia="zh-CN"/>
                        </w:rPr>
                      </w:pPr>
                      <w:r>
                        <w:rPr>
                          <w:rFonts w:hint="eastAsia"/>
                          <w:b/>
                          <w:bCs/>
                          <w:color w:val="FFFF00"/>
                          <w:lang w:val="en-US" w:eastAsia="zh-CN"/>
                        </w:rPr>
                        <w:t>G1黄大庄</w:t>
                      </w:r>
                    </w:p>
                  </w:txbxContent>
                </v:textbox>
              </v:shape>
            </w:pict>
          </mc:Fallback>
        </mc:AlternateContent>
      </w:r>
      <w:r>
        <w:rPr>
          <w:color w:val="auto"/>
          <w:sz w:val="24"/>
        </w:rPr>
        <mc:AlternateContent>
          <mc:Choice Requires="wps">
            <w:drawing>
              <wp:anchor distT="0" distB="0" distL="114300" distR="114300" simplePos="0" relativeHeight="251786240" behindDoc="0" locked="0" layoutInCell="1" allowOverlap="1">
                <wp:simplePos x="0" y="0"/>
                <wp:positionH relativeFrom="column">
                  <wp:posOffset>2338705</wp:posOffset>
                </wp:positionH>
                <wp:positionV relativeFrom="paragraph">
                  <wp:posOffset>3067050</wp:posOffset>
                </wp:positionV>
                <wp:extent cx="171450" cy="177800"/>
                <wp:effectExtent l="4445" t="4445" r="14605" b="8255"/>
                <wp:wrapNone/>
                <wp:docPr id="66" name="椭圆 66"/>
                <wp:cNvGraphicFramePr/>
                <a:graphic xmlns:a="http://schemas.openxmlformats.org/drawingml/2006/main">
                  <a:graphicData uri="http://schemas.microsoft.com/office/word/2010/wordprocessingShape">
                    <wps:wsp>
                      <wps:cNvSpPr/>
                      <wps:spPr>
                        <a:xfrm>
                          <a:off x="0" y="0"/>
                          <a:ext cx="171450" cy="1778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84.15pt;margin-top:241.5pt;height:14pt;width:13.5pt;z-index:251786240;v-text-anchor:middle;mso-width-relative:page;mso-height-relative:page;" fillcolor="#FFFF00" filled="t" stroked="t" coordsize="21600,21600" o:gfxdata="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N/Jl8LYAAAACwEAAA8AAAAAAAAAAQAgAAAAIgAA&#10;AGRycy9kb3ducmV2LnhtbFBLAQIUABQAAAAIAIdO4kAcwJ+3egIAAAIFAAAOAAAAAAAAAAEAIAAA&#10;ACcBAABkcnMvZTJvRG9jLnhtbFBLBQYAAAAABgAGAFkBAAAT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85216" behindDoc="0" locked="0" layoutInCell="1" allowOverlap="1">
                <wp:simplePos x="0" y="0"/>
                <wp:positionH relativeFrom="column">
                  <wp:posOffset>3367405</wp:posOffset>
                </wp:positionH>
                <wp:positionV relativeFrom="paragraph">
                  <wp:posOffset>2959100</wp:posOffset>
                </wp:positionV>
                <wp:extent cx="171450" cy="177800"/>
                <wp:effectExtent l="4445" t="4445" r="14605" b="8255"/>
                <wp:wrapNone/>
                <wp:docPr id="63" name="椭圆 63"/>
                <wp:cNvGraphicFramePr/>
                <a:graphic xmlns:a="http://schemas.openxmlformats.org/drawingml/2006/main">
                  <a:graphicData uri="http://schemas.microsoft.com/office/word/2010/wordprocessingShape">
                    <wps:wsp>
                      <wps:cNvSpPr/>
                      <wps:spPr>
                        <a:xfrm>
                          <a:off x="4053205" y="8113395"/>
                          <a:ext cx="171450" cy="1778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65.15pt;margin-top:233pt;height:14pt;width:13.5pt;z-index:251785216;v-text-anchor:middle;mso-width-relative:page;mso-height-relative:page;" fillcolor="#FFFF00" filled="t" stroked="t" coordsize="21600,21600" o:gfxdata="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gqin4tgAAAALAQAADwAA&#10;AAAAAAABACAAAAAiAAAAZHJzL2Rvd25yZXYueG1sUEsBAhQAFAAAAAgAh07iQJBfCcmIAgAADgUA&#10;AA4AAAAAAAAAAQAgAAAAJwEAAGRycy9lMm9Eb2MueG1sUEsFBgAAAAAGAAYAWQEAACEGAAAAAA==&#10;">
                <v:fill on="t" focussize="0,0"/>
                <v:stroke weight="0.25pt" color="#376092 [2404]" joinstyle="round"/>
                <v:imagedata o:title=""/>
                <o:lock v:ext="edit" aspectratio="f"/>
              </v:shape>
            </w:pict>
          </mc:Fallback>
        </mc:AlternateContent>
      </w:r>
      <w:r>
        <w:rPr>
          <w:color w:val="auto"/>
          <w:sz w:val="24"/>
          <w:szCs w:val="32"/>
        </w:rPr>
        <w:drawing>
          <wp:inline distT="0" distB="0" distL="114300" distR="114300">
            <wp:extent cx="5586730" cy="4283710"/>
            <wp:effectExtent l="0" t="0" r="13970" b="2540"/>
            <wp:docPr id="62" name="图片 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
                    <pic:cNvPicPr>
                      <a:picLocks noChangeAspect="1"/>
                    </pic:cNvPicPr>
                  </pic:nvPicPr>
                  <pic:blipFill>
                    <a:blip r:embed="rId30"/>
                    <a:srcRect t="10781"/>
                    <a:stretch>
                      <a:fillRect/>
                    </a:stretch>
                  </pic:blipFill>
                  <pic:spPr>
                    <a:xfrm>
                      <a:off x="0" y="0"/>
                      <a:ext cx="5586730" cy="4283710"/>
                    </a:xfrm>
                    <a:prstGeom prst="rect">
                      <a:avLst/>
                    </a:prstGeom>
                  </pic:spPr>
                </pic:pic>
              </a:graphicData>
            </a:graphic>
          </wp:inline>
        </w:drawing>
      </w:r>
    </w:p>
    <w:p w14:paraId="36AC68B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bCs/>
          <w:color w:val="auto"/>
          <w:sz w:val="24"/>
          <w:szCs w:val="32"/>
          <w:lang w:val="en-US" w:eastAsia="zh-CN"/>
        </w:rPr>
      </w:pPr>
      <w:r>
        <w:rPr>
          <w:rFonts w:hint="eastAsia"/>
          <w:b/>
          <w:bCs/>
          <w:color w:val="auto"/>
          <w:sz w:val="24"/>
          <w:szCs w:val="32"/>
          <w:lang w:val="en-US" w:eastAsia="zh-CN"/>
        </w:rPr>
        <w:t>图4-1 特征污染物监测布点示意图</w:t>
      </w:r>
    </w:p>
    <w:p w14:paraId="1A92DDFC">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bookmarkStart w:id="302" w:name="_Toc16824"/>
      <w:r>
        <w:rPr>
          <w:rFonts w:hint="eastAsia" w:ascii="Times New Roman" w:hAnsi="Times New Roman" w:eastAsia="宋体" w:cs="Times New Roman"/>
          <w:b w:val="0"/>
          <w:bCs w:val="0"/>
          <w:color w:val="auto"/>
          <w:sz w:val="24"/>
          <w:szCs w:val="24"/>
          <w:highlight w:val="none"/>
          <w:lang w:val="en-US" w:eastAsia="zh-CN"/>
        </w:rPr>
        <w:t>（2）监测因子</w:t>
      </w:r>
      <w:bookmarkEnd w:id="302"/>
    </w:p>
    <w:p w14:paraId="0F0451E5">
      <w:pPr>
        <w:bidi w:val="0"/>
        <w:spacing w:line="360" w:lineRule="auto"/>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 xml:space="preserve">    引用监测因子为</w:t>
      </w:r>
      <w:r>
        <w:rPr>
          <w:color w:val="auto"/>
          <w:sz w:val="24"/>
          <w:szCs w:val="32"/>
        </w:rPr>
        <w:t>TSP、</w:t>
      </w:r>
      <w:r>
        <w:rPr>
          <w:rFonts w:hint="eastAsia"/>
          <w:color w:val="auto"/>
          <w:sz w:val="24"/>
          <w:szCs w:val="32"/>
          <w:lang w:val="en-US" w:eastAsia="zh-CN"/>
        </w:rPr>
        <w:t>氯化氢、氟化物、氨、二噁英类、铅、砷、铬、镉、锡及其化合物等，</w:t>
      </w:r>
      <w:r>
        <w:rPr>
          <w:rFonts w:hint="eastAsia" w:ascii="Times New Roman" w:hAnsi="Times New Roman" w:eastAsia="宋体" w:cs="Times New Roman"/>
          <w:b w:val="0"/>
          <w:bCs w:val="0"/>
          <w:color w:val="auto"/>
          <w:sz w:val="24"/>
          <w:szCs w:val="24"/>
          <w:highlight w:val="none"/>
          <w:lang w:val="en-US" w:eastAsia="zh-CN"/>
        </w:rPr>
        <w:t>连续监测7天</w:t>
      </w:r>
      <w:r>
        <w:rPr>
          <w:rFonts w:hint="eastAsia" w:cs="Times New Roman"/>
          <w:b w:val="0"/>
          <w:bCs w:val="0"/>
          <w:color w:val="auto"/>
          <w:sz w:val="24"/>
          <w:szCs w:val="24"/>
          <w:highlight w:val="none"/>
          <w:lang w:val="en-US" w:eastAsia="zh-CN"/>
        </w:rPr>
        <w:t>。</w:t>
      </w:r>
    </w:p>
    <w:p w14:paraId="5DD63AF0">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bookmarkStart w:id="303" w:name="_Toc18848"/>
      <w:r>
        <w:rPr>
          <w:rFonts w:hint="eastAsia" w:ascii="Times New Roman" w:hAnsi="Times New Roman" w:eastAsia="宋体" w:cs="Times New Roman"/>
          <w:b w:val="0"/>
          <w:bCs w:val="0"/>
          <w:color w:val="auto"/>
          <w:sz w:val="24"/>
          <w:szCs w:val="24"/>
          <w:highlight w:val="none"/>
          <w:lang w:val="en-US" w:eastAsia="zh-CN"/>
        </w:rPr>
        <w:t>（3）监测分析方法</w:t>
      </w:r>
      <w:bookmarkEnd w:id="303"/>
    </w:p>
    <w:p w14:paraId="0C0A11FB">
      <w:pPr>
        <w:bidi w:val="0"/>
        <w:spacing w:line="360" w:lineRule="auto"/>
        <w:ind w:firstLine="480" w:firstLineChars="200"/>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监测及分析方法均按照国家环保局《环境监测技术规范》、《环境监测分析方法》和《环境空气质量标准》（GB3095-2012）要求的方法进行。</w:t>
      </w:r>
    </w:p>
    <w:p w14:paraId="20B734C2">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bookmarkStart w:id="304" w:name="_Toc29042"/>
      <w:r>
        <w:rPr>
          <w:rFonts w:hint="eastAsia" w:ascii="Times New Roman" w:hAnsi="Times New Roman" w:eastAsia="宋体" w:cs="Times New Roman"/>
          <w:b w:val="0"/>
          <w:bCs w:val="0"/>
          <w:color w:val="auto"/>
          <w:sz w:val="24"/>
          <w:szCs w:val="24"/>
          <w:highlight w:val="none"/>
          <w:lang w:val="en-US" w:eastAsia="zh-CN"/>
        </w:rPr>
        <w:t>（4）评价方法</w:t>
      </w:r>
      <w:bookmarkEnd w:id="304"/>
    </w:p>
    <w:p w14:paraId="2A7927AB">
      <w:pPr>
        <w:widowControl/>
        <w:tabs>
          <w:tab w:val="left" w:pos="540"/>
        </w:tabs>
        <w:spacing w:line="360" w:lineRule="auto"/>
        <w:ind w:firstLine="480" w:firstLineChars="2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本次大气环境质量现状评价采用单因子污染指数法，公式如下：</w:t>
      </w:r>
    </w:p>
    <w:p w14:paraId="5BA964D1">
      <w:pPr>
        <w:widowControl/>
        <w:tabs>
          <w:tab w:val="left" w:pos="540"/>
        </w:tabs>
        <w:spacing w:line="360" w:lineRule="auto"/>
        <w:ind w:firstLine="480" w:firstLineChars="200"/>
        <w:jc w:val="center"/>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position w:val="-30"/>
          <w:sz w:val="24"/>
          <w:szCs w:val="24"/>
        </w:rPr>
        <w:object>
          <v:shape id="_x0000_i1026" o:spt="75" type="#_x0000_t75" style="height:37.35pt;width:42.1pt;" o:ole="t" filled="f" o:preferrelative="t" stroked="f" coordsize="21600,21600">
            <v:path/>
            <v:fill on="f" focussize="0,0"/>
            <v:stroke on="f" joinstyle="miter"/>
            <v:imagedata r:id="rId32" o:title=""/>
            <o:lock v:ext="edit" aspectratio="t"/>
            <w10:wrap type="none"/>
            <w10:anchorlock/>
          </v:shape>
          <o:OLEObject Type="Embed" ProgID="Equation.3" ShapeID="_x0000_i1026" DrawAspect="Content" ObjectID="_1468075726" r:id="rId31">
            <o:LockedField>false</o:LockedField>
          </o:OLEObject>
        </w:object>
      </w:r>
    </w:p>
    <w:p w14:paraId="6189565C">
      <w:pPr>
        <w:widowControl/>
        <w:tabs>
          <w:tab w:val="left" w:pos="540"/>
        </w:tabs>
        <w:spacing w:line="360" w:lineRule="auto"/>
        <w:ind w:firstLine="480" w:firstLineChars="2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式中：I</w:t>
      </w:r>
      <w:r>
        <w:rPr>
          <w:rFonts w:hint="default" w:ascii="Times New Roman" w:hAnsi="Times New Roman" w:eastAsia="宋体" w:cs="Times New Roman"/>
          <w:color w:val="auto"/>
          <w:spacing w:val="0"/>
          <w:sz w:val="24"/>
          <w:szCs w:val="24"/>
          <w:vertAlign w:val="subscript"/>
        </w:rPr>
        <w:t>i</w:t>
      </w:r>
      <w:r>
        <w:rPr>
          <w:rFonts w:hint="default" w:ascii="Times New Roman" w:hAnsi="Times New Roman" w:eastAsia="宋体" w:cs="Times New Roman"/>
          <w:color w:val="auto"/>
          <w:spacing w:val="0"/>
          <w:sz w:val="24"/>
          <w:szCs w:val="24"/>
        </w:rPr>
        <w:t xml:space="preserve"> — i污染物的单因子污染指数；</w:t>
      </w:r>
    </w:p>
    <w:p w14:paraId="75C90F85">
      <w:pPr>
        <w:widowControl/>
        <w:tabs>
          <w:tab w:val="left" w:pos="540"/>
        </w:tabs>
        <w:spacing w:line="360" w:lineRule="auto"/>
        <w:ind w:firstLine="480" w:firstLineChars="2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 xml:space="preserve">      C</w:t>
      </w:r>
      <w:r>
        <w:rPr>
          <w:rFonts w:hint="default" w:ascii="Times New Roman" w:hAnsi="Times New Roman" w:eastAsia="宋体" w:cs="Times New Roman"/>
          <w:color w:val="auto"/>
          <w:spacing w:val="0"/>
          <w:sz w:val="24"/>
          <w:szCs w:val="24"/>
          <w:vertAlign w:val="subscript"/>
        </w:rPr>
        <w:t>i</w:t>
      </w:r>
      <w:r>
        <w:rPr>
          <w:rFonts w:hint="default" w:ascii="Times New Roman" w:hAnsi="Times New Roman" w:eastAsia="宋体" w:cs="Times New Roman"/>
          <w:color w:val="auto"/>
          <w:spacing w:val="0"/>
          <w:sz w:val="24"/>
          <w:szCs w:val="24"/>
        </w:rPr>
        <w:t xml:space="preserve"> — i污染物的实测浓度，mg/Nm</w:t>
      </w:r>
      <w:r>
        <w:rPr>
          <w:rFonts w:hint="default" w:ascii="Times New Roman" w:hAnsi="Times New Roman" w:eastAsia="宋体" w:cs="Times New Roman"/>
          <w:color w:val="auto"/>
          <w:spacing w:val="0"/>
          <w:sz w:val="24"/>
          <w:szCs w:val="24"/>
          <w:vertAlign w:val="superscript"/>
        </w:rPr>
        <w:t>3</w:t>
      </w:r>
      <w:r>
        <w:rPr>
          <w:rFonts w:hint="default" w:ascii="Times New Roman" w:hAnsi="Times New Roman" w:eastAsia="宋体" w:cs="Times New Roman"/>
          <w:color w:val="auto"/>
          <w:spacing w:val="0"/>
          <w:sz w:val="24"/>
          <w:szCs w:val="24"/>
        </w:rPr>
        <w:t>；</w:t>
      </w:r>
    </w:p>
    <w:p w14:paraId="3F473DC6">
      <w:pPr>
        <w:widowControl/>
        <w:tabs>
          <w:tab w:val="left" w:pos="540"/>
        </w:tabs>
        <w:spacing w:line="360" w:lineRule="auto"/>
        <w:ind w:firstLine="1200" w:firstLineChars="5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C</w:t>
      </w:r>
      <w:r>
        <w:rPr>
          <w:rFonts w:hint="default" w:ascii="Times New Roman" w:hAnsi="Times New Roman" w:eastAsia="宋体" w:cs="Times New Roman"/>
          <w:color w:val="auto"/>
          <w:spacing w:val="0"/>
          <w:sz w:val="24"/>
          <w:szCs w:val="24"/>
          <w:vertAlign w:val="subscript"/>
        </w:rPr>
        <w:t>Oi</w:t>
      </w:r>
      <w:r>
        <w:rPr>
          <w:rFonts w:hint="default" w:ascii="Times New Roman" w:hAnsi="Times New Roman" w:eastAsia="宋体" w:cs="Times New Roman"/>
          <w:color w:val="auto"/>
          <w:spacing w:val="0"/>
          <w:sz w:val="24"/>
          <w:szCs w:val="24"/>
        </w:rPr>
        <w:t xml:space="preserve"> — i污染物的评价标准，mg/Nm</w:t>
      </w:r>
      <w:r>
        <w:rPr>
          <w:rFonts w:hint="default" w:ascii="Times New Roman" w:hAnsi="Times New Roman" w:eastAsia="宋体" w:cs="Times New Roman"/>
          <w:color w:val="auto"/>
          <w:spacing w:val="0"/>
          <w:sz w:val="24"/>
          <w:szCs w:val="24"/>
          <w:vertAlign w:val="superscript"/>
        </w:rPr>
        <w:t>3</w:t>
      </w:r>
      <w:r>
        <w:rPr>
          <w:rFonts w:hint="default" w:ascii="Times New Roman" w:hAnsi="Times New Roman" w:eastAsia="宋体" w:cs="Times New Roman"/>
          <w:color w:val="auto"/>
          <w:spacing w:val="0"/>
          <w:sz w:val="24"/>
          <w:szCs w:val="24"/>
        </w:rPr>
        <w:t>。</w:t>
      </w:r>
    </w:p>
    <w:p w14:paraId="3B1588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color w:val="auto"/>
          <w:sz w:val="24"/>
          <w:szCs w:val="24"/>
        </w:rPr>
      </w:pPr>
      <w:r>
        <w:rPr>
          <w:rFonts w:hint="default" w:ascii="Times New Roman" w:hAnsi="Times New Roman" w:eastAsia="宋体" w:cs="Times New Roman"/>
          <w:color w:val="auto"/>
          <w:spacing w:val="0"/>
          <w:sz w:val="24"/>
          <w:szCs w:val="24"/>
        </w:rPr>
        <w:t>当Ii≥1时，即该因子超标。对照评价标准计算各监测点的各污染物小时平均浓度和日均浓度的污染指数范围、超标率等。</w:t>
      </w:r>
    </w:p>
    <w:p w14:paraId="3D7D0BF2">
      <w:pPr>
        <w:spacing w:line="360" w:lineRule="auto"/>
        <w:ind w:firstLine="480" w:firstLineChars="200"/>
        <w:rPr>
          <w:rFonts w:hint="eastAsia"/>
          <w:color w:val="auto"/>
          <w:sz w:val="24"/>
          <w:szCs w:val="32"/>
          <w:lang w:val="en-US" w:eastAsia="zh-CN"/>
        </w:rPr>
      </w:pPr>
      <w:bookmarkStart w:id="305" w:name="_Toc14089"/>
      <w:bookmarkStart w:id="306" w:name="_Toc8742"/>
      <w:bookmarkStart w:id="307" w:name="_Toc1280"/>
      <w:r>
        <w:rPr>
          <w:rFonts w:hint="eastAsia"/>
          <w:color w:val="auto"/>
          <w:sz w:val="24"/>
          <w:szCs w:val="32"/>
          <w:lang w:val="en-US" w:eastAsia="zh-CN"/>
        </w:rPr>
        <w:t>（5）评价结果</w:t>
      </w:r>
      <w:bookmarkEnd w:id="305"/>
    </w:p>
    <w:p w14:paraId="2D9506DD">
      <w:pPr>
        <w:spacing w:line="360" w:lineRule="auto"/>
        <w:ind w:firstLine="480" w:firstLineChars="200"/>
        <w:rPr>
          <w:color w:val="auto"/>
          <w:sz w:val="24"/>
          <w:szCs w:val="32"/>
        </w:rPr>
      </w:pPr>
      <w:r>
        <w:rPr>
          <w:rFonts w:hint="eastAsia"/>
          <w:color w:val="auto"/>
          <w:sz w:val="24"/>
          <w:szCs w:val="32"/>
          <w:lang w:val="en-US" w:eastAsia="zh-CN"/>
        </w:rPr>
        <w:t>按照上述评价方法，本次区域大气环境质量现状评价结果汇总见表4-3。</w:t>
      </w:r>
    </w:p>
    <w:p w14:paraId="1DC8FAB9">
      <w:pPr>
        <w:spacing w:line="360" w:lineRule="auto"/>
        <w:jc w:val="center"/>
        <w:rPr>
          <w:rFonts w:hint="eastAsia"/>
          <w:b/>
          <w:bCs/>
          <w:color w:val="auto"/>
          <w:sz w:val="24"/>
          <w:szCs w:val="32"/>
          <w:lang w:val="en-US" w:eastAsia="zh-CN"/>
        </w:rPr>
      </w:pPr>
      <w:r>
        <w:rPr>
          <w:rFonts w:hint="eastAsia"/>
          <w:b/>
          <w:bCs/>
          <w:color w:val="auto"/>
          <w:sz w:val="24"/>
          <w:szCs w:val="32"/>
          <w:lang w:val="en-US" w:eastAsia="zh-CN"/>
        </w:rPr>
        <w:t>表4-3 其他污染物大气环境质量现状评价结果一览表</w:t>
      </w:r>
    </w:p>
    <w:tbl>
      <w:tblPr>
        <w:tblStyle w:val="123"/>
        <w:tblW w:w="4990"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558"/>
        <w:gridCol w:w="1239"/>
        <w:gridCol w:w="1165"/>
        <w:gridCol w:w="1009"/>
        <w:gridCol w:w="1309"/>
        <w:gridCol w:w="1515"/>
        <w:gridCol w:w="974"/>
        <w:gridCol w:w="976"/>
        <w:gridCol w:w="982"/>
      </w:tblGrid>
      <w:tr w14:paraId="186109C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622" w:hRule="atLeast"/>
        </w:trPr>
        <w:tc>
          <w:tcPr>
            <w:tcW w:w="287" w:type="pct"/>
            <w:tcBorders>
              <w:tl2br w:val="nil"/>
              <w:tr2bl w:val="nil"/>
            </w:tcBorders>
            <w:vAlign w:val="center"/>
          </w:tcPr>
          <w:p w14:paraId="6F924C41">
            <w:pPr>
              <w:jc w:val="center"/>
              <w:rPr>
                <w:rFonts w:hint="default" w:ascii="Times New Roman" w:hAnsi="Times New Roman" w:cs="Times New Roman"/>
                <w:b/>
                <w:bCs/>
                <w:color w:val="auto"/>
                <w:sz w:val="21"/>
                <w:lang w:eastAsia="zh-CN"/>
              </w:rPr>
            </w:pPr>
            <w:r>
              <w:rPr>
                <w:rFonts w:hint="default" w:ascii="Times New Roman" w:hAnsi="Times New Roman" w:cs="Times New Roman"/>
                <w:b/>
                <w:bCs/>
                <w:color w:val="auto"/>
                <w:sz w:val="21"/>
                <w:lang w:eastAsia="zh-CN"/>
              </w:rPr>
              <w:t>序号</w:t>
            </w:r>
          </w:p>
        </w:tc>
        <w:tc>
          <w:tcPr>
            <w:tcW w:w="636" w:type="pct"/>
            <w:tcBorders>
              <w:tl2br w:val="nil"/>
              <w:tr2bl w:val="nil"/>
            </w:tcBorders>
            <w:vAlign w:val="center"/>
          </w:tcPr>
          <w:p w14:paraId="21C9CEBA">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监测点位</w:t>
            </w:r>
          </w:p>
        </w:tc>
        <w:tc>
          <w:tcPr>
            <w:tcW w:w="598" w:type="pct"/>
            <w:tcBorders>
              <w:tl2br w:val="nil"/>
              <w:tr2bl w:val="nil"/>
            </w:tcBorders>
            <w:vAlign w:val="center"/>
          </w:tcPr>
          <w:p w14:paraId="3132BD68">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污染物</w:t>
            </w:r>
          </w:p>
        </w:tc>
        <w:tc>
          <w:tcPr>
            <w:tcW w:w="518" w:type="pct"/>
            <w:tcBorders>
              <w:tl2br w:val="nil"/>
              <w:tr2bl w:val="nil"/>
            </w:tcBorders>
            <w:vAlign w:val="center"/>
          </w:tcPr>
          <w:p w14:paraId="51117A77">
            <w:pPr>
              <w:jc w:val="center"/>
              <w:rPr>
                <w:rFonts w:hint="eastAsia" w:ascii="Times New Roman" w:hAnsi="Times New Roman" w:eastAsia="宋体" w:cs="Times New Roman"/>
                <w:b/>
                <w:bCs/>
                <w:color w:val="auto"/>
                <w:sz w:val="21"/>
                <w:lang w:val="en-US" w:eastAsia="zh-CN"/>
              </w:rPr>
            </w:pPr>
            <w:r>
              <w:rPr>
                <w:rFonts w:hint="eastAsia" w:ascii="Times New Roman" w:hAnsi="Times New Roman" w:eastAsia="宋体" w:cs="Times New Roman"/>
                <w:b/>
                <w:bCs/>
                <w:color w:val="auto"/>
                <w:sz w:val="21"/>
                <w:lang w:val="en-US" w:eastAsia="zh-CN"/>
              </w:rPr>
              <w:t>小时/日</w:t>
            </w:r>
            <w:r>
              <w:rPr>
                <w:rFonts w:hint="default" w:ascii="Times New Roman" w:hAnsi="Times New Roman" w:cs="Times New Roman"/>
                <w:b/>
                <w:bCs/>
                <w:color w:val="auto"/>
                <w:sz w:val="21"/>
              </w:rPr>
              <w:t>平均</w:t>
            </w:r>
            <w:r>
              <w:rPr>
                <w:rFonts w:hint="eastAsia" w:ascii="Times New Roman" w:hAnsi="Times New Roman" w:eastAsia="宋体" w:cs="Times New Roman"/>
                <w:b/>
                <w:bCs/>
                <w:color w:val="auto"/>
                <w:sz w:val="21"/>
                <w:lang w:val="en-US" w:eastAsia="zh-CN"/>
              </w:rPr>
              <w:t>浓度</w:t>
            </w:r>
          </w:p>
        </w:tc>
        <w:tc>
          <w:tcPr>
            <w:tcW w:w="672" w:type="pct"/>
            <w:tcBorders>
              <w:tl2br w:val="nil"/>
              <w:tr2bl w:val="nil"/>
            </w:tcBorders>
            <w:vAlign w:val="center"/>
          </w:tcPr>
          <w:p w14:paraId="6DC349D1">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评价标准</w:t>
            </w:r>
          </w:p>
          <w:p w14:paraId="55FEEDCB">
            <w:pPr>
              <w:jc w:val="center"/>
              <w:rPr>
                <w:rFonts w:hint="default" w:ascii="Times New Roman" w:hAnsi="Times New Roman" w:cs="Times New Roman"/>
                <w:color w:val="auto"/>
                <w:sz w:val="21"/>
              </w:rPr>
            </w:pP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778" w:type="pct"/>
            <w:tcBorders>
              <w:tl2br w:val="nil"/>
              <w:tr2bl w:val="nil"/>
            </w:tcBorders>
            <w:vAlign w:val="center"/>
          </w:tcPr>
          <w:p w14:paraId="44560887">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lang w:val="en-US" w:eastAsia="zh-CN"/>
              </w:rPr>
              <w:t>最大</w:t>
            </w:r>
            <w:r>
              <w:rPr>
                <w:rFonts w:hint="default" w:ascii="Times New Roman" w:hAnsi="Times New Roman" w:cs="Times New Roman"/>
                <w:b/>
                <w:bCs/>
                <w:color w:val="auto"/>
                <w:sz w:val="21"/>
              </w:rPr>
              <w:t>监测浓度</w:t>
            </w:r>
          </w:p>
          <w:p w14:paraId="74F0AC7E">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500" w:type="pct"/>
            <w:tcBorders>
              <w:tl2br w:val="nil"/>
              <w:tr2bl w:val="nil"/>
            </w:tcBorders>
            <w:vAlign w:val="center"/>
          </w:tcPr>
          <w:p w14:paraId="5FFEB230">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最大浓度 占标率%</w:t>
            </w:r>
          </w:p>
        </w:tc>
        <w:tc>
          <w:tcPr>
            <w:tcW w:w="501" w:type="pct"/>
            <w:tcBorders>
              <w:tl2br w:val="nil"/>
              <w:tr2bl w:val="nil"/>
            </w:tcBorders>
            <w:vAlign w:val="center"/>
          </w:tcPr>
          <w:p w14:paraId="24F1F4D2">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超标率%</w:t>
            </w:r>
          </w:p>
        </w:tc>
        <w:tc>
          <w:tcPr>
            <w:tcW w:w="504" w:type="pct"/>
            <w:tcBorders>
              <w:tl2br w:val="nil"/>
              <w:tr2bl w:val="nil"/>
            </w:tcBorders>
            <w:vAlign w:val="center"/>
          </w:tcPr>
          <w:p w14:paraId="4717653A">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达标情况</w:t>
            </w:r>
          </w:p>
        </w:tc>
      </w:tr>
      <w:tr w14:paraId="6011431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restart"/>
            <w:tcBorders>
              <w:tl2br w:val="nil"/>
              <w:tr2bl w:val="nil"/>
            </w:tcBorders>
            <w:vAlign w:val="center"/>
          </w:tcPr>
          <w:p w14:paraId="6A54600B">
            <w:pPr>
              <w:jc w:val="center"/>
              <w:rPr>
                <w:rFonts w:hint="default" w:ascii="Times New Roman" w:hAnsi="Times New Roman" w:cs="Times New Roman"/>
                <w:color w:val="auto"/>
                <w:sz w:val="21"/>
                <w:lang w:val="en-US" w:eastAsia="zh-CN"/>
              </w:rPr>
            </w:pPr>
            <w:r>
              <w:rPr>
                <w:rFonts w:hint="default" w:ascii="Times New Roman" w:hAnsi="Times New Roman" w:cs="Times New Roman"/>
                <w:color w:val="auto"/>
                <w:sz w:val="21"/>
                <w:lang w:val="en-US" w:eastAsia="zh-CN"/>
              </w:rPr>
              <w:t>1</w:t>
            </w:r>
          </w:p>
        </w:tc>
        <w:tc>
          <w:tcPr>
            <w:tcW w:w="636" w:type="pct"/>
            <w:vMerge w:val="restart"/>
            <w:tcBorders>
              <w:tl2br w:val="nil"/>
              <w:tr2bl w:val="nil"/>
            </w:tcBorders>
            <w:vAlign w:val="center"/>
          </w:tcPr>
          <w:p w14:paraId="5B6A1FCD">
            <w:pPr>
              <w:autoSpaceDE w:val="0"/>
              <w:autoSpaceDN w:val="0"/>
              <w:spacing w:line="276" w:lineRule="auto"/>
              <w:jc w:val="center"/>
              <w:rPr>
                <w:rFonts w:hint="default" w:ascii="Times New Roman" w:hAnsi="Times New Roman" w:eastAsia="宋体" w:cs="Times New Roman"/>
                <w:color w:val="auto"/>
                <w:sz w:val="21"/>
                <w:lang w:val="en-US" w:eastAsia="zh-CN"/>
              </w:rPr>
            </w:pPr>
            <w:bookmarkStart w:id="308" w:name="OLE_LINK82"/>
            <w:r>
              <w:rPr>
                <w:rFonts w:hint="default" w:ascii="Times New Roman" w:hAnsi="Times New Roman" w:eastAsia="宋体" w:cs="Times New Roman"/>
                <w:color w:val="auto"/>
                <w:sz w:val="21"/>
                <w:szCs w:val="21"/>
                <w:lang w:val="en-US" w:eastAsia="zh-CN"/>
              </w:rPr>
              <w:t>G</w:t>
            </w:r>
            <w:r>
              <w:rPr>
                <w:rFonts w:hint="default" w:ascii="Times New Roman" w:hAnsi="Times New Roman" w:eastAsia="宋体" w:cs="Times New Roman"/>
                <w:color w:val="auto"/>
                <w:sz w:val="21"/>
                <w:szCs w:val="21"/>
                <w:vertAlign w:val="subscript"/>
                <w:lang w:val="en-US" w:eastAsia="zh-CN"/>
              </w:rPr>
              <w:t>1</w:t>
            </w:r>
            <w:r>
              <w:rPr>
                <w:rFonts w:hint="default" w:ascii="Times New Roman" w:hAnsi="Times New Roman" w:eastAsia="宋体" w:cs="Times New Roman"/>
                <w:color w:val="auto"/>
                <w:sz w:val="21"/>
                <w:szCs w:val="21"/>
                <w:lang w:val="en-US" w:eastAsia="zh-CN"/>
              </w:rPr>
              <w:t>黄大庄</w:t>
            </w:r>
            <w:bookmarkEnd w:id="308"/>
          </w:p>
        </w:tc>
        <w:tc>
          <w:tcPr>
            <w:tcW w:w="598" w:type="pct"/>
            <w:tcBorders>
              <w:tl2br w:val="nil"/>
              <w:tr2bl w:val="nil"/>
            </w:tcBorders>
            <w:vAlign w:val="center"/>
          </w:tcPr>
          <w:p w14:paraId="3244719B">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TSP</w:t>
            </w:r>
          </w:p>
        </w:tc>
        <w:tc>
          <w:tcPr>
            <w:tcW w:w="518" w:type="pct"/>
            <w:tcBorders>
              <w:tl2br w:val="nil"/>
              <w:tr2bl w:val="nil"/>
            </w:tcBorders>
            <w:vAlign w:val="center"/>
          </w:tcPr>
          <w:p w14:paraId="4C87664E">
            <w:pPr>
              <w:jc w:val="center"/>
              <w:rPr>
                <w:rFonts w:hint="default" w:ascii="Times New Roman" w:hAnsi="Times New Roman" w:eastAsia="宋体" w:cs="Times New Roman"/>
                <w:color w:val="auto"/>
                <w:spacing w:val="-2"/>
                <w:kern w:val="0"/>
                <w:sz w:val="21"/>
                <w:szCs w:val="20"/>
                <w:lang w:val="en-US" w:eastAsia="zh-CN" w:bidi="ar-SA"/>
              </w:rPr>
            </w:pPr>
            <w:bookmarkStart w:id="309" w:name="OLE_LINK83"/>
            <w:r>
              <w:rPr>
                <w:rFonts w:hint="eastAsia" w:ascii="Times New Roman" w:hAnsi="Times New Roman" w:eastAsia="宋体" w:cs="Times New Roman"/>
                <w:color w:val="auto"/>
                <w:spacing w:val="-2"/>
                <w:kern w:val="0"/>
                <w:sz w:val="21"/>
                <w:szCs w:val="20"/>
                <w:lang w:val="en-US" w:eastAsia="zh-CN" w:bidi="ar-SA"/>
              </w:rPr>
              <w:t>日均浓度</w:t>
            </w:r>
            <w:bookmarkEnd w:id="309"/>
          </w:p>
        </w:tc>
        <w:tc>
          <w:tcPr>
            <w:tcW w:w="672" w:type="pct"/>
            <w:tcBorders>
              <w:tl2br w:val="nil"/>
              <w:tr2bl w:val="nil"/>
            </w:tcBorders>
            <w:vAlign w:val="center"/>
          </w:tcPr>
          <w:p w14:paraId="6EEBC666">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300</w:t>
            </w:r>
          </w:p>
        </w:tc>
        <w:tc>
          <w:tcPr>
            <w:tcW w:w="778" w:type="pct"/>
            <w:tcBorders>
              <w:tl2br w:val="nil"/>
              <w:tr2bl w:val="nil"/>
            </w:tcBorders>
            <w:vAlign w:val="center"/>
          </w:tcPr>
          <w:p w14:paraId="20379F2E">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83</w:t>
            </w:r>
          </w:p>
        </w:tc>
        <w:tc>
          <w:tcPr>
            <w:tcW w:w="500" w:type="pct"/>
            <w:tcBorders>
              <w:tl2br w:val="nil"/>
              <w:tr2bl w:val="nil"/>
            </w:tcBorders>
            <w:vAlign w:val="center"/>
          </w:tcPr>
          <w:p w14:paraId="48C0260B">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27.67</w:t>
            </w:r>
          </w:p>
        </w:tc>
        <w:tc>
          <w:tcPr>
            <w:tcW w:w="501" w:type="pct"/>
            <w:tcBorders>
              <w:tl2br w:val="nil"/>
              <w:tr2bl w:val="nil"/>
            </w:tcBorders>
            <w:vAlign w:val="center"/>
          </w:tcPr>
          <w:p w14:paraId="684E22E6">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504" w:type="pct"/>
            <w:tcBorders>
              <w:tl2br w:val="nil"/>
              <w:tr2bl w:val="nil"/>
            </w:tcBorders>
            <w:vAlign w:val="center"/>
          </w:tcPr>
          <w:p w14:paraId="652703B0">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0" w:name="OLE_LINK87"/>
            <w:r>
              <w:rPr>
                <w:rFonts w:hint="default" w:ascii="Times New Roman" w:hAnsi="Times New Roman" w:cs="Times New Roman"/>
                <w:color w:val="auto"/>
                <w:sz w:val="21"/>
                <w:highlight w:val="none"/>
                <w:lang w:eastAsia="zh-CN"/>
              </w:rPr>
              <w:t>达标</w:t>
            </w:r>
            <w:bookmarkEnd w:id="310"/>
          </w:p>
        </w:tc>
      </w:tr>
      <w:tr w14:paraId="7C6559E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continue"/>
            <w:tcBorders>
              <w:tl2br w:val="nil"/>
              <w:tr2bl w:val="nil"/>
            </w:tcBorders>
            <w:vAlign w:val="center"/>
          </w:tcPr>
          <w:p w14:paraId="6F5D98C3">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7B3D6754">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47CE0039">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氯化氢</w:t>
            </w:r>
          </w:p>
        </w:tc>
        <w:tc>
          <w:tcPr>
            <w:tcW w:w="518" w:type="pct"/>
            <w:tcBorders>
              <w:tl2br w:val="nil"/>
              <w:tr2bl w:val="nil"/>
            </w:tcBorders>
            <w:vAlign w:val="center"/>
          </w:tcPr>
          <w:p w14:paraId="138BADC9">
            <w:pPr>
              <w:jc w:val="center"/>
              <w:rPr>
                <w:rFonts w:hint="default" w:ascii="Times New Roman" w:hAnsi="Times New Roman" w:eastAsia="宋体" w:cs="Times New Roman"/>
                <w:color w:val="auto"/>
                <w:spacing w:val="-2"/>
                <w:kern w:val="0"/>
                <w:sz w:val="21"/>
                <w:szCs w:val="20"/>
                <w:lang w:val="en-US" w:eastAsia="zh-CN" w:bidi="ar-SA"/>
              </w:rPr>
            </w:pPr>
            <w:bookmarkStart w:id="311" w:name="OLE_LINK84"/>
            <w:r>
              <w:rPr>
                <w:rFonts w:hint="eastAsia" w:ascii="Times New Roman" w:hAnsi="Times New Roman" w:eastAsia="宋体" w:cs="Times New Roman"/>
                <w:color w:val="auto"/>
                <w:spacing w:val="-2"/>
                <w:kern w:val="0"/>
                <w:sz w:val="21"/>
                <w:szCs w:val="20"/>
                <w:lang w:val="en-US" w:eastAsia="zh-CN" w:bidi="ar-SA"/>
              </w:rPr>
              <w:t>日均浓度</w:t>
            </w:r>
            <w:bookmarkEnd w:id="311"/>
          </w:p>
        </w:tc>
        <w:tc>
          <w:tcPr>
            <w:tcW w:w="672" w:type="pct"/>
            <w:tcBorders>
              <w:tl2br w:val="nil"/>
              <w:tr2bl w:val="nil"/>
            </w:tcBorders>
            <w:vAlign w:val="center"/>
          </w:tcPr>
          <w:p w14:paraId="08917109">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15</w:t>
            </w:r>
          </w:p>
        </w:tc>
        <w:tc>
          <w:tcPr>
            <w:tcW w:w="778" w:type="pct"/>
            <w:tcBorders>
              <w:tl2br w:val="nil"/>
              <w:tr2bl w:val="nil"/>
            </w:tcBorders>
            <w:vAlign w:val="center"/>
          </w:tcPr>
          <w:p w14:paraId="05395007">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2" w:name="OLE_LINK85"/>
            <w:r>
              <w:rPr>
                <w:rFonts w:hint="eastAsia" w:ascii="Times New Roman" w:hAnsi="Times New Roman" w:eastAsia="宋体" w:cs="Times New Roman"/>
                <w:color w:val="auto"/>
                <w:spacing w:val="-2"/>
                <w:kern w:val="0"/>
                <w:sz w:val="21"/>
                <w:szCs w:val="20"/>
                <w:lang w:val="en-US" w:eastAsia="zh-CN" w:bidi="ar-SA"/>
              </w:rPr>
              <w:t>ND</w:t>
            </w:r>
            <w:bookmarkEnd w:id="312"/>
          </w:p>
        </w:tc>
        <w:tc>
          <w:tcPr>
            <w:tcW w:w="500" w:type="pct"/>
            <w:tcBorders>
              <w:tl2br w:val="nil"/>
              <w:tr2bl w:val="nil"/>
            </w:tcBorders>
            <w:vAlign w:val="center"/>
          </w:tcPr>
          <w:p w14:paraId="3817E3CB">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3" w:name="OLE_LINK86"/>
            <w:r>
              <w:rPr>
                <w:rFonts w:hint="eastAsia" w:ascii="Times New Roman" w:hAnsi="Times New Roman" w:eastAsia="宋体" w:cs="Times New Roman"/>
                <w:color w:val="auto"/>
                <w:spacing w:val="-2"/>
                <w:kern w:val="0"/>
                <w:sz w:val="21"/>
                <w:szCs w:val="20"/>
                <w:highlight w:val="none"/>
                <w:lang w:val="en-US" w:eastAsia="zh-CN" w:bidi="ar-SA"/>
              </w:rPr>
              <w:t>/</w:t>
            </w:r>
            <w:bookmarkEnd w:id="313"/>
          </w:p>
        </w:tc>
        <w:tc>
          <w:tcPr>
            <w:tcW w:w="501" w:type="pct"/>
            <w:tcBorders>
              <w:tl2br w:val="nil"/>
              <w:tr2bl w:val="nil"/>
            </w:tcBorders>
            <w:vAlign w:val="center"/>
          </w:tcPr>
          <w:p w14:paraId="2E5CE094">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4" w:name="OLE_LINK88"/>
            <w:r>
              <w:rPr>
                <w:rFonts w:hint="eastAsia" w:ascii="Times New Roman" w:hAnsi="Times New Roman" w:eastAsia="宋体" w:cs="Times New Roman"/>
                <w:color w:val="auto"/>
                <w:spacing w:val="-2"/>
                <w:kern w:val="0"/>
                <w:sz w:val="21"/>
                <w:szCs w:val="20"/>
                <w:highlight w:val="none"/>
                <w:lang w:val="en-US" w:eastAsia="zh-CN" w:bidi="ar-SA"/>
              </w:rPr>
              <w:t>0</w:t>
            </w:r>
            <w:bookmarkEnd w:id="314"/>
          </w:p>
        </w:tc>
        <w:tc>
          <w:tcPr>
            <w:tcW w:w="504" w:type="pct"/>
            <w:tcBorders>
              <w:tl2br w:val="nil"/>
              <w:tr2bl w:val="nil"/>
            </w:tcBorders>
            <w:vAlign w:val="center"/>
          </w:tcPr>
          <w:p w14:paraId="4DD9AFD2">
            <w:pPr>
              <w:jc w:val="center"/>
              <w:rPr>
                <w:rFonts w:hint="default" w:ascii="Times New Roman" w:hAnsi="Times New Roman" w:cs="Times New Roman"/>
                <w:color w:val="auto"/>
                <w:sz w:val="21"/>
                <w:highlight w:val="none"/>
                <w:lang w:eastAsia="zh-CN"/>
              </w:rPr>
            </w:pPr>
            <w:bookmarkStart w:id="315" w:name="OLE_LINK89"/>
            <w:r>
              <w:rPr>
                <w:rFonts w:hint="default" w:ascii="Times New Roman" w:hAnsi="Times New Roman" w:cs="Times New Roman"/>
                <w:color w:val="auto"/>
                <w:sz w:val="21"/>
                <w:highlight w:val="none"/>
                <w:lang w:eastAsia="zh-CN"/>
              </w:rPr>
              <w:t>达标</w:t>
            </w:r>
            <w:bookmarkEnd w:id="315"/>
          </w:p>
        </w:tc>
      </w:tr>
      <w:tr w14:paraId="2867ACC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287" w:type="pct"/>
            <w:vMerge w:val="continue"/>
            <w:tcBorders>
              <w:tl2br w:val="nil"/>
              <w:tr2bl w:val="nil"/>
            </w:tcBorders>
            <w:vAlign w:val="center"/>
          </w:tcPr>
          <w:p w14:paraId="6774721A">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6CB56A3D">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245F0BFA">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氟化物</w:t>
            </w:r>
          </w:p>
        </w:tc>
        <w:tc>
          <w:tcPr>
            <w:tcW w:w="518" w:type="pct"/>
            <w:tcBorders>
              <w:tl2br w:val="nil"/>
              <w:tr2bl w:val="nil"/>
            </w:tcBorders>
            <w:vAlign w:val="center"/>
          </w:tcPr>
          <w:p w14:paraId="5DD53DE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日均浓度</w:t>
            </w:r>
          </w:p>
        </w:tc>
        <w:tc>
          <w:tcPr>
            <w:tcW w:w="672" w:type="pct"/>
            <w:tcBorders>
              <w:tl2br w:val="nil"/>
              <w:tr2bl w:val="nil"/>
            </w:tcBorders>
            <w:vAlign w:val="center"/>
          </w:tcPr>
          <w:p w14:paraId="52D27541">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7</w:t>
            </w:r>
          </w:p>
        </w:tc>
        <w:tc>
          <w:tcPr>
            <w:tcW w:w="778" w:type="pct"/>
            <w:tcBorders>
              <w:tl2br w:val="nil"/>
              <w:tr2bl w:val="nil"/>
            </w:tcBorders>
            <w:vAlign w:val="center"/>
          </w:tcPr>
          <w:p w14:paraId="55E3B740">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0.79</w:t>
            </w:r>
          </w:p>
        </w:tc>
        <w:tc>
          <w:tcPr>
            <w:tcW w:w="500" w:type="pct"/>
            <w:tcBorders>
              <w:tl2br w:val="nil"/>
              <w:tr2bl w:val="nil"/>
            </w:tcBorders>
            <w:vAlign w:val="center"/>
          </w:tcPr>
          <w:p w14:paraId="63ED08AE">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11.29</w:t>
            </w:r>
          </w:p>
        </w:tc>
        <w:tc>
          <w:tcPr>
            <w:tcW w:w="501" w:type="pct"/>
            <w:tcBorders>
              <w:tl2br w:val="nil"/>
              <w:tr2bl w:val="nil"/>
            </w:tcBorders>
            <w:vAlign w:val="center"/>
          </w:tcPr>
          <w:p w14:paraId="3C4478D2">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504" w:type="pct"/>
            <w:tcBorders>
              <w:tl2br w:val="nil"/>
              <w:tr2bl w:val="nil"/>
            </w:tcBorders>
            <w:vAlign w:val="center"/>
          </w:tcPr>
          <w:p w14:paraId="11E5448A">
            <w:pPr>
              <w:jc w:val="center"/>
              <w:rPr>
                <w:rFonts w:hint="default" w:ascii="Times New Roman" w:hAnsi="Times New Roman" w:cs="Times New Roman"/>
                <w:color w:val="auto"/>
                <w:sz w:val="21"/>
                <w:highlight w:val="none"/>
                <w:lang w:eastAsia="zh-CN"/>
              </w:rPr>
            </w:pPr>
            <w:r>
              <w:rPr>
                <w:rFonts w:hint="default" w:ascii="Times New Roman" w:hAnsi="Times New Roman" w:cs="Times New Roman"/>
                <w:color w:val="auto"/>
                <w:sz w:val="21"/>
                <w:highlight w:val="none"/>
                <w:lang w:eastAsia="zh-CN"/>
              </w:rPr>
              <w:t>达标</w:t>
            </w:r>
          </w:p>
        </w:tc>
      </w:tr>
      <w:tr w14:paraId="7A4E905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continue"/>
            <w:tcBorders>
              <w:tl2br w:val="nil"/>
              <w:tr2bl w:val="nil"/>
            </w:tcBorders>
            <w:vAlign w:val="center"/>
          </w:tcPr>
          <w:p w14:paraId="389B3640">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7A6C4468">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5CEE006E">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氨</w:t>
            </w:r>
          </w:p>
        </w:tc>
        <w:tc>
          <w:tcPr>
            <w:tcW w:w="518" w:type="pct"/>
            <w:tcBorders>
              <w:tl2br w:val="nil"/>
              <w:tr2bl w:val="nil"/>
            </w:tcBorders>
            <w:vAlign w:val="center"/>
          </w:tcPr>
          <w:p w14:paraId="28F9AD16">
            <w:pPr>
              <w:jc w:val="center"/>
              <w:rPr>
                <w:rFonts w:hint="eastAsia"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0110CC6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200</w:t>
            </w:r>
          </w:p>
        </w:tc>
        <w:tc>
          <w:tcPr>
            <w:tcW w:w="778" w:type="pct"/>
            <w:tcBorders>
              <w:tl2br w:val="nil"/>
              <w:tr2bl w:val="nil"/>
            </w:tcBorders>
            <w:vAlign w:val="center"/>
          </w:tcPr>
          <w:p w14:paraId="10B12E58">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20</w:t>
            </w:r>
          </w:p>
        </w:tc>
        <w:tc>
          <w:tcPr>
            <w:tcW w:w="500" w:type="pct"/>
            <w:tcBorders>
              <w:tl2br w:val="nil"/>
              <w:tr2bl w:val="nil"/>
            </w:tcBorders>
            <w:vAlign w:val="center"/>
          </w:tcPr>
          <w:p w14:paraId="79387569">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10</w:t>
            </w:r>
          </w:p>
        </w:tc>
        <w:tc>
          <w:tcPr>
            <w:tcW w:w="501" w:type="pct"/>
            <w:tcBorders>
              <w:tl2br w:val="nil"/>
              <w:tr2bl w:val="nil"/>
            </w:tcBorders>
            <w:vAlign w:val="center"/>
          </w:tcPr>
          <w:p w14:paraId="6EB680E9">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504" w:type="pct"/>
            <w:tcBorders>
              <w:tl2br w:val="nil"/>
              <w:tr2bl w:val="nil"/>
            </w:tcBorders>
            <w:vAlign w:val="center"/>
          </w:tcPr>
          <w:p w14:paraId="16AD00F2">
            <w:pPr>
              <w:jc w:val="center"/>
              <w:rPr>
                <w:rFonts w:hint="default" w:ascii="Times New Roman" w:hAnsi="Times New Roman" w:cs="Times New Roman"/>
                <w:color w:val="auto"/>
                <w:sz w:val="21"/>
                <w:highlight w:val="none"/>
                <w:lang w:eastAsia="zh-CN"/>
              </w:rPr>
            </w:pPr>
            <w:r>
              <w:rPr>
                <w:rFonts w:hint="default" w:ascii="Times New Roman" w:hAnsi="Times New Roman" w:cs="Times New Roman"/>
                <w:color w:val="auto"/>
                <w:sz w:val="21"/>
                <w:highlight w:val="none"/>
                <w:lang w:eastAsia="zh-CN"/>
              </w:rPr>
              <w:t>达标</w:t>
            </w:r>
          </w:p>
        </w:tc>
      </w:tr>
      <w:tr w14:paraId="69FFC99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continue"/>
            <w:tcBorders>
              <w:tl2br w:val="nil"/>
              <w:tr2bl w:val="nil"/>
            </w:tcBorders>
            <w:vAlign w:val="center"/>
          </w:tcPr>
          <w:p w14:paraId="4CE9D3B1">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068629D6">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6622AD8D">
            <w:pPr>
              <w:pStyle w:val="14"/>
              <w:spacing w:after="0" w:line="276" w:lineRule="auto"/>
              <w:ind w:left="0" w:leftChars="0"/>
              <w:jc w:val="center"/>
              <w:rPr>
                <w:rFonts w:hint="eastAsia"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二噁英类</w:t>
            </w:r>
          </w:p>
        </w:tc>
        <w:tc>
          <w:tcPr>
            <w:tcW w:w="518" w:type="pct"/>
            <w:tcBorders>
              <w:tl2br w:val="nil"/>
              <w:tr2bl w:val="nil"/>
            </w:tcBorders>
            <w:vAlign w:val="center"/>
          </w:tcPr>
          <w:p w14:paraId="7578DE5D">
            <w:pPr>
              <w:jc w:val="center"/>
              <w:rPr>
                <w:rFonts w:hint="eastAsia"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7CEBE899">
            <w:pPr>
              <w:jc w:val="center"/>
              <w:rPr>
                <w:rFonts w:hint="eastAsia"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3.6pgTEQ/Nm</w:t>
            </w:r>
            <w:r>
              <w:rPr>
                <w:rFonts w:hint="default" w:ascii="Times New Roman" w:hAnsi="Times New Roman" w:eastAsia="宋体" w:cs="Times New Roman"/>
                <w:color w:val="auto"/>
                <w:spacing w:val="-2"/>
                <w:kern w:val="0"/>
                <w:sz w:val="21"/>
                <w:szCs w:val="20"/>
                <w:vertAlign w:val="superscript"/>
                <w:lang w:val="en-US" w:eastAsia="zh-CN" w:bidi="ar-SA"/>
              </w:rPr>
              <w:t>3</w:t>
            </w:r>
          </w:p>
        </w:tc>
        <w:tc>
          <w:tcPr>
            <w:tcW w:w="778" w:type="pct"/>
            <w:tcBorders>
              <w:tl2br w:val="nil"/>
              <w:tr2bl w:val="nil"/>
            </w:tcBorders>
            <w:vAlign w:val="center"/>
          </w:tcPr>
          <w:p w14:paraId="7A26A577">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0.015</w:t>
            </w:r>
          </w:p>
        </w:tc>
        <w:tc>
          <w:tcPr>
            <w:tcW w:w="500" w:type="pct"/>
            <w:tcBorders>
              <w:tl2br w:val="nil"/>
              <w:tr2bl w:val="nil"/>
            </w:tcBorders>
            <w:vAlign w:val="center"/>
          </w:tcPr>
          <w:p w14:paraId="5769AA45">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0.41</w:t>
            </w:r>
          </w:p>
        </w:tc>
        <w:tc>
          <w:tcPr>
            <w:tcW w:w="976" w:type="dxa"/>
            <w:tcBorders>
              <w:tl2br w:val="nil"/>
              <w:tr2bl w:val="nil"/>
            </w:tcBorders>
            <w:vAlign w:val="center"/>
          </w:tcPr>
          <w:p w14:paraId="0E2B13F9">
            <w:pPr>
              <w:jc w:val="center"/>
              <w:rPr>
                <w:rFonts w:hint="eastAsia"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982" w:type="dxa"/>
            <w:tcBorders>
              <w:tl2br w:val="nil"/>
              <w:tr2bl w:val="nil"/>
            </w:tcBorders>
            <w:vAlign w:val="center"/>
          </w:tcPr>
          <w:p w14:paraId="42D7AC2B">
            <w:pPr>
              <w:jc w:val="center"/>
              <w:rPr>
                <w:rFonts w:hint="default" w:ascii="Times New Roman" w:hAnsi="Times New Roman" w:cs="Times New Roman"/>
                <w:color w:val="auto"/>
                <w:sz w:val="21"/>
                <w:highlight w:val="none"/>
                <w:lang w:eastAsia="zh-CN"/>
              </w:rPr>
            </w:pPr>
            <w:r>
              <w:rPr>
                <w:rFonts w:hint="default" w:ascii="Times New Roman" w:hAnsi="Times New Roman" w:cs="Times New Roman"/>
                <w:color w:val="auto"/>
                <w:sz w:val="21"/>
                <w:highlight w:val="none"/>
                <w:lang w:eastAsia="zh-CN"/>
              </w:rPr>
              <w:t>达标</w:t>
            </w:r>
          </w:p>
        </w:tc>
      </w:tr>
      <w:tr w14:paraId="6A1B073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restart"/>
            <w:tcBorders>
              <w:tl2br w:val="nil"/>
              <w:tr2bl w:val="nil"/>
            </w:tcBorders>
            <w:vAlign w:val="center"/>
          </w:tcPr>
          <w:p w14:paraId="4A3277B3">
            <w:pPr>
              <w:jc w:val="center"/>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2</w:t>
            </w:r>
          </w:p>
        </w:tc>
        <w:tc>
          <w:tcPr>
            <w:tcW w:w="636" w:type="pct"/>
            <w:vMerge w:val="restart"/>
            <w:tcBorders>
              <w:tl2br w:val="nil"/>
              <w:tr2bl w:val="nil"/>
            </w:tcBorders>
            <w:vAlign w:val="center"/>
          </w:tcPr>
          <w:p w14:paraId="44E38735">
            <w:pPr>
              <w:autoSpaceDE w:val="0"/>
              <w:autoSpaceDN w:val="0"/>
              <w:spacing w:line="276" w:lineRule="auto"/>
              <w:jc w:val="center"/>
              <w:rPr>
                <w:rFonts w:hint="default" w:ascii="Times New Roman" w:hAnsi="Times New Roman" w:cs="Times New Roman"/>
                <w:color w:val="auto"/>
                <w:sz w:val="21"/>
                <w:lang w:val="en-US"/>
              </w:rPr>
            </w:pPr>
            <w:r>
              <w:rPr>
                <w:rFonts w:hint="default" w:ascii="Times New Roman" w:hAnsi="Times New Roman" w:eastAsia="宋体" w:cs="Times New Roman"/>
                <w:color w:val="auto"/>
                <w:sz w:val="21"/>
                <w:szCs w:val="21"/>
                <w:lang w:val="en-US" w:eastAsia="zh-CN"/>
              </w:rPr>
              <w:t>G</w:t>
            </w:r>
            <w:r>
              <w:rPr>
                <w:rFonts w:hint="default" w:ascii="Times New Roman" w:hAnsi="Times New Roman" w:eastAsia="宋体" w:cs="Times New Roman"/>
                <w:color w:val="auto"/>
                <w:sz w:val="21"/>
                <w:szCs w:val="21"/>
                <w:vertAlign w:val="subscript"/>
                <w:lang w:val="en-US" w:eastAsia="zh-CN"/>
              </w:rPr>
              <w:t>2</w:t>
            </w:r>
            <w:r>
              <w:rPr>
                <w:rFonts w:hint="eastAsia" w:cs="Times New Roman"/>
                <w:color w:val="auto"/>
                <w:sz w:val="21"/>
                <w:szCs w:val="21"/>
                <w:lang w:val="en-US" w:eastAsia="zh-CN"/>
              </w:rPr>
              <w:t>朱楼村</w:t>
            </w:r>
          </w:p>
        </w:tc>
        <w:tc>
          <w:tcPr>
            <w:tcW w:w="598" w:type="pct"/>
            <w:tcBorders>
              <w:tl2br w:val="nil"/>
              <w:tr2bl w:val="nil"/>
            </w:tcBorders>
            <w:vAlign w:val="center"/>
          </w:tcPr>
          <w:p w14:paraId="66B2CFD0">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铅</w:t>
            </w:r>
          </w:p>
        </w:tc>
        <w:tc>
          <w:tcPr>
            <w:tcW w:w="518" w:type="pct"/>
            <w:tcBorders>
              <w:tl2br w:val="nil"/>
              <w:tr2bl w:val="nil"/>
            </w:tcBorders>
            <w:vAlign w:val="center"/>
          </w:tcPr>
          <w:p w14:paraId="622C7DAE">
            <w:pPr>
              <w:jc w:val="center"/>
              <w:rPr>
                <w:rFonts w:hint="default" w:ascii="Times New Roman" w:hAnsi="Times New Roman" w:eastAsia="宋体" w:cs="Times New Roman"/>
                <w:color w:val="auto"/>
                <w:spacing w:val="-2"/>
                <w:kern w:val="0"/>
                <w:sz w:val="21"/>
                <w:szCs w:val="20"/>
                <w:lang w:val="en-US" w:eastAsia="zh-CN" w:bidi="ar-SA"/>
              </w:rPr>
            </w:pPr>
            <w:bookmarkStart w:id="316" w:name="OLE_LINK90"/>
            <w:r>
              <w:rPr>
                <w:rFonts w:hint="eastAsia" w:ascii="Times New Roman" w:hAnsi="Times New Roman" w:eastAsia="宋体" w:cs="Times New Roman"/>
                <w:color w:val="auto"/>
                <w:spacing w:val="-2"/>
                <w:kern w:val="0"/>
                <w:sz w:val="21"/>
                <w:szCs w:val="20"/>
                <w:lang w:val="en-US" w:eastAsia="zh-CN" w:bidi="ar-SA"/>
              </w:rPr>
              <w:t>小时平均</w:t>
            </w:r>
            <w:bookmarkEnd w:id="316"/>
          </w:p>
        </w:tc>
        <w:tc>
          <w:tcPr>
            <w:tcW w:w="672" w:type="pct"/>
            <w:tcBorders>
              <w:tl2br w:val="nil"/>
              <w:tr2bl w:val="nil"/>
            </w:tcBorders>
            <w:vAlign w:val="center"/>
          </w:tcPr>
          <w:p w14:paraId="3EC0DA2D">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3000</w:t>
            </w:r>
            <w:r>
              <w:rPr>
                <w:color w:val="auto"/>
                <w:kern w:val="0"/>
                <w:sz w:val="21"/>
                <w:szCs w:val="21"/>
              </w:rPr>
              <w:t>ng/m</w:t>
            </w:r>
            <w:r>
              <w:rPr>
                <w:color w:val="auto"/>
                <w:kern w:val="0"/>
                <w:sz w:val="21"/>
                <w:szCs w:val="21"/>
                <w:vertAlign w:val="superscript"/>
              </w:rPr>
              <w:t>3</w:t>
            </w:r>
          </w:p>
        </w:tc>
        <w:tc>
          <w:tcPr>
            <w:tcW w:w="778" w:type="pct"/>
            <w:tcBorders>
              <w:tl2br w:val="nil"/>
              <w:tr2bl w:val="nil"/>
            </w:tcBorders>
            <w:vAlign w:val="center"/>
          </w:tcPr>
          <w:p w14:paraId="3212029D">
            <w:pPr>
              <w:jc w:val="center"/>
              <w:rPr>
                <w:rFonts w:hint="default" w:ascii="Times New Roman" w:hAnsi="Times New Roman" w:eastAsia="宋体" w:cs="Times New Roman"/>
                <w:color w:val="auto"/>
                <w:spacing w:val="-2"/>
                <w:kern w:val="0"/>
                <w:sz w:val="21"/>
                <w:szCs w:val="20"/>
                <w:lang w:val="en-US" w:eastAsia="zh-CN" w:bidi="ar-SA"/>
              </w:rPr>
            </w:pPr>
            <w:r>
              <w:rPr>
                <w:color w:val="auto"/>
                <w:kern w:val="0"/>
                <w:sz w:val="21"/>
                <w:szCs w:val="21"/>
              </w:rPr>
              <w:t>&lt;0.6</w:t>
            </w:r>
          </w:p>
        </w:tc>
        <w:tc>
          <w:tcPr>
            <w:tcW w:w="500" w:type="pct"/>
            <w:tcBorders>
              <w:tl2br w:val="nil"/>
              <w:tr2bl w:val="nil"/>
            </w:tcBorders>
            <w:vAlign w:val="center"/>
          </w:tcPr>
          <w:p w14:paraId="4B64D1EA">
            <w:pPr>
              <w:jc w:val="center"/>
              <w:rPr>
                <w:rFonts w:hint="default" w:ascii="Times New Roman" w:hAnsi="Times New Roman" w:eastAsia="宋体" w:cs="Times New Roman"/>
                <w:color w:val="auto"/>
                <w:spacing w:val="-2"/>
                <w:kern w:val="0"/>
                <w:sz w:val="21"/>
                <w:szCs w:val="20"/>
                <w:lang w:val="en-US" w:eastAsia="zh-CN" w:bidi="ar-SA"/>
              </w:rPr>
            </w:pPr>
            <w:bookmarkStart w:id="317" w:name="OLE_LINK93"/>
            <w:r>
              <w:rPr>
                <w:rFonts w:hint="eastAsia" w:ascii="Times New Roman" w:hAnsi="Times New Roman" w:eastAsia="宋体" w:cs="Times New Roman"/>
                <w:color w:val="auto"/>
                <w:spacing w:val="-2"/>
                <w:kern w:val="0"/>
                <w:sz w:val="21"/>
                <w:szCs w:val="20"/>
                <w:lang w:val="en-US" w:eastAsia="zh-CN" w:bidi="ar-SA"/>
              </w:rPr>
              <w:t>/</w:t>
            </w:r>
            <w:bookmarkEnd w:id="317"/>
          </w:p>
        </w:tc>
        <w:tc>
          <w:tcPr>
            <w:tcW w:w="501" w:type="pct"/>
            <w:tcBorders>
              <w:tl2br w:val="nil"/>
              <w:tr2bl w:val="nil"/>
            </w:tcBorders>
            <w:vAlign w:val="center"/>
          </w:tcPr>
          <w:p w14:paraId="46B5B83C">
            <w:pPr>
              <w:jc w:val="center"/>
              <w:rPr>
                <w:rFonts w:hint="default" w:ascii="Times New Roman" w:hAnsi="Times New Roman" w:eastAsia="宋体" w:cs="Times New Roman"/>
                <w:color w:val="auto"/>
                <w:spacing w:val="-2"/>
                <w:kern w:val="0"/>
                <w:sz w:val="21"/>
                <w:szCs w:val="20"/>
                <w:lang w:val="en-US" w:eastAsia="zh-CN" w:bidi="ar-SA"/>
              </w:rPr>
            </w:pPr>
            <w:bookmarkStart w:id="318" w:name="OLE_LINK94"/>
            <w:r>
              <w:rPr>
                <w:rFonts w:hint="eastAsia" w:ascii="Times New Roman" w:hAnsi="Times New Roman" w:eastAsia="宋体" w:cs="Times New Roman"/>
                <w:color w:val="auto"/>
                <w:spacing w:val="-2"/>
                <w:kern w:val="0"/>
                <w:sz w:val="21"/>
                <w:szCs w:val="20"/>
                <w:lang w:val="en-US" w:eastAsia="zh-CN" w:bidi="ar-SA"/>
              </w:rPr>
              <w:t>0</w:t>
            </w:r>
            <w:bookmarkEnd w:id="318"/>
          </w:p>
        </w:tc>
        <w:tc>
          <w:tcPr>
            <w:tcW w:w="504" w:type="pct"/>
            <w:tcBorders>
              <w:tl2br w:val="nil"/>
              <w:tr2bl w:val="nil"/>
            </w:tcBorders>
            <w:vAlign w:val="center"/>
          </w:tcPr>
          <w:p w14:paraId="19612997">
            <w:pPr>
              <w:jc w:val="center"/>
              <w:rPr>
                <w:rFonts w:hint="default" w:ascii="Times New Roman" w:hAnsi="Times New Roman" w:eastAsia="宋体" w:cs="Times New Roman"/>
                <w:color w:val="auto"/>
                <w:spacing w:val="-2"/>
                <w:kern w:val="0"/>
                <w:sz w:val="21"/>
                <w:szCs w:val="20"/>
                <w:lang w:val="en-US" w:eastAsia="zh-CN" w:bidi="ar-SA"/>
              </w:rPr>
            </w:pPr>
            <w:bookmarkStart w:id="319" w:name="OLE_LINK95"/>
            <w:r>
              <w:rPr>
                <w:rFonts w:hint="default" w:ascii="Times New Roman" w:hAnsi="Times New Roman" w:cs="Times New Roman"/>
                <w:color w:val="auto"/>
                <w:sz w:val="21"/>
              </w:rPr>
              <w:t>达标</w:t>
            </w:r>
            <w:bookmarkEnd w:id="319"/>
          </w:p>
        </w:tc>
      </w:tr>
      <w:tr w14:paraId="1B0A617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321C1C41">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1157BB58">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68EFBE2C">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砷</w:t>
            </w:r>
          </w:p>
        </w:tc>
        <w:tc>
          <w:tcPr>
            <w:tcW w:w="518" w:type="pct"/>
            <w:tcBorders>
              <w:tl2br w:val="nil"/>
              <w:tr2bl w:val="nil"/>
            </w:tcBorders>
            <w:vAlign w:val="center"/>
          </w:tcPr>
          <w:p w14:paraId="7953F45D">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1309" w:type="dxa"/>
            <w:tcBorders>
              <w:tl2br w:val="nil"/>
              <w:tr2bl w:val="nil"/>
            </w:tcBorders>
            <w:vAlign w:val="center"/>
          </w:tcPr>
          <w:p w14:paraId="1F20E835">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36</w:t>
            </w:r>
            <w:r>
              <w:rPr>
                <w:color w:val="auto"/>
                <w:kern w:val="0"/>
                <w:sz w:val="21"/>
                <w:szCs w:val="21"/>
              </w:rPr>
              <w:t>ng/m</w:t>
            </w:r>
            <w:r>
              <w:rPr>
                <w:color w:val="auto"/>
                <w:kern w:val="0"/>
                <w:sz w:val="21"/>
                <w:szCs w:val="21"/>
                <w:vertAlign w:val="superscript"/>
              </w:rPr>
              <w:t>3</w:t>
            </w:r>
          </w:p>
        </w:tc>
        <w:tc>
          <w:tcPr>
            <w:tcW w:w="1515" w:type="dxa"/>
            <w:tcBorders>
              <w:tl2br w:val="nil"/>
              <w:tr2bl w:val="nil"/>
            </w:tcBorders>
            <w:vAlign w:val="center"/>
          </w:tcPr>
          <w:p w14:paraId="0C25F2CA">
            <w:pPr>
              <w:jc w:val="center"/>
              <w:rPr>
                <w:rFonts w:hint="eastAsia" w:ascii="Times New Roman" w:hAnsi="Times New Roman" w:eastAsia="宋体" w:cs="Times New Roman"/>
                <w:color w:val="auto"/>
                <w:spacing w:val="-2"/>
                <w:kern w:val="0"/>
                <w:sz w:val="21"/>
                <w:szCs w:val="20"/>
                <w:lang w:val="en-US" w:eastAsia="zh-CN" w:bidi="ar-SA"/>
              </w:rPr>
            </w:pPr>
            <w:r>
              <w:rPr>
                <w:color w:val="auto"/>
                <w:kern w:val="0"/>
                <w:sz w:val="21"/>
                <w:szCs w:val="21"/>
              </w:rPr>
              <w:t>&lt;0.</w:t>
            </w:r>
            <w:r>
              <w:rPr>
                <w:rFonts w:hint="eastAsia"/>
                <w:color w:val="auto"/>
                <w:kern w:val="0"/>
                <w:sz w:val="21"/>
                <w:szCs w:val="21"/>
                <w:lang w:val="en-US" w:eastAsia="zh-CN"/>
              </w:rPr>
              <w:t>7</w:t>
            </w:r>
          </w:p>
        </w:tc>
        <w:tc>
          <w:tcPr>
            <w:tcW w:w="974" w:type="dxa"/>
            <w:tcBorders>
              <w:tl2br w:val="nil"/>
              <w:tr2bl w:val="nil"/>
            </w:tcBorders>
            <w:vAlign w:val="center"/>
          </w:tcPr>
          <w:p w14:paraId="274E2243">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976" w:type="dxa"/>
            <w:tcBorders>
              <w:tl2br w:val="nil"/>
              <w:tr2bl w:val="nil"/>
            </w:tcBorders>
            <w:vAlign w:val="center"/>
          </w:tcPr>
          <w:p w14:paraId="2EB9DC3A">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982" w:type="dxa"/>
            <w:tcBorders>
              <w:tl2br w:val="nil"/>
              <w:tr2bl w:val="nil"/>
            </w:tcBorders>
            <w:vAlign w:val="center"/>
          </w:tcPr>
          <w:p w14:paraId="556D0F9F">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tr w14:paraId="52548F5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1686C93C">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386996DD">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3ED8EFA4">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铬</w:t>
            </w:r>
          </w:p>
        </w:tc>
        <w:tc>
          <w:tcPr>
            <w:tcW w:w="518" w:type="pct"/>
            <w:tcBorders>
              <w:tl2br w:val="nil"/>
              <w:tr2bl w:val="nil"/>
            </w:tcBorders>
            <w:vAlign w:val="center"/>
          </w:tcPr>
          <w:p w14:paraId="06BB4F85">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15F8E49E">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0.15</w:t>
            </w:r>
          </w:p>
        </w:tc>
        <w:tc>
          <w:tcPr>
            <w:tcW w:w="778" w:type="pct"/>
            <w:tcBorders>
              <w:tl2br w:val="nil"/>
              <w:tr2bl w:val="nil"/>
            </w:tcBorders>
            <w:vAlign w:val="center"/>
          </w:tcPr>
          <w:p w14:paraId="29AD16C3">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ND</w:t>
            </w:r>
          </w:p>
        </w:tc>
        <w:tc>
          <w:tcPr>
            <w:tcW w:w="500" w:type="pct"/>
            <w:tcBorders>
              <w:tl2br w:val="nil"/>
              <w:tr2bl w:val="nil"/>
            </w:tcBorders>
            <w:vAlign w:val="center"/>
          </w:tcPr>
          <w:p w14:paraId="17177A09">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501" w:type="pct"/>
            <w:tcBorders>
              <w:tl2br w:val="nil"/>
              <w:tr2bl w:val="nil"/>
            </w:tcBorders>
            <w:vAlign w:val="center"/>
          </w:tcPr>
          <w:p w14:paraId="0449BE03">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504" w:type="pct"/>
            <w:tcBorders>
              <w:tl2br w:val="nil"/>
              <w:tr2bl w:val="nil"/>
            </w:tcBorders>
            <w:vAlign w:val="center"/>
          </w:tcPr>
          <w:p w14:paraId="69FA786A">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tr w14:paraId="29A11A9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3FE9D829">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7A244477">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68EF295B">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镉</w:t>
            </w:r>
          </w:p>
        </w:tc>
        <w:tc>
          <w:tcPr>
            <w:tcW w:w="518" w:type="pct"/>
            <w:tcBorders>
              <w:tl2br w:val="nil"/>
              <w:tr2bl w:val="nil"/>
            </w:tcBorders>
            <w:vAlign w:val="center"/>
          </w:tcPr>
          <w:p w14:paraId="03EE8B9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1309" w:type="dxa"/>
            <w:tcBorders>
              <w:tl2br w:val="nil"/>
              <w:tr2bl w:val="nil"/>
            </w:tcBorders>
            <w:vAlign w:val="center"/>
          </w:tcPr>
          <w:p w14:paraId="0E1C86D0">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30</w:t>
            </w:r>
            <w:r>
              <w:rPr>
                <w:color w:val="auto"/>
                <w:kern w:val="0"/>
                <w:sz w:val="21"/>
                <w:szCs w:val="21"/>
              </w:rPr>
              <w:t>ng/m</w:t>
            </w:r>
            <w:r>
              <w:rPr>
                <w:color w:val="auto"/>
                <w:kern w:val="0"/>
                <w:sz w:val="21"/>
                <w:szCs w:val="21"/>
                <w:vertAlign w:val="superscript"/>
              </w:rPr>
              <w:t>3</w:t>
            </w:r>
          </w:p>
        </w:tc>
        <w:tc>
          <w:tcPr>
            <w:tcW w:w="1515" w:type="dxa"/>
            <w:tcBorders>
              <w:tl2br w:val="nil"/>
              <w:tr2bl w:val="nil"/>
            </w:tcBorders>
            <w:vAlign w:val="center"/>
          </w:tcPr>
          <w:p w14:paraId="02C9BED5">
            <w:pPr>
              <w:jc w:val="center"/>
              <w:rPr>
                <w:rFonts w:hint="default" w:ascii="Times New Roman" w:hAnsi="Times New Roman" w:eastAsia="宋体" w:cs="Times New Roman"/>
                <w:color w:val="auto"/>
                <w:spacing w:val="-2"/>
                <w:kern w:val="0"/>
                <w:sz w:val="21"/>
                <w:szCs w:val="20"/>
                <w:lang w:val="en-US" w:eastAsia="zh-CN" w:bidi="ar-SA"/>
              </w:rPr>
            </w:pPr>
            <w:r>
              <w:rPr>
                <w:color w:val="auto"/>
                <w:kern w:val="0"/>
                <w:sz w:val="21"/>
                <w:szCs w:val="21"/>
              </w:rPr>
              <w:t>&lt;0.</w:t>
            </w:r>
            <w:r>
              <w:rPr>
                <w:rFonts w:hint="eastAsia"/>
                <w:color w:val="auto"/>
                <w:kern w:val="0"/>
                <w:sz w:val="21"/>
                <w:szCs w:val="21"/>
                <w:lang w:val="en-US" w:eastAsia="zh-CN"/>
              </w:rPr>
              <w:t>03</w:t>
            </w:r>
          </w:p>
        </w:tc>
        <w:tc>
          <w:tcPr>
            <w:tcW w:w="974" w:type="dxa"/>
            <w:tcBorders>
              <w:tl2br w:val="nil"/>
              <w:tr2bl w:val="nil"/>
            </w:tcBorders>
            <w:vAlign w:val="center"/>
          </w:tcPr>
          <w:p w14:paraId="28770A27">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976" w:type="dxa"/>
            <w:tcBorders>
              <w:tl2br w:val="nil"/>
              <w:tr2bl w:val="nil"/>
            </w:tcBorders>
            <w:vAlign w:val="center"/>
          </w:tcPr>
          <w:p w14:paraId="734A889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982" w:type="dxa"/>
            <w:tcBorders>
              <w:tl2br w:val="nil"/>
              <w:tr2bl w:val="nil"/>
            </w:tcBorders>
            <w:vAlign w:val="center"/>
          </w:tcPr>
          <w:p w14:paraId="694FDDE5">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tr w14:paraId="2F73700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50B73039">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3FF1810E">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3984ADDC">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锡</w:t>
            </w:r>
          </w:p>
        </w:tc>
        <w:tc>
          <w:tcPr>
            <w:tcW w:w="518" w:type="pct"/>
            <w:tcBorders>
              <w:tl2br w:val="nil"/>
              <w:tr2bl w:val="nil"/>
            </w:tcBorders>
            <w:vAlign w:val="center"/>
          </w:tcPr>
          <w:p w14:paraId="75670410">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2CF09763">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60</w:t>
            </w:r>
          </w:p>
        </w:tc>
        <w:tc>
          <w:tcPr>
            <w:tcW w:w="778" w:type="pct"/>
            <w:tcBorders>
              <w:tl2br w:val="nil"/>
              <w:tr2bl w:val="nil"/>
            </w:tcBorders>
            <w:vAlign w:val="center"/>
          </w:tcPr>
          <w:p w14:paraId="439F6249">
            <w:pPr>
              <w:jc w:val="center"/>
              <w:rPr>
                <w:rFonts w:hint="eastAsia" w:ascii="Times New Roman" w:hAnsi="Times New Roman" w:eastAsia="宋体" w:cs="Times New Roman"/>
                <w:color w:val="auto"/>
                <w:spacing w:val="-2"/>
                <w:kern w:val="0"/>
                <w:sz w:val="21"/>
                <w:szCs w:val="20"/>
                <w:lang w:val="en-US" w:eastAsia="zh-CN" w:bidi="ar-SA"/>
              </w:rPr>
            </w:pPr>
            <w:r>
              <w:rPr>
                <w:color w:val="auto"/>
                <w:kern w:val="0"/>
                <w:sz w:val="21"/>
                <w:szCs w:val="21"/>
              </w:rPr>
              <w:t>&lt;</w:t>
            </w:r>
            <w:r>
              <w:rPr>
                <w:rFonts w:hint="eastAsia"/>
                <w:color w:val="auto"/>
                <w:kern w:val="0"/>
                <w:sz w:val="21"/>
                <w:szCs w:val="21"/>
                <w:lang w:val="en-US" w:eastAsia="zh-CN"/>
              </w:rPr>
              <w:t>1</w:t>
            </w:r>
          </w:p>
        </w:tc>
        <w:tc>
          <w:tcPr>
            <w:tcW w:w="500" w:type="pct"/>
            <w:tcBorders>
              <w:tl2br w:val="nil"/>
              <w:tr2bl w:val="nil"/>
            </w:tcBorders>
            <w:vAlign w:val="center"/>
          </w:tcPr>
          <w:p w14:paraId="1541C2FC">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501" w:type="pct"/>
            <w:tcBorders>
              <w:tl2br w:val="nil"/>
              <w:tr2bl w:val="nil"/>
            </w:tcBorders>
            <w:vAlign w:val="center"/>
          </w:tcPr>
          <w:p w14:paraId="7ACA922A">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504" w:type="pct"/>
            <w:tcBorders>
              <w:tl2br w:val="nil"/>
              <w:tr2bl w:val="nil"/>
            </w:tcBorders>
            <w:vAlign w:val="center"/>
          </w:tcPr>
          <w:p w14:paraId="6E68D516">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bookmarkEnd w:id="306"/>
      <w:bookmarkEnd w:id="307"/>
    </w:tbl>
    <w:p w14:paraId="5564A858">
      <w:pPr>
        <w:jc w:val="center"/>
        <w:rPr>
          <w:b/>
          <w:bCs/>
          <w:color w:val="auto"/>
          <w:sz w:val="24"/>
          <w:szCs w:val="32"/>
        </w:rPr>
      </w:pPr>
    </w:p>
    <w:p w14:paraId="3BB999DE">
      <w:pPr>
        <w:spacing w:line="360" w:lineRule="auto"/>
        <w:ind w:firstLine="480" w:firstLineChars="200"/>
        <w:rPr>
          <w:rFonts w:hint="eastAsia" w:eastAsia="宋体"/>
          <w:color w:val="auto"/>
          <w:sz w:val="32"/>
          <w:szCs w:val="40"/>
          <w:lang w:eastAsia="zh-CN"/>
        </w:rPr>
      </w:pPr>
      <w:bookmarkStart w:id="320" w:name="_Toc22497"/>
      <w:bookmarkStart w:id="321" w:name="_Toc2107"/>
      <w:r>
        <w:rPr>
          <w:color w:val="auto"/>
          <w:sz w:val="24"/>
          <w:szCs w:val="32"/>
        </w:rPr>
        <w:t>由上表可知，监测点监测因子</w:t>
      </w:r>
      <w:r>
        <w:rPr>
          <w:snapToGrid w:val="0"/>
          <w:color w:val="auto"/>
          <w:kern w:val="0"/>
          <w:sz w:val="24"/>
          <w:szCs w:val="32"/>
        </w:rPr>
        <w:t>TSP、</w:t>
      </w:r>
      <w:r>
        <w:rPr>
          <w:color w:val="auto"/>
          <w:sz w:val="24"/>
          <w:szCs w:val="32"/>
        </w:rPr>
        <w:t>氟化物</w:t>
      </w:r>
      <w:r>
        <w:rPr>
          <w:rFonts w:hint="eastAsia"/>
          <w:color w:val="auto"/>
          <w:sz w:val="24"/>
          <w:szCs w:val="32"/>
          <w:lang w:eastAsia="zh-CN"/>
        </w:rPr>
        <w:t>、</w:t>
      </w:r>
      <w:r>
        <w:rPr>
          <w:rFonts w:hint="eastAsia"/>
          <w:color w:val="auto"/>
          <w:sz w:val="24"/>
          <w:szCs w:val="32"/>
          <w:vertAlign w:val="baseline"/>
          <w:lang w:eastAsia="zh-CN"/>
        </w:rPr>
        <w:t>铅、砷、铬、镉</w:t>
      </w:r>
      <w:r>
        <w:rPr>
          <w:color w:val="auto"/>
          <w:sz w:val="24"/>
          <w:szCs w:val="32"/>
        </w:rPr>
        <w:t>满足《环境空气质量标准》（GB3095-2012）中二级标准要求，HCl</w:t>
      </w:r>
      <w:r>
        <w:rPr>
          <w:rFonts w:hint="eastAsia"/>
          <w:color w:val="auto"/>
          <w:sz w:val="24"/>
          <w:szCs w:val="32"/>
          <w:lang w:eastAsia="zh-CN"/>
        </w:rPr>
        <w:t>、</w:t>
      </w:r>
      <w:r>
        <w:rPr>
          <w:rFonts w:hint="eastAsia"/>
          <w:color w:val="auto"/>
          <w:sz w:val="24"/>
          <w:szCs w:val="32"/>
          <w:lang w:val="en-US" w:eastAsia="zh-CN"/>
        </w:rPr>
        <w:t>氨</w:t>
      </w:r>
      <w:r>
        <w:rPr>
          <w:color w:val="auto"/>
          <w:sz w:val="24"/>
          <w:szCs w:val="32"/>
        </w:rPr>
        <w:t>满足《环境影响评价技术导则 大气环境》（HJ2.2-2018）中的附录D标准，二噁英满足日本环境厅中央环境审议会制定环境标准一次浓度为3.6pgTEQ/m</w:t>
      </w:r>
      <w:r>
        <w:rPr>
          <w:color w:val="auto"/>
          <w:sz w:val="24"/>
          <w:szCs w:val="32"/>
          <w:vertAlign w:val="superscript"/>
        </w:rPr>
        <w:t>3</w:t>
      </w:r>
      <w:r>
        <w:rPr>
          <w:rFonts w:hint="eastAsia"/>
          <w:color w:val="auto"/>
          <w:sz w:val="24"/>
          <w:szCs w:val="32"/>
          <w:vertAlign w:val="baseline"/>
          <w:lang w:eastAsia="zh-CN"/>
        </w:rPr>
        <w:t>，锡及其化合物满足《大气污染物排放标准》（GB16297-1996）详解中的推荐标准值。</w:t>
      </w:r>
    </w:p>
    <w:bookmarkEnd w:id="320"/>
    <w:bookmarkEnd w:id="321"/>
    <w:p w14:paraId="46FBA40C">
      <w:pPr>
        <w:spacing w:line="360" w:lineRule="auto"/>
        <w:outlineLvl w:val="2"/>
        <w:rPr>
          <w:b/>
          <w:bCs/>
          <w:color w:val="auto"/>
          <w:sz w:val="24"/>
        </w:rPr>
      </w:pPr>
      <w:r>
        <w:rPr>
          <w:b/>
          <w:bCs/>
          <w:color w:val="auto"/>
          <w:sz w:val="24"/>
        </w:rPr>
        <w:t>4.3.2地表水环境现状监测与评价</w:t>
      </w:r>
    </w:p>
    <w:p w14:paraId="5F48074C">
      <w:pPr>
        <w:spacing w:line="360" w:lineRule="auto"/>
        <w:rPr>
          <w:rFonts w:hint="default" w:eastAsia="宋体"/>
          <w:b/>
          <w:bCs/>
          <w:color w:val="auto"/>
          <w:sz w:val="24"/>
          <w:szCs w:val="32"/>
          <w:lang w:val="en-US" w:eastAsia="zh-CN"/>
        </w:rPr>
      </w:pPr>
      <w:r>
        <w:rPr>
          <w:rFonts w:hint="eastAsia"/>
          <w:b/>
          <w:bCs/>
          <w:color w:val="auto"/>
          <w:sz w:val="24"/>
          <w:szCs w:val="32"/>
          <w:lang w:val="en-US" w:eastAsia="zh-CN"/>
        </w:rPr>
        <w:t>4.3.2.1 区域地表水达标情况</w:t>
      </w:r>
    </w:p>
    <w:p w14:paraId="5248991D">
      <w:pPr>
        <w:spacing w:line="360" w:lineRule="auto"/>
        <w:ind w:firstLine="480" w:firstLineChars="200"/>
        <w:rPr>
          <w:rFonts w:hint="eastAsia"/>
          <w:color w:val="auto"/>
          <w:sz w:val="24"/>
          <w:szCs w:val="32"/>
        </w:rPr>
      </w:pPr>
      <w:r>
        <w:rPr>
          <w:rFonts w:hint="eastAsia"/>
          <w:color w:val="auto"/>
          <w:sz w:val="24"/>
          <w:szCs w:val="32"/>
        </w:rPr>
        <w:t>根据《淮北市2024年度生态环境状况公报》，2024年淮北市地表水共监测27个断面，地表水环境质量总体为轻度污染，水质指数为4.8313。水质达到I类比例为29.6%(8个)，IV类水质断面占66.7%</w:t>
      </w:r>
      <w:r>
        <w:rPr>
          <w:rFonts w:hint="eastAsia"/>
          <w:color w:val="auto"/>
          <w:sz w:val="24"/>
          <w:szCs w:val="32"/>
          <w:lang w:eastAsia="zh-CN"/>
        </w:rPr>
        <w:t>（</w:t>
      </w:r>
      <w:r>
        <w:rPr>
          <w:rFonts w:hint="eastAsia"/>
          <w:color w:val="auto"/>
          <w:sz w:val="24"/>
          <w:szCs w:val="32"/>
        </w:rPr>
        <w:t>18个</w:t>
      </w:r>
      <w:r>
        <w:rPr>
          <w:rFonts w:hint="eastAsia"/>
          <w:color w:val="auto"/>
          <w:sz w:val="24"/>
          <w:szCs w:val="32"/>
          <w:lang w:eastAsia="zh-CN"/>
        </w:rPr>
        <w:t>）</w:t>
      </w:r>
      <w:r>
        <w:rPr>
          <w:rFonts w:hint="eastAsia"/>
          <w:color w:val="auto"/>
          <w:sz w:val="24"/>
          <w:szCs w:val="32"/>
        </w:rPr>
        <w:t>，V类水质断面占3.7%</w:t>
      </w:r>
      <w:r>
        <w:rPr>
          <w:rFonts w:hint="eastAsia"/>
          <w:color w:val="auto"/>
          <w:sz w:val="24"/>
          <w:szCs w:val="32"/>
          <w:lang w:eastAsia="zh-CN"/>
        </w:rPr>
        <w:t>（</w:t>
      </w:r>
      <w:r>
        <w:rPr>
          <w:rFonts w:hint="eastAsia"/>
          <w:color w:val="auto"/>
          <w:sz w:val="24"/>
          <w:szCs w:val="32"/>
        </w:rPr>
        <w:t>1个</w:t>
      </w:r>
      <w:r>
        <w:rPr>
          <w:rFonts w:hint="eastAsia"/>
          <w:color w:val="auto"/>
          <w:sz w:val="24"/>
          <w:szCs w:val="32"/>
          <w:lang w:eastAsia="zh-CN"/>
        </w:rPr>
        <w:t>）</w:t>
      </w:r>
      <w:r>
        <w:rPr>
          <w:rFonts w:hint="eastAsia"/>
          <w:color w:val="auto"/>
          <w:sz w:val="24"/>
          <w:szCs w:val="32"/>
        </w:rPr>
        <w:t>，无劣V类断面，主要污染指标为化学需氧量、氟化物和高锰酸盐指数。</w:t>
      </w:r>
    </w:p>
    <w:p w14:paraId="7641466E">
      <w:pPr>
        <w:spacing w:line="360" w:lineRule="auto"/>
        <w:ind w:firstLine="480" w:firstLineChars="200"/>
        <w:rPr>
          <w:color w:val="auto"/>
          <w:sz w:val="24"/>
          <w:szCs w:val="32"/>
        </w:rPr>
      </w:pPr>
      <w:r>
        <w:rPr>
          <w:rFonts w:hint="eastAsia"/>
          <w:color w:val="auto"/>
          <w:sz w:val="24"/>
          <w:szCs w:val="32"/>
        </w:rPr>
        <w:t>2024年水污染防治考核目标责任书确定的淮北市4个国控地表水考核断面中，扣除氟化物本底值影响后，水质达标率为50%。浍河东坪集断面水质(出境，II类)和邂河李大桥闸断面水质(出境，II类)达标，萧濉新河符离闸断面水质</w:t>
      </w:r>
      <w:r>
        <w:rPr>
          <w:rFonts w:hint="eastAsia"/>
          <w:color w:val="auto"/>
          <w:sz w:val="24"/>
          <w:szCs w:val="32"/>
          <w:lang w:eastAsia="zh-CN"/>
        </w:rPr>
        <w:t>（</w:t>
      </w:r>
      <w:r>
        <w:rPr>
          <w:rFonts w:hint="eastAsia"/>
          <w:color w:val="auto"/>
          <w:sz w:val="24"/>
          <w:szCs w:val="32"/>
        </w:rPr>
        <w:t>出境，IV类</w:t>
      </w:r>
      <w:r>
        <w:rPr>
          <w:rFonts w:hint="eastAsia"/>
          <w:color w:val="auto"/>
          <w:sz w:val="24"/>
          <w:szCs w:val="32"/>
          <w:lang w:eastAsia="zh-CN"/>
        </w:rPr>
        <w:t>）</w:t>
      </w:r>
      <w:r>
        <w:rPr>
          <w:rFonts w:hint="eastAsia"/>
          <w:color w:val="auto"/>
          <w:sz w:val="24"/>
          <w:szCs w:val="32"/>
        </w:rPr>
        <w:t>和沱河后常桥断面水质</w:t>
      </w:r>
      <w:r>
        <w:rPr>
          <w:rFonts w:hint="eastAsia"/>
          <w:color w:val="auto"/>
          <w:sz w:val="24"/>
          <w:szCs w:val="32"/>
          <w:lang w:eastAsia="zh-CN"/>
        </w:rPr>
        <w:t>（</w:t>
      </w:r>
      <w:r>
        <w:rPr>
          <w:rFonts w:hint="eastAsia"/>
          <w:color w:val="auto"/>
          <w:sz w:val="24"/>
          <w:szCs w:val="32"/>
        </w:rPr>
        <w:t>出境，IV类</w:t>
      </w:r>
      <w:r>
        <w:rPr>
          <w:rFonts w:hint="eastAsia"/>
          <w:color w:val="auto"/>
          <w:sz w:val="24"/>
          <w:szCs w:val="32"/>
          <w:lang w:eastAsia="zh-CN"/>
        </w:rPr>
        <w:t>）</w:t>
      </w:r>
      <w:r>
        <w:rPr>
          <w:rFonts w:hint="eastAsia"/>
          <w:color w:val="auto"/>
          <w:sz w:val="24"/>
          <w:szCs w:val="32"/>
        </w:rPr>
        <w:t>未达标。</w:t>
      </w:r>
    </w:p>
    <w:p w14:paraId="024FD8E0">
      <w:pPr>
        <w:spacing w:line="360" w:lineRule="auto"/>
        <w:rPr>
          <w:rFonts w:hint="default" w:eastAsia="宋体"/>
          <w:b/>
          <w:bCs/>
          <w:color w:val="0000FF"/>
          <w:sz w:val="24"/>
          <w:szCs w:val="32"/>
          <w:lang w:val="en-US" w:eastAsia="zh-CN"/>
        </w:rPr>
      </w:pPr>
      <w:r>
        <w:rPr>
          <w:rFonts w:hint="eastAsia"/>
          <w:b/>
          <w:bCs/>
          <w:color w:val="0000FF"/>
          <w:sz w:val="24"/>
          <w:szCs w:val="32"/>
          <w:lang w:val="en-US" w:eastAsia="zh-CN"/>
        </w:rPr>
        <w:t>4.3.2.2 地表水环境质量现状监测</w:t>
      </w:r>
    </w:p>
    <w:p w14:paraId="5332C708">
      <w:pPr>
        <w:spacing w:line="360" w:lineRule="auto"/>
        <w:ind w:firstLine="480" w:firstLineChars="200"/>
        <w:rPr>
          <w:rFonts w:hint="default" w:ascii="Times New Roman" w:hAnsi="Times New Roman" w:cs="Times New Roman"/>
          <w:b w:val="0"/>
          <w:bCs w:val="0"/>
          <w:color w:val="0000FF"/>
          <w:sz w:val="24"/>
          <w:szCs w:val="21"/>
          <w:highlight w:val="none"/>
          <w:lang w:val="en-US" w:eastAsia="zh-CN"/>
        </w:rPr>
      </w:pPr>
      <w:r>
        <w:rPr>
          <w:rFonts w:hint="eastAsia" w:cs="Times New Roman"/>
          <w:b w:val="0"/>
          <w:bCs w:val="0"/>
          <w:color w:val="0000FF"/>
          <w:sz w:val="24"/>
          <w:szCs w:val="21"/>
          <w:highlight w:val="none"/>
          <w:lang w:val="en-US" w:eastAsia="zh-CN"/>
        </w:rPr>
        <w:t>根据</w:t>
      </w:r>
      <w:r>
        <w:rPr>
          <w:rFonts w:hint="default" w:ascii="Times New Roman" w:hAnsi="Times New Roman" w:cs="Times New Roman"/>
          <w:b w:val="0"/>
          <w:bCs w:val="0"/>
          <w:color w:val="0000FF"/>
          <w:sz w:val="24"/>
          <w:szCs w:val="21"/>
          <w:highlight w:val="none"/>
          <w:lang w:val="en-US" w:eastAsia="zh-CN"/>
        </w:rPr>
        <w:t>《濉溪第二污水处理厂入河排污口论证报告》</w:t>
      </w:r>
      <w:r>
        <w:rPr>
          <w:rFonts w:hint="eastAsia" w:cs="Times New Roman"/>
          <w:b w:val="0"/>
          <w:bCs w:val="0"/>
          <w:color w:val="0000FF"/>
          <w:sz w:val="24"/>
          <w:szCs w:val="21"/>
          <w:highlight w:val="none"/>
          <w:lang w:val="en-US" w:eastAsia="zh-CN"/>
        </w:rPr>
        <w:t>可知，</w:t>
      </w:r>
      <w:r>
        <w:rPr>
          <w:rFonts w:hint="default" w:ascii="Times New Roman" w:hAnsi="Times New Roman" w:cs="Times New Roman"/>
          <w:b w:val="0"/>
          <w:bCs w:val="0"/>
          <w:color w:val="0000FF"/>
          <w:sz w:val="24"/>
          <w:szCs w:val="21"/>
          <w:highlight w:val="none"/>
          <w:lang w:val="en-US" w:eastAsia="zh-CN"/>
        </w:rPr>
        <w:t>濉溪第二污水处理厂</w:t>
      </w:r>
      <w:r>
        <w:rPr>
          <w:rFonts w:hint="eastAsia" w:cs="Times New Roman"/>
          <w:b w:val="0"/>
          <w:bCs w:val="0"/>
          <w:color w:val="0000FF"/>
          <w:sz w:val="24"/>
          <w:szCs w:val="21"/>
          <w:highlight w:val="none"/>
          <w:lang w:val="en-US" w:eastAsia="zh-CN"/>
        </w:rPr>
        <w:t>尾水排放路线为：入河排污口—濉临沟—戚家沟—杨柳大沟—浍河，该入河排污口于2025年底运行。项目入河排污口较原环评阶段易发生变动，为了解本项目的建设运行对同一地表水环境质量的影响，本次地表水环境质量现状监测数据引用</w:t>
      </w:r>
      <w:r>
        <w:rPr>
          <w:rFonts w:hint="default" w:ascii="Times New Roman" w:hAnsi="Times New Roman" w:cs="Times New Roman"/>
          <w:b w:val="0"/>
          <w:bCs w:val="0"/>
          <w:color w:val="0000FF"/>
          <w:sz w:val="24"/>
          <w:szCs w:val="21"/>
          <w:highlight w:val="none"/>
          <w:lang w:val="en-US" w:eastAsia="zh-CN"/>
        </w:rPr>
        <w:t>《安徽濉溪经济开发区总体发展规划（2023～2035）环境影响报告书》</w:t>
      </w:r>
      <w:r>
        <w:rPr>
          <w:rFonts w:hint="eastAsia" w:ascii="Times New Roman" w:hAnsi="Times New Roman" w:cs="Times New Roman"/>
          <w:b w:val="0"/>
          <w:bCs w:val="0"/>
          <w:color w:val="0000FF"/>
          <w:sz w:val="24"/>
          <w:szCs w:val="21"/>
          <w:highlight w:val="none"/>
          <w:lang w:val="en-US" w:eastAsia="zh-CN"/>
        </w:rPr>
        <w:t>环境监测报告数据，监测水体为</w:t>
      </w:r>
      <w:r>
        <w:rPr>
          <w:rFonts w:hint="default" w:ascii="Times New Roman" w:hAnsi="Times New Roman" w:cs="Times New Roman"/>
          <w:b w:val="0"/>
          <w:bCs w:val="0"/>
          <w:color w:val="0000FF"/>
          <w:sz w:val="24"/>
          <w:szCs w:val="21"/>
          <w:highlight w:val="none"/>
          <w:lang w:val="en-US" w:eastAsia="zh-CN"/>
        </w:rPr>
        <w:t>濉溪第二污水处理厂</w:t>
      </w:r>
      <w:r>
        <w:rPr>
          <w:rFonts w:hint="eastAsia" w:ascii="Times New Roman" w:hAnsi="Times New Roman" w:cs="Times New Roman"/>
          <w:b w:val="0"/>
          <w:bCs w:val="0"/>
          <w:color w:val="0000FF"/>
          <w:sz w:val="24"/>
          <w:szCs w:val="21"/>
          <w:highlight w:val="none"/>
          <w:lang w:val="en-US" w:eastAsia="zh-CN"/>
        </w:rPr>
        <w:t>排污口变动前的受纳水体，具体如下：</w:t>
      </w:r>
    </w:p>
    <w:p w14:paraId="69FBCB12">
      <w:pPr>
        <w:spacing w:line="360" w:lineRule="auto"/>
        <w:ind w:firstLine="480" w:firstLineChars="200"/>
        <w:rPr>
          <w:color w:val="auto"/>
          <w:sz w:val="24"/>
          <w:szCs w:val="32"/>
        </w:rPr>
      </w:pPr>
      <w:r>
        <w:rPr>
          <w:rFonts w:hint="default" w:ascii="Times New Roman" w:hAnsi="Times New Roman" w:cs="Times New Roman"/>
          <w:b w:val="0"/>
          <w:bCs w:val="0"/>
          <w:color w:val="auto"/>
          <w:sz w:val="24"/>
          <w:szCs w:val="21"/>
          <w:highlight w:val="none"/>
          <w:lang w:val="en-US" w:eastAsia="zh-CN"/>
        </w:rPr>
        <w:t>为进一步了解</w:t>
      </w:r>
      <w:r>
        <w:rPr>
          <w:rFonts w:hint="eastAsia" w:ascii="Times New Roman" w:hAnsi="Times New Roman" w:cs="Times New Roman"/>
          <w:b w:val="0"/>
          <w:bCs w:val="0"/>
          <w:color w:val="auto"/>
          <w:sz w:val="24"/>
          <w:szCs w:val="21"/>
          <w:highlight w:val="none"/>
          <w:lang w:val="en-US" w:eastAsia="zh-CN"/>
        </w:rPr>
        <w:t>区域地表水</w:t>
      </w:r>
      <w:r>
        <w:rPr>
          <w:rFonts w:hint="default" w:ascii="Times New Roman" w:hAnsi="Times New Roman" w:cs="Times New Roman"/>
          <w:b w:val="0"/>
          <w:bCs w:val="0"/>
          <w:color w:val="auto"/>
          <w:sz w:val="24"/>
          <w:szCs w:val="21"/>
          <w:highlight w:val="none"/>
          <w:lang w:val="en-US" w:eastAsia="zh-CN"/>
        </w:rPr>
        <w:t>环境质量现状，本次地表水现状监测数据引用《安徽濉溪经济开发区总体发展规划（2023～2035）环境影响报告书》</w:t>
      </w:r>
      <w:r>
        <w:rPr>
          <w:rFonts w:hint="eastAsia" w:ascii="Times New Roman" w:hAnsi="Times New Roman" w:cs="Times New Roman"/>
          <w:b w:val="0"/>
          <w:bCs w:val="0"/>
          <w:color w:val="auto"/>
          <w:sz w:val="24"/>
          <w:szCs w:val="21"/>
          <w:highlight w:val="none"/>
          <w:lang w:val="en-US" w:eastAsia="zh-CN"/>
        </w:rPr>
        <w:t>环境监测报告数据，引用的监测数据的监测时间为</w:t>
      </w:r>
      <w:bookmarkStart w:id="322" w:name="OLE_LINK99"/>
      <w:r>
        <w:rPr>
          <w:rFonts w:hint="eastAsia" w:ascii="Times New Roman" w:hAnsi="Times New Roman" w:eastAsia="宋体" w:cs="Times New Roman"/>
          <w:b w:val="0"/>
          <w:bCs w:val="0"/>
          <w:color w:val="auto"/>
          <w:sz w:val="24"/>
          <w:szCs w:val="32"/>
          <w:highlight w:val="none"/>
          <w:lang w:val="en-US" w:eastAsia="zh-CN"/>
        </w:rPr>
        <w:t>2023年7月10日~7月12日</w:t>
      </w:r>
      <w:bookmarkEnd w:id="322"/>
      <w:r>
        <w:rPr>
          <w:rFonts w:hint="eastAsia" w:ascii="Times New Roman" w:hAnsi="Times New Roman" w:cs="Times New Roman"/>
          <w:b w:val="0"/>
          <w:bCs w:val="0"/>
          <w:color w:val="auto"/>
          <w:sz w:val="24"/>
          <w:szCs w:val="21"/>
          <w:highlight w:val="none"/>
          <w:lang w:val="en-US" w:eastAsia="zh-CN"/>
        </w:rPr>
        <w:t>，满足《建设项目环境影响评价技术导则总纲》（HJ2.1-2016）和《环境影响评价技术导则地表水环境》（HJ2.3-2018）中要求的</w:t>
      </w:r>
      <w:r>
        <w:rPr>
          <w:rFonts w:hint="eastAsia" w:ascii="宋体" w:hAnsi="宋体" w:eastAsia="宋体" w:cs="宋体"/>
          <w:b w:val="0"/>
          <w:bCs w:val="0"/>
          <w:color w:val="auto"/>
          <w:sz w:val="24"/>
          <w:szCs w:val="21"/>
          <w:highlight w:val="none"/>
          <w:lang w:val="en-US" w:eastAsia="zh-CN"/>
        </w:rPr>
        <w:t>“</w:t>
      </w:r>
      <w:r>
        <w:rPr>
          <w:rFonts w:hint="eastAsia" w:ascii="Times New Roman" w:hAnsi="Times New Roman" w:cs="Times New Roman"/>
          <w:b w:val="0"/>
          <w:bCs w:val="0"/>
          <w:color w:val="auto"/>
          <w:sz w:val="24"/>
          <w:szCs w:val="21"/>
          <w:highlight w:val="none"/>
          <w:lang w:val="en-US" w:eastAsia="zh-CN"/>
        </w:rPr>
        <w:t>充分收集和利用评价范围内各例行监测点、断面或站位的近三年环境监测资料或背景值调查资料，当现有资料不能满足要求时，应进行现场调查和测试，现状监测和观测网点应根据各环境要素环境影响评价技术导则要求布设，兼顾均布性和代表性原则</w:t>
      </w:r>
      <w:r>
        <w:rPr>
          <w:rFonts w:hint="eastAsia" w:ascii="宋体" w:hAnsi="宋体" w:eastAsia="宋体" w:cs="宋体"/>
          <w:b w:val="0"/>
          <w:bCs w:val="0"/>
          <w:color w:val="auto"/>
          <w:sz w:val="24"/>
          <w:szCs w:val="21"/>
          <w:highlight w:val="none"/>
          <w:lang w:val="en-US" w:eastAsia="zh-CN"/>
        </w:rPr>
        <w:t>”</w:t>
      </w:r>
      <w:r>
        <w:rPr>
          <w:rFonts w:hint="eastAsia" w:ascii="Times New Roman" w:hAnsi="Times New Roman" w:cs="Times New Roman"/>
          <w:b w:val="0"/>
          <w:bCs w:val="0"/>
          <w:color w:val="auto"/>
          <w:sz w:val="24"/>
          <w:szCs w:val="21"/>
          <w:highlight w:val="none"/>
          <w:lang w:val="en-US" w:eastAsia="zh-CN"/>
        </w:rPr>
        <w:t>中的要求。</w:t>
      </w:r>
    </w:p>
    <w:p w14:paraId="7E10D38D">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引用的监测断面见表4-4，断面布点原则和监测因子的选择性符合均布性和代表性要求，且覆盖了本项目水环境评价调查范围；综上，本次引用的监测数据是符合要求的。</w:t>
      </w:r>
    </w:p>
    <w:p w14:paraId="427C59B3">
      <w:pPr>
        <w:spacing w:line="360" w:lineRule="auto"/>
        <w:ind w:firstLine="480" w:firstLineChars="200"/>
        <w:rPr>
          <w:rFonts w:hint="eastAsia"/>
          <w:color w:val="auto"/>
          <w:sz w:val="24"/>
          <w:szCs w:val="21"/>
          <w:lang w:val="en-US" w:eastAsia="zh-CN"/>
        </w:rPr>
      </w:pPr>
      <w:bookmarkStart w:id="323" w:name="_Toc22289"/>
      <w:r>
        <w:rPr>
          <w:rFonts w:hint="eastAsia"/>
          <w:color w:val="auto"/>
          <w:sz w:val="24"/>
          <w:szCs w:val="21"/>
          <w:lang w:val="en-US" w:eastAsia="zh-CN"/>
        </w:rPr>
        <w:t>（1）监测点位</w:t>
      </w:r>
      <w:bookmarkEnd w:id="323"/>
    </w:p>
    <w:p w14:paraId="237B245F">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根据本项目评价区内水文特征、项目排污特征及纳污水体情况，在王引河布设4个监测断面，巴河布置2个监测断面，断面布置情况见表4-4，断面位置见</w:t>
      </w:r>
      <w:bookmarkStart w:id="324" w:name="OLE_LINK96"/>
      <w:r>
        <w:rPr>
          <w:rFonts w:hint="eastAsia"/>
          <w:color w:val="auto"/>
          <w:sz w:val="24"/>
          <w:szCs w:val="21"/>
          <w:lang w:val="en-US" w:eastAsia="zh-CN"/>
        </w:rPr>
        <w:t>图4-2</w:t>
      </w:r>
      <w:bookmarkEnd w:id="324"/>
      <w:r>
        <w:rPr>
          <w:rFonts w:hint="eastAsia"/>
          <w:color w:val="auto"/>
          <w:sz w:val="24"/>
          <w:szCs w:val="21"/>
          <w:lang w:val="en-US" w:eastAsia="zh-CN"/>
        </w:rPr>
        <w:t>。</w:t>
      </w:r>
    </w:p>
    <w:p w14:paraId="192CF4E0">
      <w:pPr>
        <w:bidi w:val="0"/>
        <w:spacing w:line="360" w:lineRule="auto"/>
        <w:jc w:val="center"/>
        <w:rPr>
          <w:rFonts w:hint="default" w:ascii="Times New Roman" w:hAnsi="Times New Roman" w:eastAsia="宋体" w:cs="Times New Roman"/>
          <w:b/>
          <w:bCs/>
          <w:color w:val="auto"/>
          <w:sz w:val="24"/>
          <w:szCs w:val="32"/>
          <w:highlight w:val="none"/>
          <w:lang w:val="en-US" w:eastAsia="zh-CN"/>
        </w:rPr>
      </w:pPr>
      <w:r>
        <w:rPr>
          <w:rFonts w:hint="eastAsia" w:ascii="Times New Roman" w:hAnsi="Times New Roman" w:eastAsia="宋体" w:cs="Times New Roman"/>
          <w:b/>
          <w:bCs/>
          <w:color w:val="auto"/>
          <w:sz w:val="24"/>
          <w:szCs w:val="32"/>
          <w:highlight w:val="none"/>
          <w:lang w:val="en-US" w:eastAsia="zh-CN"/>
        </w:rPr>
        <w:t>表</w:t>
      </w:r>
      <w:r>
        <w:rPr>
          <w:rFonts w:hint="eastAsia" w:cs="Times New Roman"/>
          <w:b/>
          <w:bCs/>
          <w:color w:val="auto"/>
          <w:sz w:val="24"/>
          <w:szCs w:val="32"/>
          <w:highlight w:val="none"/>
          <w:lang w:val="en-US" w:eastAsia="zh-CN"/>
        </w:rPr>
        <w:t>4</w:t>
      </w:r>
      <w:r>
        <w:rPr>
          <w:rFonts w:hint="eastAsia" w:ascii="Times New Roman" w:hAnsi="Times New Roman" w:eastAsia="宋体" w:cs="Times New Roman"/>
          <w:b/>
          <w:bCs/>
          <w:color w:val="auto"/>
          <w:sz w:val="24"/>
          <w:szCs w:val="32"/>
          <w:highlight w:val="none"/>
          <w:lang w:val="en-US" w:eastAsia="zh-CN"/>
        </w:rPr>
        <w:t xml:space="preserve">-4 </w:t>
      </w:r>
      <w:bookmarkStart w:id="325" w:name="OLE_LINK97"/>
      <w:r>
        <w:rPr>
          <w:rFonts w:hint="eastAsia" w:ascii="Times New Roman" w:hAnsi="Times New Roman" w:eastAsia="宋体" w:cs="Times New Roman"/>
          <w:b/>
          <w:bCs/>
          <w:color w:val="auto"/>
          <w:sz w:val="24"/>
          <w:szCs w:val="32"/>
          <w:highlight w:val="none"/>
          <w:lang w:val="en-US" w:eastAsia="zh-CN"/>
        </w:rPr>
        <w:t>地表水监测断面</w:t>
      </w:r>
      <w:bookmarkEnd w:id="325"/>
      <w:r>
        <w:rPr>
          <w:rFonts w:hint="eastAsia" w:ascii="Times New Roman" w:hAnsi="Times New Roman" w:eastAsia="宋体" w:cs="Times New Roman"/>
          <w:b/>
          <w:bCs/>
          <w:color w:val="auto"/>
          <w:sz w:val="24"/>
          <w:szCs w:val="32"/>
          <w:highlight w:val="none"/>
          <w:lang w:val="en-US" w:eastAsia="zh-CN"/>
        </w:rPr>
        <w:t>布设一览表</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215"/>
        <w:gridCol w:w="5627"/>
        <w:gridCol w:w="2047"/>
      </w:tblGrid>
      <w:tr w14:paraId="1C0A0C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noWrap w:val="0"/>
            <w:vAlign w:val="center"/>
          </w:tcPr>
          <w:p w14:paraId="77184773">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河流</w:t>
            </w:r>
          </w:p>
        </w:tc>
        <w:tc>
          <w:tcPr>
            <w:tcW w:w="610" w:type="pct"/>
            <w:noWrap w:val="0"/>
            <w:vAlign w:val="center"/>
          </w:tcPr>
          <w:p w14:paraId="6F4A104F">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断面编号</w:t>
            </w:r>
          </w:p>
        </w:tc>
        <w:tc>
          <w:tcPr>
            <w:tcW w:w="2826" w:type="pct"/>
            <w:noWrap w:val="0"/>
            <w:vAlign w:val="center"/>
          </w:tcPr>
          <w:p w14:paraId="5982E745">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断面(点)位置</w:t>
            </w:r>
          </w:p>
        </w:tc>
        <w:tc>
          <w:tcPr>
            <w:tcW w:w="1028" w:type="pct"/>
            <w:noWrap w:val="0"/>
            <w:vAlign w:val="center"/>
          </w:tcPr>
          <w:p w14:paraId="7525685D">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监测断面</w:t>
            </w:r>
          </w:p>
        </w:tc>
      </w:tr>
      <w:tr w14:paraId="19086B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restart"/>
            <w:noWrap w:val="0"/>
            <w:vAlign w:val="center"/>
          </w:tcPr>
          <w:p w14:paraId="23219332">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王引河</w:t>
            </w:r>
          </w:p>
        </w:tc>
        <w:tc>
          <w:tcPr>
            <w:tcW w:w="610" w:type="pct"/>
            <w:noWrap w:val="0"/>
            <w:vAlign w:val="center"/>
          </w:tcPr>
          <w:p w14:paraId="5DA0E677">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W1</w:t>
            </w:r>
          </w:p>
        </w:tc>
        <w:tc>
          <w:tcPr>
            <w:tcW w:w="2826" w:type="pct"/>
            <w:noWrap w:val="0"/>
            <w:vAlign w:val="center"/>
          </w:tcPr>
          <w:p w14:paraId="50B899D9">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王引河入开发区前500m处断面（王引河）</w:t>
            </w:r>
          </w:p>
        </w:tc>
        <w:tc>
          <w:tcPr>
            <w:tcW w:w="1028" w:type="pct"/>
            <w:vMerge w:val="restart"/>
            <w:noWrap w:val="0"/>
            <w:vAlign w:val="center"/>
          </w:tcPr>
          <w:p w14:paraId="667E5501">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bookmarkStart w:id="326" w:name="OLE_LINK98"/>
            <w:r>
              <w:rPr>
                <w:rFonts w:hint="default" w:ascii="Times New Roman" w:hAnsi="Times New Roman" w:eastAsia="宋体" w:cs="Times New Roman"/>
                <w:color w:val="auto"/>
                <w:kern w:val="0"/>
                <w:sz w:val="21"/>
                <w:szCs w:val="21"/>
              </w:rPr>
              <w:t>pH、溶解氧、COD、BOD</w:t>
            </w:r>
            <w:r>
              <w:rPr>
                <w:rFonts w:hint="default" w:ascii="Times New Roman" w:hAnsi="Times New Roman" w:eastAsia="宋体" w:cs="Times New Roman"/>
                <w:color w:val="auto"/>
                <w:kern w:val="0"/>
                <w:sz w:val="21"/>
                <w:szCs w:val="21"/>
                <w:vertAlign w:val="subscript"/>
              </w:rPr>
              <w:t>5</w:t>
            </w:r>
            <w:r>
              <w:rPr>
                <w:rFonts w:hint="default" w:ascii="Times New Roman" w:hAnsi="Times New Roman" w:eastAsia="宋体" w:cs="Times New Roman"/>
                <w:color w:val="auto"/>
                <w:kern w:val="0"/>
                <w:sz w:val="21"/>
                <w:szCs w:val="21"/>
              </w:rPr>
              <w:t>、氨氮、总磷、石油类</w:t>
            </w:r>
            <w:bookmarkEnd w:id="326"/>
          </w:p>
        </w:tc>
      </w:tr>
      <w:tr w14:paraId="05A7FB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664F5171">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35D5371C">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W2</w:t>
            </w:r>
          </w:p>
        </w:tc>
        <w:tc>
          <w:tcPr>
            <w:tcW w:w="2826" w:type="pct"/>
            <w:noWrap w:val="0"/>
            <w:vAlign w:val="center"/>
          </w:tcPr>
          <w:p w14:paraId="40029C2E">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王引河与巴河交汇处上游 500 米（王引河）</w:t>
            </w:r>
          </w:p>
        </w:tc>
        <w:tc>
          <w:tcPr>
            <w:tcW w:w="1028" w:type="pct"/>
            <w:vMerge w:val="continue"/>
            <w:noWrap w:val="0"/>
            <w:vAlign w:val="center"/>
          </w:tcPr>
          <w:p w14:paraId="09BA49E0">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784834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71F62659">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72325B30">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W3</w:t>
            </w:r>
          </w:p>
        </w:tc>
        <w:tc>
          <w:tcPr>
            <w:tcW w:w="2826" w:type="pct"/>
            <w:noWrap w:val="0"/>
            <w:vAlign w:val="center"/>
          </w:tcPr>
          <w:p w14:paraId="7D5165A8">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王引河与巴河交汇处下游 500 米断面（王引河）</w:t>
            </w:r>
          </w:p>
        </w:tc>
        <w:tc>
          <w:tcPr>
            <w:tcW w:w="1028" w:type="pct"/>
            <w:vMerge w:val="continue"/>
            <w:noWrap w:val="0"/>
            <w:vAlign w:val="center"/>
          </w:tcPr>
          <w:p w14:paraId="3CFE30B4">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71D42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35591324">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26575D75">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W4</w:t>
            </w:r>
          </w:p>
        </w:tc>
        <w:tc>
          <w:tcPr>
            <w:tcW w:w="2826" w:type="pct"/>
            <w:noWrap w:val="0"/>
            <w:vAlign w:val="center"/>
          </w:tcPr>
          <w:p w14:paraId="4F5186B0">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王引河与巴河交汇处下游 2000 米断面（王引河）</w:t>
            </w:r>
          </w:p>
        </w:tc>
        <w:tc>
          <w:tcPr>
            <w:tcW w:w="1028" w:type="pct"/>
            <w:vMerge w:val="continue"/>
            <w:noWrap w:val="0"/>
            <w:vAlign w:val="center"/>
          </w:tcPr>
          <w:p w14:paraId="2780411A">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1596E1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restart"/>
            <w:noWrap w:val="0"/>
            <w:vAlign w:val="center"/>
          </w:tcPr>
          <w:p w14:paraId="32EA1AC9">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巴河</w:t>
            </w:r>
          </w:p>
        </w:tc>
        <w:tc>
          <w:tcPr>
            <w:tcW w:w="610" w:type="pct"/>
            <w:noWrap w:val="0"/>
            <w:vAlign w:val="center"/>
          </w:tcPr>
          <w:p w14:paraId="070A7E60">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W5</w:t>
            </w:r>
          </w:p>
        </w:tc>
        <w:tc>
          <w:tcPr>
            <w:tcW w:w="2826" w:type="pct"/>
            <w:noWrap w:val="0"/>
            <w:vAlign w:val="center"/>
          </w:tcPr>
          <w:p w14:paraId="51F83D5B">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濉溪第二污水处理厂排污口上游500米断面（巴河）</w:t>
            </w:r>
          </w:p>
        </w:tc>
        <w:tc>
          <w:tcPr>
            <w:tcW w:w="1028" w:type="pct"/>
            <w:vMerge w:val="continue"/>
            <w:noWrap w:val="0"/>
            <w:vAlign w:val="center"/>
          </w:tcPr>
          <w:p w14:paraId="2AD79CC1">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6C0AFC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492DCA6F">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67D70EAC">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W6</w:t>
            </w:r>
          </w:p>
        </w:tc>
        <w:tc>
          <w:tcPr>
            <w:tcW w:w="2826" w:type="pct"/>
            <w:noWrap w:val="0"/>
            <w:vAlign w:val="center"/>
          </w:tcPr>
          <w:p w14:paraId="78469F9D">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濉溪第二污水处理厂排污口下游500米断面（巴河）</w:t>
            </w:r>
          </w:p>
        </w:tc>
        <w:tc>
          <w:tcPr>
            <w:tcW w:w="1028" w:type="pct"/>
            <w:vMerge w:val="continue"/>
            <w:noWrap w:val="0"/>
            <w:vAlign w:val="center"/>
          </w:tcPr>
          <w:p w14:paraId="1671B23A">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126D8B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restart"/>
            <w:noWrap w:val="0"/>
            <w:vAlign w:val="center"/>
          </w:tcPr>
          <w:p w14:paraId="11FAFDA2">
            <w:pPr>
              <w:widowControl/>
              <w:spacing w:line="240" w:lineRule="auto"/>
              <w:ind w:firstLine="0" w:firstLineChars="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萧濉新河</w:t>
            </w:r>
          </w:p>
        </w:tc>
        <w:tc>
          <w:tcPr>
            <w:tcW w:w="610" w:type="pct"/>
            <w:noWrap w:val="0"/>
            <w:vAlign w:val="center"/>
          </w:tcPr>
          <w:p w14:paraId="30038C0C">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W7</w:t>
            </w:r>
          </w:p>
        </w:tc>
        <w:tc>
          <w:tcPr>
            <w:tcW w:w="2826" w:type="pct"/>
            <w:noWrap w:val="0"/>
            <w:vAlign w:val="center"/>
          </w:tcPr>
          <w:p w14:paraId="2539052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bookmarkStart w:id="327" w:name="OLE_LINK61"/>
            <w:r>
              <w:rPr>
                <w:rFonts w:hint="eastAsia"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bookmarkEnd w:id="327"/>
            <w:r>
              <w:rPr>
                <w:rFonts w:hint="eastAsia" w:ascii="Times New Roman" w:hAnsi="Times New Roman" w:eastAsia="宋体" w:cs="Times New Roman"/>
                <w:color w:val="auto"/>
                <w:sz w:val="21"/>
                <w:szCs w:val="21"/>
                <w:lang w:val="en-US" w:eastAsia="zh-CN"/>
              </w:rPr>
              <w:t>拟建排污口上游500m</w:t>
            </w:r>
          </w:p>
        </w:tc>
        <w:tc>
          <w:tcPr>
            <w:tcW w:w="1028" w:type="pct"/>
            <w:vMerge w:val="continue"/>
            <w:noWrap w:val="0"/>
            <w:vAlign w:val="center"/>
          </w:tcPr>
          <w:p w14:paraId="084AF289">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349D1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55DE8C87">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7CF6BF90">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W8</w:t>
            </w:r>
          </w:p>
        </w:tc>
        <w:tc>
          <w:tcPr>
            <w:tcW w:w="2826" w:type="pct"/>
            <w:noWrap w:val="0"/>
            <w:vAlign w:val="center"/>
          </w:tcPr>
          <w:p w14:paraId="03B9C03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r>
              <w:rPr>
                <w:rFonts w:hint="eastAsia" w:ascii="Times New Roman" w:hAnsi="Times New Roman" w:eastAsia="宋体" w:cs="Times New Roman"/>
                <w:color w:val="auto"/>
                <w:sz w:val="21"/>
                <w:szCs w:val="21"/>
                <w:lang w:val="en-US" w:eastAsia="zh-CN"/>
              </w:rPr>
              <w:t>拟建排污口下游500m</w:t>
            </w:r>
          </w:p>
        </w:tc>
        <w:tc>
          <w:tcPr>
            <w:tcW w:w="1028" w:type="pct"/>
            <w:vMerge w:val="continue"/>
            <w:noWrap w:val="0"/>
            <w:vAlign w:val="center"/>
          </w:tcPr>
          <w:p w14:paraId="6BA1D2A5">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bl>
    <w:p w14:paraId="21CD639C">
      <w:pPr>
        <w:spacing w:line="360" w:lineRule="auto"/>
        <w:rPr>
          <w:rFonts w:hint="eastAsia"/>
          <w:color w:val="auto"/>
          <w:sz w:val="24"/>
          <w:szCs w:val="21"/>
          <w:lang w:val="en-US" w:eastAsia="zh-CN"/>
        </w:rPr>
      </w:pPr>
    </w:p>
    <w:p w14:paraId="2EC3C55A">
      <w:pPr>
        <w:spacing w:line="360" w:lineRule="auto"/>
        <w:rPr>
          <w:rFonts w:hint="eastAsia"/>
          <w:color w:val="auto"/>
          <w:sz w:val="24"/>
          <w:szCs w:val="21"/>
          <w:lang w:val="en-US" w:eastAsia="zh-CN"/>
        </w:rPr>
      </w:pPr>
      <w:r>
        <w:rPr>
          <w:color w:val="auto"/>
          <w:sz w:val="24"/>
        </w:rPr>
        <mc:AlternateContent>
          <mc:Choice Requires="wps">
            <w:drawing>
              <wp:anchor distT="0" distB="0" distL="114300" distR="114300" simplePos="0" relativeHeight="251795456" behindDoc="0" locked="0" layoutInCell="1" allowOverlap="1">
                <wp:simplePos x="0" y="0"/>
                <wp:positionH relativeFrom="column">
                  <wp:posOffset>884555</wp:posOffset>
                </wp:positionH>
                <wp:positionV relativeFrom="paragraph">
                  <wp:posOffset>1503045</wp:posOffset>
                </wp:positionV>
                <wp:extent cx="184150" cy="75565"/>
                <wp:effectExtent l="10160" t="20320" r="15240" b="37465"/>
                <wp:wrapNone/>
                <wp:docPr id="181" name="矩形 181"/>
                <wp:cNvGraphicFramePr/>
                <a:graphic xmlns:a="http://schemas.openxmlformats.org/drawingml/2006/main">
                  <a:graphicData uri="http://schemas.microsoft.com/office/word/2010/wordprocessingShape">
                    <wps:wsp>
                      <wps:cNvSpPr/>
                      <wps:spPr>
                        <a:xfrm rot="600000">
                          <a:off x="1570355" y="3249295"/>
                          <a:ext cx="184150" cy="75565"/>
                        </a:xfrm>
                        <a:prstGeom prst="rect">
                          <a:avLst/>
                        </a:prstGeom>
                        <a:noFill/>
                        <a:ln w="952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9.65pt;margin-top:118.35pt;height:5.95pt;width:14.5pt;rotation:655360f;z-index:251795456;v-text-anchor:middle;mso-width-relative:page;mso-height-relative:page;" filled="f" stroked="t" coordsize="21600,21600" o:gfxdata="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AjAlU7ZAAAACwEAAA8AAAAAAAAAAQAgAAAAIgAAAGRycy9k&#10;b3ducmV2LnhtbFBLAQIUABQAAAAIAIdO4kBYVcp/cwIAAM4EAAAOAAAAAAAAAAEAIAAAACgBAABk&#10;cnMvZTJvRG9jLnhtbFBLBQYAAAAABgAGAFkBAAANBgAAAAA=&#10;">
                <v:fill on="f" focussize="0,0"/>
                <v:stroke color="#FF0000 [2404]" joinstyle="round"/>
                <v:imagedata o:title=""/>
                <o:lock v:ext="edit" aspectratio="f"/>
              </v:rect>
            </w:pict>
          </mc:Fallback>
        </mc:AlternateContent>
      </w:r>
      <w:r>
        <w:rPr>
          <w:rFonts w:hint="eastAsia"/>
          <w:color w:val="auto"/>
          <w:sz w:val="24"/>
          <w:szCs w:val="21"/>
          <w:lang w:val="en-US" w:eastAsia="zh-CN"/>
        </w:rPr>
        <w:drawing>
          <wp:inline distT="0" distB="0" distL="114300" distR="114300">
            <wp:extent cx="6187440" cy="3963035"/>
            <wp:effectExtent l="9525" t="9525" r="13335" b="27940"/>
            <wp:docPr id="180" name="图片 18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1"/>
                    <pic:cNvPicPr>
                      <a:picLocks noChangeAspect="1"/>
                    </pic:cNvPicPr>
                  </pic:nvPicPr>
                  <pic:blipFill>
                    <a:blip r:embed="rId33"/>
                    <a:stretch>
                      <a:fillRect/>
                    </a:stretch>
                  </pic:blipFill>
                  <pic:spPr>
                    <a:xfrm>
                      <a:off x="0" y="0"/>
                      <a:ext cx="6187440" cy="3963035"/>
                    </a:xfrm>
                    <a:prstGeom prst="rect">
                      <a:avLst/>
                    </a:prstGeom>
                    <a:ln>
                      <a:solidFill>
                        <a:schemeClr val="tx1"/>
                      </a:solidFill>
                    </a:ln>
                  </pic:spPr>
                </pic:pic>
              </a:graphicData>
            </a:graphic>
          </wp:inline>
        </w:drawing>
      </w:r>
    </w:p>
    <w:p w14:paraId="3DDAAFEF">
      <w:pPr>
        <w:spacing w:line="360" w:lineRule="auto"/>
        <w:jc w:val="center"/>
        <w:rPr>
          <w:rFonts w:hint="default"/>
          <w:b/>
          <w:bCs/>
          <w:color w:val="auto"/>
          <w:sz w:val="24"/>
          <w:szCs w:val="21"/>
          <w:lang w:val="en-US" w:eastAsia="zh-CN"/>
        </w:rPr>
      </w:pPr>
      <w:r>
        <w:rPr>
          <w:rFonts w:hint="eastAsia"/>
          <w:b/>
          <w:bCs/>
          <w:color w:val="auto"/>
          <w:sz w:val="24"/>
          <w:szCs w:val="21"/>
          <w:lang w:val="en-US" w:eastAsia="zh-CN"/>
        </w:rPr>
        <w:t>图4-2 地表水监测断面示意图</w:t>
      </w:r>
    </w:p>
    <w:p w14:paraId="1C251288">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bookmarkStart w:id="328" w:name="_Toc31987"/>
      <w:r>
        <w:rPr>
          <w:rFonts w:hint="eastAsia" w:ascii="Times New Roman" w:hAnsi="Times New Roman" w:eastAsia="宋体" w:cs="Times New Roman"/>
          <w:b w:val="0"/>
          <w:bCs w:val="0"/>
          <w:color w:val="auto"/>
          <w:sz w:val="24"/>
          <w:szCs w:val="24"/>
          <w:highlight w:val="none"/>
          <w:lang w:val="en-US" w:eastAsia="zh-CN"/>
        </w:rPr>
        <w:t>（2）监测项目</w:t>
      </w:r>
      <w:bookmarkEnd w:id="328"/>
    </w:p>
    <w:p w14:paraId="177E9F2B">
      <w:pPr>
        <w:bidi w:val="0"/>
        <w:spacing w:line="360" w:lineRule="auto"/>
        <w:ind w:firstLine="480" w:firstLineChars="200"/>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水质监测包括常规水质参数和特征水质参数。具体为pH、溶解氧、COD、BOD</w:t>
      </w:r>
      <w:r>
        <w:rPr>
          <w:rFonts w:hint="eastAsia" w:ascii="Times New Roman" w:hAnsi="Times New Roman" w:eastAsia="宋体" w:cs="Times New Roman"/>
          <w:b w:val="0"/>
          <w:bCs w:val="0"/>
          <w:color w:val="auto"/>
          <w:sz w:val="24"/>
          <w:szCs w:val="24"/>
          <w:highlight w:val="none"/>
          <w:vertAlign w:val="subscript"/>
          <w:lang w:val="en-US" w:eastAsia="zh-CN"/>
        </w:rPr>
        <w:t>5</w:t>
      </w:r>
      <w:r>
        <w:rPr>
          <w:rFonts w:hint="eastAsia" w:ascii="Times New Roman" w:hAnsi="Times New Roman" w:eastAsia="宋体" w:cs="Times New Roman"/>
          <w:b w:val="0"/>
          <w:bCs w:val="0"/>
          <w:color w:val="auto"/>
          <w:sz w:val="24"/>
          <w:szCs w:val="24"/>
          <w:highlight w:val="none"/>
          <w:lang w:val="en-US" w:eastAsia="zh-CN"/>
        </w:rPr>
        <w:t>、氨氮、总磷、石油类。</w:t>
      </w:r>
    </w:p>
    <w:p w14:paraId="051C4A72">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bookmarkStart w:id="329" w:name="_Toc20028"/>
      <w:r>
        <w:rPr>
          <w:rFonts w:hint="eastAsia" w:ascii="Times New Roman" w:hAnsi="Times New Roman" w:eastAsia="宋体" w:cs="Times New Roman"/>
          <w:b w:val="0"/>
          <w:bCs w:val="0"/>
          <w:color w:val="auto"/>
          <w:sz w:val="24"/>
          <w:szCs w:val="24"/>
          <w:highlight w:val="none"/>
          <w:lang w:val="en-US" w:eastAsia="zh-CN"/>
        </w:rPr>
        <w:t>（3）监测频次</w:t>
      </w:r>
      <w:bookmarkEnd w:id="329"/>
    </w:p>
    <w:p w14:paraId="28788712">
      <w:pPr>
        <w:spacing w:line="360" w:lineRule="auto"/>
        <w:rPr>
          <w:rFonts w:hint="eastAsia"/>
          <w:color w:val="auto"/>
          <w:sz w:val="24"/>
          <w:szCs w:val="24"/>
          <w:lang w:val="en-US" w:eastAsia="zh-CN"/>
        </w:rPr>
      </w:pPr>
      <w:r>
        <w:rPr>
          <w:rFonts w:hint="eastAsia" w:ascii="Times New Roman" w:hAnsi="Times New Roman" w:eastAsia="宋体" w:cs="Times New Roman"/>
          <w:b w:val="0"/>
          <w:bCs w:val="0"/>
          <w:color w:val="auto"/>
          <w:sz w:val="24"/>
          <w:szCs w:val="24"/>
          <w:highlight w:val="none"/>
          <w:lang w:val="en-US" w:eastAsia="zh-CN"/>
        </w:rPr>
        <w:t>2023年7月10日~7月12日连续采样3天</w:t>
      </w:r>
    </w:p>
    <w:p w14:paraId="65A3570A">
      <w:pPr>
        <w:spacing w:line="360" w:lineRule="auto"/>
        <w:rPr>
          <w:rFonts w:hint="default"/>
          <w:color w:val="auto"/>
          <w:sz w:val="24"/>
          <w:szCs w:val="21"/>
          <w:lang w:val="en-US" w:eastAsia="zh-CN"/>
        </w:rPr>
      </w:pPr>
      <w:r>
        <w:rPr>
          <w:rFonts w:hint="eastAsia"/>
          <w:b/>
          <w:bCs/>
          <w:color w:val="auto"/>
          <w:sz w:val="24"/>
          <w:szCs w:val="32"/>
          <w:lang w:val="en-US" w:eastAsia="zh-CN"/>
        </w:rPr>
        <w:t>4.3.2.3 地表水环境现状评价</w:t>
      </w:r>
    </w:p>
    <w:p w14:paraId="35AE626A">
      <w:pPr>
        <w:spacing w:line="360" w:lineRule="auto"/>
        <w:ind w:firstLine="480" w:firstLineChars="200"/>
        <w:jc w:val="both"/>
        <w:outlineLvl w:val="2"/>
        <w:rPr>
          <w:rFonts w:hint="default" w:ascii="Times New Roman" w:hAnsi="Times New Roman" w:eastAsia="宋体" w:cs="Times New Roman"/>
          <w:color w:val="auto"/>
          <w:sz w:val="24"/>
          <w:lang w:val="en-US" w:eastAsia="zh-CN"/>
        </w:rPr>
      </w:pPr>
      <w:bookmarkStart w:id="330" w:name="_Toc8325"/>
      <w:r>
        <w:rPr>
          <w:rFonts w:hint="default" w:ascii="Times New Roman" w:hAnsi="Times New Roman" w:eastAsia="宋体" w:cs="Times New Roman"/>
          <w:color w:val="auto"/>
          <w:sz w:val="24"/>
          <w:lang w:val="en-US" w:eastAsia="zh-CN"/>
        </w:rPr>
        <w:t>（1）评价方法</w:t>
      </w:r>
      <w:bookmarkEnd w:id="330"/>
    </w:p>
    <w:p w14:paraId="5466752F">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本次地表水环境质量现状评价采用单项污染指数法，其计算公式如下：</w:t>
      </w:r>
    </w:p>
    <w:p w14:paraId="150B2C6E">
      <w:pPr>
        <w:adjustRightInd w:val="0"/>
        <w:spacing w:line="360" w:lineRule="auto"/>
        <w:ind w:firstLine="480" w:firstLineChars="20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Si=Ci/Csi</w:t>
      </w:r>
    </w:p>
    <w:p w14:paraId="09E49A4F">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式中：Si —i 种污染物分指数；</w:t>
      </w:r>
    </w:p>
    <w:p w14:paraId="49F7213F">
      <w:pPr>
        <w:adjustRightInd w:val="0"/>
        <w:spacing w:line="360" w:lineRule="auto"/>
        <w:ind w:firstLine="960" w:firstLineChars="4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Ci—i 种污染物实测值（mg/L）；</w:t>
      </w:r>
    </w:p>
    <w:p w14:paraId="116A0D8E">
      <w:pPr>
        <w:adjustRightInd w:val="0"/>
        <w:spacing w:line="360" w:lineRule="auto"/>
        <w:ind w:firstLine="960" w:firstLineChars="4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Csi—i 种污染物评价标准值（mg/L）。</w:t>
      </w:r>
    </w:p>
    <w:p w14:paraId="50F38C5E">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pH 污染物指数计算公式如下：</w:t>
      </w:r>
    </w:p>
    <w:p w14:paraId="667B17B5">
      <w:pPr>
        <w:adjustRightInd w:val="0"/>
        <w:spacing w:line="360" w:lineRule="auto"/>
        <w:ind w:firstLine="480" w:firstLineChars="20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drawing>
          <wp:inline distT="0" distB="0" distL="0" distR="0">
            <wp:extent cx="2305050" cy="914400"/>
            <wp:effectExtent l="0" t="0" r="0" b="0"/>
            <wp:docPr id="2" name="图片 2" descr="C:\Users\Administrator\AppData\Local\Temp\ksohtml98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AppData\Local\Temp\ksohtml9852\wps1.png"/>
                    <pic:cNvPicPr>
                      <a:picLocks noChangeAspect="1" noChangeArrowheads="1"/>
                    </pic:cNvPicPr>
                  </pic:nvPicPr>
                  <pic:blipFill>
                    <a:blip r:embed="rId34"/>
                    <a:srcRect/>
                    <a:stretch>
                      <a:fillRect/>
                    </a:stretch>
                  </pic:blipFill>
                  <pic:spPr>
                    <a:xfrm>
                      <a:off x="0" y="0"/>
                      <a:ext cx="2305050" cy="914400"/>
                    </a:xfrm>
                    <a:prstGeom prst="rect">
                      <a:avLst/>
                    </a:prstGeom>
                    <a:noFill/>
                    <a:ln w="9525">
                      <a:noFill/>
                      <a:miter lim="800000"/>
                      <a:headEnd/>
                      <a:tailEnd/>
                    </a:ln>
                  </pic:spPr>
                </pic:pic>
              </a:graphicData>
            </a:graphic>
          </wp:inline>
        </w:drawing>
      </w:r>
    </w:p>
    <w:p w14:paraId="76FEB709">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式中：SPH — pH 值的分指数；</w:t>
      </w:r>
    </w:p>
    <w:p w14:paraId="5F61D023">
      <w:pPr>
        <w:adjustRightInd w:val="0"/>
        <w:spacing w:line="360" w:lineRule="auto"/>
        <w:ind w:firstLine="1200" w:firstLineChars="5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PHj — pH 实测值；</w:t>
      </w:r>
    </w:p>
    <w:p w14:paraId="0E13663E">
      <w:pPr>
        <w:adjustRightInd w:val="0"/>
        <w:spacing w:line="360" w:lineRule="auto"/>
        <w:ind w:firstLine="1200" w:firstLineChars="5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PHsd — pH 值评价标准的下限值；</w:t>
      </w:r>
    </w:p>
    <w:p w14:paraId="6DC4144C">
      <w:pPr>
        <w:spacing w:line="360" w:lineRule="auto"/>
        <w:ind w:firstLine="1200" w:firstLineChars="500"/>
        <w:rPr>
          <w:rFonts w:hint="eastAsia" w:eastAsia="宋体"/>
          <w:color w:val="auto"/>
          <w:sz w:val="24"/>
          <w:szCs w:val="21"/>
          <w:lang w:val="en-US" w:eastAsia="zh-CN"/>
        </w:rPr>
      </w:pPr>
      <w:r>
        <w:rPr>
          <w:rFonts w:hint="default" w:ascii="Times New Roman" w:hAnsi="Times New Roman" w:eastAsia="宋体" w:cs="Times New Roman"/>
          <w:color w:val="auto"/>
          <w:sz w:val="24"/>
          <w:szCs w:val="24"/>
        </w:rPr>
        <w:t>PHsu — pH 值评价标准的上限值</w:t>
      </w:r>
      <w:r>
        <w:rPr>
          <w:rFonts w:hint="eastAsia" w:ascii="Times New Roman" w:hAnsi="Times New Roman" w:eastAsia="宋体" w:cs="Times New Roman"/>
          <w:color w:val="auto"/>
          <w:sz w:val="24"/>
          <w:szCs w:val="24"/>
          <w:lang w:eastAsia="zh-CN"/>
        </w:rPr>
        <w:t>。</w:t>
      </w:r>
    </w:p>
    <w:p w14:paraId="113E2DF3">
      <w:pPr>
        <w:spacing w:line="360" w:lineRule="auto"/>
        <w:ind w:firstLine="480" w:firstLineChars="200"/>
        <w:rPr>
          <w:rFonts w:hint="eastAsia"/>
          <w:color w:val="auto"/>
          <w:sz w:val="24"/>
          <w:szCs w:val="21"/>
          <w:lang w:val="en-US" w:eastAsia="zh-CN"/>
        </w:rPr>
      </w:pPr>
      <w:bookmarkStart w:id="331" w:name="_Toc14834"/>
      <w:r>
        <w:rPr>
          <w:rFonts w:hint="eastAsia"/>
          <w:color w:val="auto"/>
          <w:sz w:val="24"/>
          <w:szCs w:val="21"/>
          <w:lang w:val="en-US" w:eastAsia="zh-CN"/>
        </w:rPr>
        <w:t>（2）评价标准</w:t>
      </w:r>
      <w:bookmarkEnd w:id="331"/>
    </w:p>
    <w:p w14:paraId="0671F804">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王引河的水环境质量执行《地表水环境质量标准》（GB3838-2002）中Ⅲ类。具体标准值见下表所示。</w:t>
      </w:r>
    </w:p>
    <w:p w14:paraId="2D870D36">
      <w:pPr>
        <w:spacing w:line="360" w:lineRule="auto"/>
        <w:jc w:val="center"/>
        <w:rPr>
          <w:rFonts w:hint="default"/>
          <w:b/>
          <w:bCs/>
          <w:color w:val="auto"/>
          <w:sz w:val="24"/>
          <w:szCs w:val="21"/>
          <w:lang w:val="en-US" w:eastAsia="zh-CN"/>
        </w:rPr>
      </w:pPr>
      <w:r>
        <w:rPr>
          <w:rFonts w:hint="eastAsia"/>
          <w:b/>
          <w:bCs/>
          <w:color w:val="auto"/>
          <w:sz w:val="24"/>
          <w:szCs w:val="21"/>
          <w:lang w:val="en-US" w:eastAsia="zh-CN"/>
        </w:rPr>
        <w:t>表4-5 地表水环境质量标准（单位：mg/L，pH无量纲）</w:t>
      </w:r>
    </w:p>
    <w:tbl>
      <w:tblPr>
        <w:tblStyle w:val="31"/>
        <w:tblW w:w="499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907"/>
        <w:gridCol w:w="3339"/>
        <w:gridCol w:w="1853"/>
        <w:gridCol w:w="1853"/>
      </w:tblGrid>
      <w:tr w14:paraId="57E109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restart"/>
            <w:noWrap w:val="0"/>
            <w:vAlign w:val="center"/>
          </w:tcPr>
          <w:p w14:paraId="46382C58">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标准类别</w:t>
            </w:r>
          </w:p>
        </w:tc>
        <w:tc>
          <w:tcPr>
            <w:tcW w:w="1677" w:type="pct"/>
            <w:vMerge w:val="restart"/>
            <w:noWrap w:val="0"/>
            <w:vAlign w:val="center"/>
          </w:tcPr>
          <w:p w14:paraId="3E94260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项目</w:t>
            </w:r>
          </w:p>
        </w:tc>
        <w:tc>
          <w:tcPr>
            <w:tcW w:w="1862" w:type="pct"/>
            <w:gridSpan w:val="2"/>
            <w:noWrap w:val="0"/>
            <w:vAlign w:val="center"/>
          </w:tcPr>
          <w:p w14:paraId="70D5613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标准值（mg/L）</w:t>
            </w:r>
          </w:p>
        </w:tc>
      </w:tr>
      <w:tr w14:paraId="00AE32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1EBF187E">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vMerge w:val="continue"/>
            <w:noWrap w:val="0"/>
            <w:vAlign w:val="center"/>
          </w:tcPr>
          <w:p w14:paraId="263304E3">
            <w:pPr>
              <w:widowControl/>
              <w:spacing w:line="240" w:lineRule="auto"/>
              <w:ind w:firstLine="0" w:firstLineChars="0"/>
              <w:jc w:val="center"/>
              <w:rPr>
                <w:rFonts w:hint="default" w:ascii="Times New Roman" w:hAnsi="Times New Roman" w:cs="Times New Roman"/>
                <w:color w:val="auto"/>
                <w:kern w:val="0"/>
                <w:sz w:val="21"/>
                <w:szCs w:val="21"/>
              </w:rPr>
            </w:pPr>
          </w:p>
        </w:tc>
        <w:tc>
          <w:tcPr>
            <w:tcW w:w="931" w:type="pct"/>
            <w:tcBorders>
              <w:right w:val="single" w:color="auto" w:sz="4" w:space="0"/>
            </w:tcBorders>
            <w:noWrap w:val="0"/>
            <w:vAlign w:val="center"/>
          </w:tcPr>
          <w:p w14:paraId="167FA28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Ⅲ类</w:t>
            </w:r>
          </w:p>
        </w:tc>
        <w:tc>
          <w:tcPr>
            <w:tcW w:w="931" w:type="pct"/>
            <w:tcBorders>
              <w:left w:val="single" w:color="auto" w:sz="4" w:space="0"/>
            </w:tcBorders>
            <w:noWrap w:val="0"/>
            <w:vAlign w:val="center"/>
          </w:tcPr>
          <w:p w14:paraId="1D2BCEB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IV类</w:t>
            </w:r>
          </w:p>
        </w:tc>
      </w:tr>
      <w:tr w14:paraId="33CAAE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restart"/>
            <w:noWrap w:val="0"/>
            <w:vAlign w:val="center"/>
          </w:tcPr>
          <w:p w14:paraId="2D9E640F">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《地表水环境质量标准》</w:t>
            </w:r>
          </w:p>
          <w:p w14:paraId="056538D5">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（GB3838-2002）</w:t>
            </w:r>
          </w:p>
        </w:tc>
        <w:tc>
          <w:tcPr>
            <w:tcW w:w="1677" w:type="pct"/>
            <w:noWrap w:val="0"/>
            <w:vAlign w:val="center"/>
          </w:tcPr>
          <w:p w14:paraId="08E04ED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pH</w:t>
            </w:r>
          </w:p>
        </w:tc>
        <w:tc>
          <w:tcPr>
            <w:tcW w:w="931" w:type="pct"/>
            <w:tcBorders>
              <w:right w:val="single" w:color="auto" w:sz="4" w:space="0"/>
            </w:tcBorders>
            <w:noWrap w:val="0"/>
            <w:vAlign w:val="center"/>
          </w:tcPr>
          <w:p w14:paraId="726E9CB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c>
          <w:tcPr>
            <w:tcW w:w="931" w:type="pct"/>
            <w:tcBorders>
              <w:left w:val="single" w:color="auto" w:sz="4" w:space="0"/>
            </w:tcBorders>
            <w:noWrap w:val="0"/>
            <w:vAlign w:val="center"/>
          </w:tcPr>
          <w:p w14:paraId="4F700CC7">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r>
      <w:tr w14:paraId="5039E2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36CF32C4">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69D3325C">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COD</w:t>
            </w:r>
          </w:p>
        </w:tc>
        <w:tc>
          <w:tcPr>
            <w:tcW w:w="931" w:type="pct"/>
            <w:tcBorders>
              <w:right w:val="single" w:color="auto" w:sz="4" w:space="0"/>
            </w:tcBorders>
            <w:noWrap w:val="0"/>
            <w:vAlign w:val="center"/>
          </w:tcPr>
          <w:p w14:paraId="40EFBE6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20</w:t>
            </w:r>
          </w:p>
        </w:tc>
        <w:tc>
          <w:tcPr>
            <w:tcW w:w="931" w:type="pct"/>
            <w:tcBorders>
              <w:left w:val="single" w:color="auto" w:sz="4" w:space="0"/>
            </w:tcBorders>
            <w:noWrap w:val="0"/>
            <w:vAlign w:val="center"/>
          </w:tcPr>
          <w:p w14:paraId="36A5E8D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30</w:t>
            </w:r>
          </w:p>
        </w:tc>
      </w:tr>
      <w:tr w14:paraId="365C74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23B5CB32">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2054B20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BOD</w:t>
            </w:r>
            <w:r>
              <w:rPr>
                <w:rFonts w:hint="default" w:ascii="Times New Roman" w:hAnsi="Times New Roman" w:cs="Times New Roman"/>
                <w:color w:val="auto"/>
                <w:kern w:val="0"/>
                <w:sz w:val="21"/>
                <w:szCs w:val="21"/>
                <w:vertAlign w:val="subscript"/>
              </w:rPr>
              <w:t>5</w:t>
            </w:r>
          </w:p>
        </w:tc>
        <w:tc>
          <w:tcPr>
            <w:tcW w:w="931" w:type="pct"/>
            <w:tcBorders>
              <w:right w:val="single" w:color="auto" w:sz="4" w:space="0"/>
            </w:tcBorders>
            <w:noWrap w:val="0"/>
            <w:vAlign w:val="center"/>
          </w:tcPr>
          <w:p w14:paraId="19A1660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4</w:t>
            </w:r>
          </w:p>
        </w:tc>
        <w:tc>
          <w:tcPr>
            <w:tcW w:w="931" w:type="pct"/>
            <w:tcBorders>
              <w:left w:val="single" w:color="auto" w:sz="4" w:space="0"/>
            </w:tcBorders>
            <w:noWrap w:val="0"/>
            <w:vAlign w:val="center"/>
          </w:tcPr>
          <w:p w14:paraId="2C47380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w:t>
            </w:r>
          </w:p>
        </w:tc>
      </w:tr>
      <w:tr w14:paraId="42B8E0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0CB5BE15">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3352C44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溶解氧</w:t>
            </w:r>
          </w:p>
        </w:tc>
        <w:tc>
          <w:tcPr>
            <w:tcW w:w="931" w:type="pct"/>
            <w:tcBorders>
              <w:right w:val="single" w:color="auto" w:sz="4" w:space="0"/>
            </w:tcBorders>
            <w:noWrap w:val="0"/>
            <w:vAlign w:val="center"/>
          </w:tcPr>
          <w:p w14:paraId="6185F15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5</w:t>
            </w:r>
          </w:p>
        </w:tc>
        <w:tc>
          <w:tcPr>
            <w:tcW w:w="931" w:type="pct"/>
            <w:tcBorders>
              <w:left w:val="single" w:color="auto" w:sz="4" w:space="0"/>
            </w:tcBorders>
            <w:noWrap w:val="0"/>
            <w:vAlign w:val="center"/>
          </w:tcPr>
          <w:p w14:paraId="54DC567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3</w:t>
            </w:r>
          </w:p>
        </w:tc>
      </w:tr>
      <w:tr w14:paraId="337289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0030BF39">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4D13B5B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氨氮</w:t>
            </w:r>
          </w:p>
        </w:tc>
        <w:tc>
          <w:tcPr>
            <w:tcW w:w="931" w:type="pct"/>
            <w:tcBorders>
              <w:right w:val="single" w:color="auto" w:sz="4" w:space="0"/>
            </w:tcBorders>
            <w:noWrap w:val="0"/>
            <w:vAlign w:val="center"/>
          </w:tcPr>
          <w:p w14:paraId="6F539B7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1.0</w:t>
            </w:r>
          </w:p>
        </w:tc>
        <w:tc>
          <w:tcPr>
            <w:tcW w:w="931" w:type="pct"/>
            <w:tcBorders>
              <w:left w:val="single" w:color="auto" w:sz="4" w:space="0"/>
            </w:tcBorders>
            <w:noWrap w:val="0"/>
            <w:vAlign w:val="center"/>
          </w:tcPr>
          <w:p w14:paraId="7A4513A4">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1.5</w:t>
            </w:r>
          </w:p>
        </w:tc>
      </w:tr>
      <w:tr w14:paraId="28BD7E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3AEAC0D9">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56248B6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总磷</w:t>
            </w:r>
          </w:p>
        </w:tc>
        <w:tc>
          <w:tcPr>
            <w:tcW w:w="931" w:type="pct"/>
            <w:tcBorders>
              <w:right w:val="single" w:color="auto" w:sz="4" w:space="0"/>
            </w:tcBorders>
            <w:noWrap w:val="0"/>
            <w:vAlign w:val="center"/>
          </w:tcPr>
          <w:p w14:paraId="653A374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0.2</w:t>
            </w:r>
          </w:p>
        </w:tc>
        <w:tc>
          <w:tcPr>
            <w:tcW w:w="931" w:type="pct"/>
            <w:tcBorders>
              <w:left w:val="single" w:color="auto" w:sz="4" w:space="0"/>
            </w:tcBorders>
            <w:noWrap w:val="0"/>
            <w:vAlign w:val="center"/>
          </w:tcPr>
          <w:p w14:paraId="2C38BC4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0.3</w:t>
            </w:r>
          </w:p>
        </w:tc>
      </w:tr>
      <w:tr w14:paraId="7B3BD5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3A300076">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076E3BB4">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总氮</w:t>
            </w:r>
          </w:p>
        </w:tc>
        <w:tc>
          <w:tcPr>
            <w:tcW w:w="931" w:type="pct"/>
            <w:tcBorders>
              <w:right w:val="single" w:color="auto" w:sz="4" w:space="0"/>
            </w:tcBorders>
            <w:noWrap w:val="0"/>
            <w:vAlign w:val="center"/>
          </w:tcPr>
          <w:p w14:paraId="0F69B329">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1.0</w:t>
            </w:r>
          </w:p>
        </w:tc>
        <w:tc>
          <w:tcPr>
            <w:tcW w:w="931" w:type="pct"/>
            <w:tcBorders>
              <w:left w:val="single" w:color="auto" w:sz="4" w:space="0"/>
            </w:tcBorders>
            <w:noWrap w:val="0"/>
            <w:vAlign w:val="center"/>
          </w:tcPr>
          <w:p w14:paraId="0183F987">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1.5</w:t>
            </w:r>
          </w:p>
        </w:tc>
      </w:tr>
      <w:tr w14:paraId="7A061EA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516E5266">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50CBB67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石油类</w:t>
            </w:r>
          </w:p>
        </w:tc>
        <w:tc>
          <w:tcPr>
            <w:tcW w:w="931" w:type="pct"/>
            <w:tcBorders>
              <w:right w:val="single" w:color="auto" w:sz="4" w:space="0"/>
            </w:tcBorders>
            <w:noWrap w:val="0"/>
            <w:vAlign w:val="center"/>
          </w:tcPr>
          <w:p w14:paraId="6798EE5E">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0.05</w:t>
            </w:r>
          </w:p>
        </w:tc>
        <w:tc>
          <w:tcPr>
            <w:tcW w:w="931" w:type="pct"/>
            <w:tcBorders>
              <w:left w:val="single" w:color="auto" w:sz="4" w:space="0"/>
            </w:tcBorders>
            <w:noWrap w:val="0"/>
            <w:vAlign w:val="center"/>
          </w:tcPr>
          <w:p w14:paraId="76F943B0">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0.5</w:t>
            </w:r>
          </w:p>
        </w:tc>
      </w:tr>
    </w:tbl>
    <w:p w14:paraId="3561134D">
      <w:pPr>
        <w:spacing w:line="360" w:lineRule="auto"/>
        <w:rPr>
          <w:rFonts w:hint="eastAsia"/>
          <w:color w:val="auto"/>
          <w:sz w:val="24"/>
          <w:szCs w:val="21"/>
          <w:lang w:val="en-US" w:eastAsia="zh-CN"/>
        </w:rPr>
      </w:pPr>
    </w:p>
    <w:p w14:paraId="2B2FF7A6">
      <w:pPr>
        <w:spacing w:line="360" w:lineRule="auto"/>
        <w:ind w:firstLine="480" w:firstLineChars="200"/>
        <w:jc w:val="both"/>
        <w:outlineLvl w:val="2"/>
        <w:rPr>
          <w:rFonts w:hint="default" w:ascii="Times New Roman" w:hAnsi="Times New Roman" w:eastAsia="宋体" w:cs="Times New Roman"/>
          <w:color w:val="auto"/>
          <w:sz w:val="24"/>
          <w:lang w:val="en-US" w:eastAsia="zh-CN"/>
        </w:rPr>
      </w:pPr>
      <w:bookmarkStart w:id="332" w:name="_Toc26483"/>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3</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现状监测及评价</w:t>
      </w:r>
      <w:r>
        <w:rPr>
          <w:rFonts w:hint="default" w:ascii="Times New Roman" w:hAnsi="Times New Roman" w:eastAsia="宋体" w:cs="Times New Roman"/>
          <w:color w:val="auto"/>
          <w:sz w:val="24"/>
          <w:lang w:val="en-US" w:eastAsia="zh-CN"/>
        </w:rPr>
        <w:t>结果</w:t>
      </w:r>
      <w:bookmarkEnd w:id="332"/>
    </w:p>
    <w:p w14:paraId="6AB9B90A">
      <w:pPr>
        <w:spacing w:line="360" w:lineRule="auto"/>
        <w:ind w:firstLine="480" w:firstLineChars="200"/>
        <w:rPr>
          <w:rFonts w:hint="default"/>
          <w:color w:val="auto"/>
          <w:sz w:val="24"/>
          <w:szCs w:val="21"/>
          <w:lang w:val="en-US" w:eastAsia="zh-CN"/>
        </w:rPr>
      </w:pPr>
      <w:r>
        <w:rPr>
          <w:rFonts w:hint="default" w:ascii="Times New Roman" w:hAnsi="Times New Roman" w:eastAsia="宋体" w:cs="Times New Roman"/>
          <w:color w:val="auto"/>
          <w:sz w:val="24"/>
          <w:lang w:val="en-US" w:eastAsia="zh-CN"/>
        </w:rPr>
        <w:t>地表水环境现状监测数据见表</w:t>
      </w:r>
      <w:r>
        <w:rPr>
          <w:rFonts w:hint="eastAsia" w:ascii="Times New Roman" w:hAnsi="Times New Roman" w:eastAsia="宋体" w:cs="Times New Roman"/>
          <w:color w:val="auto"/>
          <w:sz w:val="24"/>
          <w:lang w:val="en-US" w:eastAsia="zh-CN"/>
        </w:rPr>
        <w:t>4</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6</w:t>
      </w:r>
      <w:r>
        <w:rPr>
          <w:rFonts w:hint="default" w:ascii="Times New Roman" w:hAnsi="Times New Roman" w:eastAsia="宋体" w:cs="Times New Roman"/>
          <w:color w:val="auto"/>
          <w:sz w:val="24"/>
          <w:lang w:val="en-US" w:eastAsia="zh-CN"/>
        </w:rPr>
        <w:t>，地表水环境质量评价结果汇总见表</w:t>
      </w:r>
      <w:r>
        <w:rPr>
          <w:rFonts w:hint="eastAsia" w:ascii="Times New Roman" w:hAnsi="Times New Roman" w:eastAsia="宋体" w:cs="Times New Roman"/>
          <w:color w:val="auto"/>
          <w:sz w:val="24"/>
          <w:lang w:val="en-US" w:eastAsia="zh-CN"/>
        </w:rPr>
        <w:t>4</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7。</w:t>
      </w:r>
    </w:p>
    <w:p w14:paraId="389C3C54">
      <w:pPr>
        <w:spacing w:line="360" w:lineRule="auto"/>
        <w:jc w:val="center"/>
        <w:rPr>
          <w:rFonts w:hint="eastAsia"/>
          <w:b/>
          <w:bCs/>
          <w:color w:val="auto"/>
          <w:sz w:val="24"/>
          <w:szCs w:val="21"/>
          <w:lang w:val="en-US" w:eastAsia="zh-CN"/>
        </w:rPr>
      </w:pPr>
      <w:r>
        <w:rPr>
          <w:rFonts w:hint="eastAsia"/>
          <w:b/>
          <w:bCs/>
          <w:color w:val="auto"/>
          <w:sz w:val="24"/>
          <w:szCs w:val="21"/>
          <w:lang w:val="en-US" w:eastAsia="zh-CN"/>
        </w:rPr>
        <w:t>表4-6 地表水环境质量现状评价结果一览表（单位：mg/L；pH无量纲）</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2003"/>
        <w:gridCol w:w="1090"/>
        <w:gridCol w:w="1065"/>
        <w:gridCol w:w="938"/>
        <w:gridCol w:w="855"/>
        <w:gridCol w:w="1404"/>
        <w:gridCol w:w="1276"/>
        <w:gridCol w:w="666"/>
      </w:tblGrid>
      <w:tr w14:paraId="717CD3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4333453D">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检测点位</w:t>
            </w:r>
          </w:p>
        </w:tc>
        <w:tc>
          <w:tcPr>
            <w:tcW w:w="1009" w:type="pct"/>
            <w:noWrap w:val="0"/>
            <w:vAlign w:val="center"/>
          </w:tcPr>
          <w:p w14:paraId="547D6573">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监测断面名称和位置</w:t>
            </w:r>
          </w:p>
        </w:tc>
        <w:tc>
          <w:tcPr>
            <w:tcW w:w="551" w:type="pct"/>
            <w:noWrap w:val="0"/>
            <w:vAlign w:val="center"/>
          </w:tcPr>
          <w:p w14:paraId="6D20D015">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pH</w:t>
            </w:r>
          </w:p>
        </w:tc>
        <w:tc>
          <w:tcPr>
            <w:tcW w:w="534" w:type="pct"/>
            <w:noWrap w:val="0"/>
            <w:vAlign w:val="center"/>
          </w:tcPr>
          <w:p w14:paraId="2965ED80">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溶解氧</w:t>
            </w:r>
          </w:p>
        </w:tc>
        <w:tc>
          <w:tcPr>
            <w:tcW w:w="475" w:type="pct"/>
            <w:noWrap w:val="0"/>
            <w:vAlign w:val="center"/>
          </w:tcPr>
          <w:p w14:paraId="6B2BE7A5">
            <w:pPr>
              <w:bidi w:val="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COD</w:t>
            </w:r>
          </w:p>
        </w:tc>
        <w:tc>
          <w:tcPr>
            <w:tcW w:w="429" w:type="pct"/>
            <w:noWrap w:val="0"/>
            <w:vAlign w:val="center"/>
          </w:tcPr>
          <w:p w14:paraId="0554E9A0">
            <w:pPr>
              <w:bidi w:val="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BOD</w:t>
            </w:r>
            <w:r>
              <w:rPr>
                <w:rFonts w:hint="default" w:ascii="Times New Roman" w:hAnsi="Times New Roman" w:eastAsia="宋体" w:cs="Times New Roman"/>
                <w:b/>
                <w:bCs/>
                <w:color w:val="auto"/>
                <w:sz w:val="21"/>
                <w:szCs w:val="21"/>
                <w:vertAlign w:val="subscript"/>
                <w:lang w:val="en-US" w:eastAsia="zh-CN"/>
              </w:rPr>
              <w:t>5</w:t>
            </w:r>
          </w:p>
        </w:tc>
        <w:tc>
          <w:tcPr>
            <w:tcW w:w="708" w:type="pct"/>
            <w:noWrap w:val="0"/>
            <w:vAlign w:val="center"/>
          </w:tcPr>
          <w:p w14:paraId="109B1142">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氨氮</w:t>
            </w:r>
          </w:p>
        </w:tc>
        <w:tc>
          <w:tcPr>
            <w:tcW w:w="614" w:type="pct"/>
            <w:noWrap w:val="0"/>
            <w:vAlign w:val="center"/>
          </w:tcPr>
          <w:p w14:paraId="5162BF31">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总磷</w:t>
            </w:r>
          </w:p>
        </w:tc>
        <w:tc>
          <w:tcPr>
            <w:tcW w:w="338" w:type="pct"/>
            <w:noWrap w:val="0"/>
            <w:vAlign w:val="center"/>
          </w:tcPr>
          <w:p w14:paraId="0B400074">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石油类</w:t>
            </w:r>
          </w:p>
        </w:tc>
      </w:tr>
      <w:tr w14:paraId="4B2E36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493FBFD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W1</w:t>
            </w:r>
          </w:p>
        </w:tc>
        <w:tc>
          <w:tcPr>
            <w:tcW w:w="1009" w:type="pct"/>
            <w:noWrap w:val="0"/>
            <w:vAlign w:val="center"/>
          </w:tcPr>
          <w:p w14:paraId="0595A94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王引河入开发区前500m处断面</w:t>
            </w:r>
          </w:p>
          <w:p w14:paraId="4300B9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w:t>
            </w:r>
          </w:p>
        </w:tc>
        <w:tc>
          <w:tcPr>
            <w:tcW w:w="551" w:type="pct"/>
            <w:noWrap w:val="0"/>
            <w:vAlign w:val="center"/>
          </w:tcPr>
          <w:p w14:paraId="3DEB68E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7.2～7.4</w:t>
            </w:r>
          </w:p>
        </w:tc>
        <w:tc>
          <w:tcPr>
            <w:tcW w:w="534" w:type="pct"/>
            <w:noWrap w:val="0"/>
            <w:vAlign w:val="center"/>
          </w:tcPr>
          <w:p w14:paraId="474BFAC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6.4～7.2</w:t>
            </w:r>
          </w:p>
        </w:tc>
        <w:tc>
          <w:tcPr>
            <w:tcW w:w="475" w:type="pct"/>
            <w:noWrap w:val="0"/>
            <w:vAlign w:val="center"/>
          </w:tcPr>
          <w:p w14:paraId="0F0F567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25～31</w:t>
            </w:r>
          </w:p>
        </w:tc>
        <w:tc>
          <w:tcPr>
            <w:tcW w:w="429" w:type="pct"/>
            <w:noWrap w:val="0"/>
            <w:vAlign w:val="center"/>
          </w:tcPr>
          <w:p w14:paraId="5B2E92C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6.2～7.4</w:t>
            </w:r>
          </w:p>
        </w:tc>
        <w:tc>
          <w:tcPr>
            <w:tcW w:w="708" w:type="pct"/>
            <w:noWrap w:val="0"/>
            <w:vAlign w:val="center"/>
          </w:tcPr>
          <w:p w14:paraId="0F7764E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0.611～0.706</w:t>
            </w:r>
          </w:p>
        </w:tc>
        <w:tc>
          <w:tcPr>
            <w:tcW w:w="614" w:type="pct"/>
            <w:noWrap w:val="0"/>
            <w:vAlign w:val="center"/>
          </w:tcPr>
          <w:p w14:paraId="59B41F0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0.16～0.26</w:t>
            </w:r>
          </w:p>
        </w:tc>
        <w:tc>
          <w:tcPr>
            <w:tcW w:w="338" w:type="pct"/>
            <w:noWrap w:val="0"/>
            <w:vAlign w:val="center"/>
          </w:tcPr>
          <w:p w14:paraId="3C67EA3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77A2E0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36AC292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W2</w:t>
            </w:r>
          </w:p>
        </w:tc>
        <w:tc>
          <w:tcPr>
            <w:tcW w:w="1009" w:type="pct"/>
            <w:noWrap w:val="0"/>
            <w:vAlign w:val="center"/>
          </w:tcPr>
          <w:p w14:paraId="7C9A68A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王引河与巴河交汇处上游 500 米</w:t>
            </w:r>
          </w:p>
          <w:p w14:paraId="308F7D5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w:t>
            </w:r>
          </w:p>
        </w:tc>
        <w:tc>
          <w:tcPr>
            <w:tcW w:w="551" w:type="pct"/>
            <w:noWrap w:val="0"/>
            <w:vAlign w:val="center"/>
          </w:tcPr>
          <w:p w14:paraId="7A2400C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7.4～7.6</w:t>
            </w:r>
          </w:p>
        </w:tc>
        <w:tc>
          <w:tcPr>
            <w:tcW w:w="534" w:type="pct"/>
            <w:noWrap w:val="0"/>
            <w:vAlign w:val="center"/>
          </w:tcPr>
          <w:p w14:paraId="57A17C6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6.2～7.4</w:t>
            </w:r>
          </w:p>
        </w:tc>
        <w:tc>
          <w:tcPr>
            <w:tcW w:w="475" w:type="pct"/>
            <w:noWrap w:val="0"/>
            <w:vAlign w:val="center"/>
          </w:tcPr>
          <w:p w14:paraId="7BA1FE0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29～35</w:t>
            </w:r>
          </w:p>
        </w:tc>
        <w:tc>
          <w:tcPr>
            <w:tcW w:w="429" w:type="pct"/>
            <w:noWrap w:val="0"/>
            <w:vAlign w:val="center"/>
          </w:tcPr>
          <w:p w14:paraId="4DCACAE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6.2～7.9</w:t>
            </w:r>
          </w:p>
        </w:tc>
        <w:tc>
          <w:tcPr>
            <w:tcW w:w="708" w:type="pct"/>
            <w:noWrap w:val="0"/>
            <w:vAlign w:val="center"/>
          </w:tcPr>
          <w:p w14:paraId="188CE43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0.128～0.218</w:t>
            </w:r>
          </w:p>
        </w:tc>
        <w:tc>
          <w:tcPr>
            <w:tcW w:w="614" w:type="pct"/>
            <w:noWrap w:val="0"/>
            <w:vAlign w:val="center"/>
          </w:tcPr>
          <w:p w14:paraId="3530207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0.21～0.26</w:t>
            </w:r>
          </w:p>
        </w:tc>
        <w:tc>
          <w:tcPr>
            <w:tcW w:w="338" w:type="pct"/>
            <w:noWrap w:val="0"/>
            <w:vAlign w:val="center"/>
          </w:tcPr>
          <w:p w14:paraId="47C5250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7BADA6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541C24B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W3</w:t>
            </w:r>
          </w:p>
        </w:tc>
        <w:tc>
          <w:tcPr>
            <w:tcW w:w="1009" w:type="pct"/>
            <w:noWrap w:val="0"/>
            <w:vAlign w:val="center"/>
          </w:tcPr>
          <w:p w14:paraId="7363CBF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王引河与巴河交汇处下游 500 米断面</w:t>
            </w:r>
          </w:p>
          <w:p w14:paraId="2F4C873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w:t>
            </w:r>
          </w:p>
        </w:tc>
        <w:tc>
          <w:tcPr>
            <w:tcW w:w="551" w:type="pct"/>
            <w:noWrap w:val="0"/>
            <w:vAlign w:val="center"/>
          </w:tcPr>
          <w:p w14:paraId="1833DF2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7.4～7.6</w:t>
            </w:r>
          </w:p>
        </w:tc>
        <w:tc>
          <w:tcPr>
            <w:tcW w:w="534" w:type="pct"/>
            <w:noWrap w:val="0"/>
            <w:vAlign w:val="center"/>
          </w:tcPr>
          <w:p w14:paraId="7920DFB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6.0～7.1</w:t>
            </w:r>
          </w:p>
        </w:tc>
        <w:tc>
          <w:tcPr>
            <w:tcW w:w="475" w:type="pct"/>
            <w:noWrap w:val="0"/>
            <w:vAlign w:val="center"/>
          </w:tcPr>
          <w:p w14:paraId="5CE6DAE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25～33</w:t>
            </w:r>
          </w:p>
        </w:tc>
        <w:tc>
          <w:tcPr>
            <w:tcW w:w="429" w:type="pct"/>
            <w:noWrap w:val="0"/>
            <w:vAlign w:val="center"/>
          </w:tcPr>
          <w:p w14:paraId="752C2A7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6.2～7.8</w:t>
            </w:r>
          </w:p>
        </w:tc>
        <w:tc>
          <w:tcPr>
            <w:tcW w:w="708" w:type="pct"/>
            <w:noWrap w:val="0"/>
            <w:vAlign w:val="center"/>
          </w:tcPr>
          <w:p w14:paraId="1BD322C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0.051～0.528</w:t>
            </w:r>
          </w:p>
        </w:tc>
        <w:tc>
          <w:tcPr>
            <w:tcW w:w="614" w:type="pct"/>
            <w:noWrap w:val="0"/>
            <w:vAlign w:val="center"/>
          </w:tcPr>
          <w:p w14:paraId="582249C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0.26～0.28</w:t>
            </w:r>
          </w:p>
        </w:tc>
        <w:tc>
          <w:tcPr>
            <w:tcW w:w="338" w:type="pct"/>
            <w:noWrap w:val="0"/>
            <w:vAlign w:val="center"/>
          </w:tcPr>
          <w:p w14:paraId="30F9279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6C01E6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1F4BC9D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W4</w:t>
            </w:r>
          </w:p>
        </w:tc>
        <w:tc>
          <w:tcPr>
            <w:tcW w:w="1009" w:type="pct"/>
            <w:noWrap w:val="0"/>
            <w:vAlign w:val="center"/>
          </w:tcPr>
          <w:p w14:paraId="6E1A202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王引河与巴河交汇处下游 2000 米断面（王引河）</w:t>
            </w:r>
          </w:p>
        </w:tc>
        <w:tc>
          <w:tcPr>
            <w:tcW w:w="551" w:type="pct"/>
            <w:noWrap w:val="0"/>
            <w:vAlign w:val="center"/>
          </w:tcPr>
          <w:p w14:paraId="4E8B61E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7.4～7.9</w:t>
            </w:r>
          </w:p>
        </w:tc>
        <w:tc>
          <w:tcPr>
            <w:tcW w:w="534" w:type="pct"/>
            <w:noWrap w:val="0"/>
            <w:vAlign w:val="center"/>
          </w:tcPr>
          <w:p w14:paraId="1C95E02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6.2～7.2</w:t>
            </w:r>
          </w:p>
        </w:tc>
        <w:tc>
          <w:tcPr>
            <w:tcW w:w="475" w:type="pct"/>
            <w:noWrap w:val="0"/>
            <w:vAlign w:val="center"/>
          </w:tcPr>
          <w:p w14:paraId="62C1E89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20～35</w:t>
            </w:r>
          </w:p>
        </w:tc>
        <w:tc>
          <w:tcPr>
            <w:tcW w:w="429" w:type="pct"/>
            <w:noWrap w:val="0"/>
            <w:vAlign w:val="center"/>
          </w:tcPr>
          <w:p w14:paraId="1ABC40F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6.0～7.1</w:t>
            </w:r>
          </w:p>
        </w:tc>
        <w:tc>
          <w:tcPr>
            <w:tcW w:w="708" w:type="pct"/>
            <w:noWrap w:val="0"/>
            <w:vAlign w:val="center"/>
          </w:tcPr>
          <w:p w14:paraId="027E830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0.353～0.373</w:t>
            </w:r>
          </w:p>
        </w:tc>
        <w:tc>
          <w:tcPr>
            <w:tcW w:w="614" w:type="pct"/>
            <w:noWrap w:val="0"/>
            <w:vAlign w:val="center"/>
          </w:tcPr>
          <w:p w14:paraId="5F368E5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0.2～0.25</w:t>
            </w:r>
          </w:p>
        </w:tc>
        <w:tc>
          <w:tcPr>
            <w:tcW w:w="338" w:type="pct"/>
            <w:noWrap w:val="0"/>
            <w:vAlign w:val="center"/>
          </w:tcPr>
          <w:p w14:paraId="07FE073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0F5ED8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7A51A53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W5</w:t>
            </w:r>
          </w:p>
        </w:tc>
        <w:tc>
          <w:tcPr>
            <w:tcW w:w="1009" w:type="pct"/>
            <w:noWrap w:val="0"/>
            <w:vAlign w:val="center"/>
          </w:tcPr>
          <w:p w14:paraId="2B4E266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濉溪第二污水处理厂排污口上游500米断面（巴河）</w:t>
            </w:r>
          </w:p>
        </w:tc>
        <w:tc>
          <w:tcPr>
            <w:tcW w:w="551" w:type="pct"/>
            <w:noWrap w:val="0"/>
            <w:vAlign w:val="center"/>
          </w:tcPr>
          <w:p w14:paraId="50CFC87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7.1～8.0</w:t>
            </w:r>
          </w:p>
        </w:tc>
        <w:tc>
          <w:tcPr>
            <w:tcW w:w="534" w:type="pct"/>
            <w:noWrap w:val="0"/>
            <w:vAlign w:val="center"/>
          </w:tcPr>
          <w:p w14:paraId="46C8132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6.3～7.1</w:t>
            </w:r>
          </w:p>
        </w:tc>
        <w:tc>
          <w:tcPr>
            <w:tcW w:w="475" w:type="pct"/>
            <w:noWrap w:val="0"/>
            <w:vAlign w:val="center"/>
          </w:tcPr>
          <w:p w14:paraId="291E466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30～35</w:t>
            </w:r>
          </w:p>
        </w:tc>
        <w:tc>
          <w:tcPr>
            <w:tcW w:w="429" w:type="pct"/>
            <w:noWrap w:val="0"/>
            <w:vAlign w:val="center"/>
          </w:tcPr>
          <w:p w14:paraId="1F6B1EE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6.2～7.0</w:t>
            </w:r>
          </w:p>
        </w:tc>
        <w:tc>
          <w:tcPr>
            <w:tcW w:w="708" w:type="pct"/>
            <w:noWrap w:val="0"/>
            <w:vAlign w:val="center"/>
          </w:tcPr>
          <w:p w14:paraId="0C490D2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0.303～0.318</w:t>
            </w:r>
          </w:p>
        </w:tc>
        <w:tc>
          <w:tcPr>
            <w:tcW w:w="614" w:type="pct"/>
            <w:noWrap w:val="0"/>
            <w:vAlign w:val="center"/>
          </w:tcPr>
          <w:p w14:paraId="110CC8D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0.25～0.26</w:t>
            </w:r>
          </w:p>
        </w:tc>
        <w:tc>
          <w:tcPr>
            <w:tcW w:w="338" w:type="pct"/>
            <w:noWrap w:val="0"/>
            <w:vAlign w:val="center"/>
          </w:tcPr>
          <w:p w14:paraId="157A0D8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4861D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6E77F7F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W6</w:t>
            </w:r>
          </w:p>
        </w:tc>
        <w:tc>
          <w:tcPr>
            <w:tcW w:w="1009" w:type="pct"/>
            <w:noWrap w:val="0"/>
            <w:vAlign w:val="center"/>
          </w:tcPr>
          <w:p w14:paraId="4C93598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濉溪第二污水处理厂排污口下游500米断面（巴河）</w:t>
            </w:r>
          </w:p>
        </w:tc>
        <w:tc>
          <w:tcPr>
            <w:tcW w:w="551" w:type="pct"/>
            <w:noWrap w:val="0"/>
            <w:vAlign w:val="center"/>
          </w:tcPr>
          <w:p w14:paraId="564EF55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7.2～7.3</w:t>
            </w:r>
          </w:p>
        </w:tc>
        <w:tc>
          <w:tcPr>
            <w:tcW w:w="534" w:type="pct"/>
            <w:noWrap w:val="0"/>
            <w:vAlign w:val="center"/>
          </w:tcPr>
          <w:p w14:paraId="4CF9665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6.4～6.8</w:t>
            </w:r>
          </w:p>
        </w:tc>
        <w:tc>
          <w:tcPr>
            <w:tcW w:w="475" w:type="pct"/>
            <w:noWrap w:val="0"/>
            <w:vAlign w:val="center"/>
          </w:tcPr>
          <w:p w14:paraId="54E1451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18～35</w:t>
            </w:r>
          </w:p>
        </w:tc>
        <w:tc>
          <w:tcPr>
            <w:tcW w:w="429" w:type="pct"/>
            <w:noWrap w:val="0"/>
            <w:vAlign w:val="center"/>
          </w:tcPr>
          <w:p w14:paraId="26FA81D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6.2～7.3</w:t>
            </w:r>
          </w:p>
        </w:tc>
        <w:tc>
          <w:tcPr>
            <w:tcW w:w="708" w:type="pct"/>
            <w:noWrap w:val="0"/>
            <w:vAlign w:val="center"/>
          </w:tcPr>
          <w:p w14:paraId="7199273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0.281～0.336</w:t>
            </w:r>
          </w:p>
        </w:tc>
        <w:tc>
          <w:tcPr>
            <w:tcW w:w="614" w:type="pct"/>
            <w:noWrap w:val="0"/>
            <w:vAlign w:val="center"/>
          </w:tcPr>
          <w:p w14:paraId="71495D3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0.16～0.28</w:t>
            </w:r>
          </w:p>
        </w:tc>
        <w:tc>
          <w:tcPr>
            <w:tcW w:w="338" w:type="pct"/>
            <w:noWrap w:val="0"/>
            <w:vAlign w:val="center"/>
          </w:tcPr>
          <w:p w14:paraId="1B5ED7B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3477FD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7509E2E6">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rPr>
              <w:t>W7</w:t>
            </w:r>
          </w:p>
        </w:tc>
        <w:tc>
          <w:tcPr>
            <w:tcW w:w="1009" w:type="pct"/>
            <w:noWrap w:val="0"/>
            <w:vAlign w:val="center"/>
          </w:tcPr>
          <w:p w14:paraId="1C9D74F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拟建排污口上游500m</w:t>
            </w:r>
          </w:p>
        </w:tc>
        <w:tc>
          <w:tcPr>
            <w:tcW w:w="551" w:type="pct"/>
            <w:noWrap w:val="0"/>
            <w:vAlign w:val="center"/>
          </w:tcPr>
          <w:p w14:paraId="6AE6C4E3">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7.2~7.3</w:t>
            </w:r>
          </w:p>
        </w:tc>
        <w:tc>
          <w:tcPr>
            <w:tcW w:w="534" w:type="pct"/>
            <w:noWrap w:val="0"/>
            <w:vAlign w:val="center"/>
          </w:tcPr>
          <w:p w14:paraId="05DD0180">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5.16~5.21</w:t>
            </w:r>
          </w:p>
        </w:tc>
        <w:tc>
          <w:tcPr>
            <w:tcW w:w="475" w:type="pct"/>
            <w:noWrap w:val="0"/>
            <w:vAlign w:val="center"/>
          </w:tcPr>
          <w:p w14:paraId="0D7D3A54">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16~18</w:t>
            </w:r>
          </w:p>
        </w:tc>
        <w:tc>
          <w:tcPr>
            <w:tcW w:w="429" w:type="pct"/>
            <w:noWrap w:val="0"/>
            <w:vAlign w:val="center"/>
          </w:tcPr>
          <w:p w14:paraId="0D6A3C42">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3.6~3.7</w:t>
            </w:r>
          </w:p>
        </w:tc>
        <w:tc>
          <w:tcPr>
            <w:tcW w:w="708" w:type="pct"/>
            <w:noWrap w:val="0"/>
            <w:vAlign w:val="center"/>
          </w:tcPr>
          <w:p w14:paraId="7982E13F">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0.346~0.392</w:t>
            </w:r>
          </w:p>
        </w:tc>
        <w:tc>
          <w:tcPr>
            <w:tcW w:w="614" w:type="pct"/>
            <w:noWrap w:val="0"/>
            <w:vAlign w:val="center"/>
          </w:tcPr>
          <w:p w14:paraId="485A3DFB">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0.073~0.081</w:t>
            </w:r>
          </w:p>
        </w:tc>
        <w:tc>
          <w:tcPr>
            <w:tcW w:w="338" w:type="pct"/>
            <w:noWrap w:val="0"/>
            <w:vAlign w:val="center"/>
          </w:tcPr>
          <w:p w14:paraId="3126F5B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607B75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53FC69AC">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rPr>
              <w:t>W8</w:t>
            </w:r>
          </w:p>
        </w:tc>
        <w:tc>
          <w:tcPr>
            <w:tcW w:w="1009" w:type="pct"/>
            <w:noWrap w:val="0"/>
            <w:vAlign w:val="center"/>
          </w:tcPr>
          <w:p w14:paraId="70B25CD9">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拟建排污口下游500m</w:t>
            </w:r>
          </w:p>
        </w:tc>
        <w:tc>
          <w:tcPr>
            <w:tcW w:w="551" w:type="pct"/>
            <w:noWrap w:val="0"/>
            <w:vAlign w:val="center"/>
          </w:tcPr>
          <w:p w14:paraId="621B8351">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7.1~7.2</w:t>
            </w:r>
          </w:p>
        </w:tc>
        <w:tc>
          <w:tcPr>
            <w:tcW w:w="534" w:type="pct"/>
            <w:noWrap w:val="0"/>
            <w:vAlign w:val="center"/>
          </w:tcPr>
          <w:p w14:paraId="0A740042">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5.19~5.24</w:t>
            </w:r>
          </w:p>
        </w:tc>
        <w:tc>
          <w:tcPr>
            <w:tcW w:w="475" w:type="pct"/>
            <w:noWrap w:val="0"/>
            <w:vAlign w:val="center"/>
          </w:tcPr>
          <w:p w14:paraId="5A9A1C4C">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15~17</w:t>
            </w:r>
          </w:p>
        </w:tc>
        <w:tc>
          <w:tcPr>
            <w:tcW w:w="429" w:type="pct"/>
            <w:noWrap w:val="0"/>
            <w:vAlign w:val="center"/>
          </w:tcPr>
          <w:p w14:paraId="2B8B7E1C">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3.5~3.6</w:t>
            </w:r>
          </w:p>
        </w:tc>
        <w:tc>
          <w:tcPr>
            <w:tcW w:w="708" w:type="pct"/>
            <w:noWrap w:val="0"/>
            <w:vAlign w:val="center"/>
          </w:tcPr>
          <w:p w14:paraId="43252DEE">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0.330~0.360</w:t>
            </w:r>
          </w:p>
        </w:tc>
        <w:tc>
          <w:tcPr>
            <w:tcW w:w="614" w:type="pct"/>
            <w:noWrap w:val="0"/>
            <w:vAlign w:val="center"/>
          </w:tcPr>
          <w:p w14:paraId="43507185">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0.043~0.056</w:t>
            </w:r>
          </w:p>
        </w:tc>
        <w:tc>
          <w:tcPr>
            <w:tcW w:w="338" w:type="pct"/>
            <w:noWrap w:val="0"/>
            <w:vAlign w:val="center"/>
          </w:tcPr>
          <w:p w14:paraId="4E18BB1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bl>
    <w:p w14:paraId="3D47CEAA">
      <w:pPr>
        <w:spacing w:line="360" w:lineRule="auto"/>
        <w:rPr>
          <w:rFonts w:hint="eastAsia"/>
          <w:color w:val="auto"/>
          <w:sz w:val="24"/>
          <w:szCs w:val="21"/>
          <w:lang w:val="en-US" w:eastAsia="zh-CN"/>
        </w:rPr>
      </w:pPr>
    </w:p>
    <w:p w14:paraId="13DCFFDA">
      <w:pPr>
        <w:spacing w:line="360" w:lineRule="auto"/>
        <w:ind w:firstLine="480" w:firstLineChars="200"/>
        <w:rPr>
          <w:rFonts w:hint="default"/>
          <w:color w:val="auto"/>
          <w:sz w:val="24"/>
          <w:szCs w:val="21"/>
          <w:lang w:val="en-US" w:eastAsia="zh-CN"/>
        </w:rPr>
      </w:pPr>
      <w:r>
        <w:rPr>
          <w:rFonts w:hint="eastAsia"/>
          <w:color w:val="auto"/>
          <w:sz w:val="24"/>
          <w:szCs w:val="21"/>
          <w:lang w:val="en-US" w:eastAsia="zh-CN"/>
        </w:rPr>
        <w:t>根据上述评价标准与评价方法，得到的单因子评价结果见下表。</w:t>
      </w:r>
    </w:p>
    <w:p w14:paraId="7D54E756">
      <w:pPr>
        <w:spacing w:line="360" w:lineRule="auto"/>
        <w:jc w:val="center"/>
        <w:rPr>
          <w:rFonts w:hint="default"/>
          <w:b/>
          <w:bCs/>
          <w:color w:val="auto"/>
          <w:sz w:val="24"/>
          <w:szCs w:val="21"/>
          <w:lang w:val="en-US" w:eastAsia="zh-CN"/>
        </w:rPr>
      </w:pPr>
      <w:r>
        <w:rPr>
          <w:rFonts w:hint="eastAsia"/>
          <w:b/>
          <w:bCs/>
          <w:color w:val="auto"/>
          <w:sz w:val="24"/>
          <w:szCs w:val="21"/>
          <w:lang w:val="en-US" w:eastAsia="zh-CN"/>
        </w:rPr>
        <w:t>表4-7 地表水环境质量评价标准指数一览表</w:t>
      </w:r>
    </w:p>
    <w:tbl>
      <w:tblPr>
        <w:tblStyle w:val="31"/>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044"/>
        <w:gridCol w:w="1110"/>
        <w:gridCol w:w="1110"/>
        <w:gridCol w:w="1058"/>
        <w:gridCol w:w="1112"/>
        <w:gridCol w:w="1314"/>
        <w:gridCol w:w="1278"/>
        <w:gridCol w:w="951"/>
      </w:tblGrid>
      <w:tr w14:paraId="15EA16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noWrap w:val="0"/>
            <w:vAlign w:val="center"/>
          </w:tcPr>
          <w:p w14:paraId="7DD4263C">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检测点位</w:t>
            </w:r>
          </w:p>
        </w:tc>
        <w:tc>
          <w:tcPr>
            <w:tcW w:w="524" w:type="pct"/>
            <w:noWrap w:val="0"/>
            <w:vAlign w:val="center"/>
          </w:tcPr>
          <w:p w14:paraId="42F4D25C">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内容</w:t>
            </w:r>
          </w:p>
        </w:tc>
        <w:tc>
          <w:tcPr>
            <w:tcW w:w="557" w:type="pct"/>
            <w:noWrap w:val="0"/>
            <w:vAlign w:val="center"/>
          </w:tcPr>
          <w:p w14:paraId="74006B7B">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pH</w:t>
            </w:r>
          </w:p>
        </w:tc>
        <w:tc>
          <w:tcPr>
            <w:tcW w:w="557" w:type="pct"/>
            <w:noWrap w:val="0"/>
            <w:vAlign w:val="center"/>
          </w:tcPr>
          <w:p w14:paraId="19486852">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溶解氧</w:t>
            </w:r>
          </w:p>
        </w:tc>
        <w:tc>
          <w:tcPr>
            <w:tcW w:w="531" w:type="pct"/>
            <w:noWrap w:val="0"/>
            <w:vAlign w:val="center"/>
          </w:tcPr>
          <w:p w14:paraId="1E83693C">
            <w:pPr>
              <w:bidi w:val="0"/>
              <w:jc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sz w:val="21"/>
                <w:szCs w:val="21"/>
                <w:lang w:val="en-US" w:eastAsia="zh-CN"/>
              </w:rPr>
              <w:t>COD</w:t>
            </w:r>
          </w:p>
        </w:tc>
        <w:tc>
          <w:tcPr>
            <w:tcW w:w="558" w:type="pct"/>
            <w:noWrap w:val="0"/>
            <w:vAlign w:val="center"/>
          </w:tcPr>
          <w:p w14:paraId="5E989413">
            <w:pPr>
              <w:bidi w:val="0"/>
              <w:jc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sz w:val="21"/>
                <w:szCs w:val="21"/>
                <w:lang w:val="en-US" w:eastAsia="zh-CN"/>
              </w:rPr>
              <w:t>BOD</w:t>
            </w:r>
            <w:r>
              <w:rPr>
                <w:rFonts w:hint="default" w:ascii="Times New Roman" w:hAnsi="Times New Roman" w:eastAsia="宋体" w:cs="Times New Roman"/>
                <w:b/>
                <w:bCs/>
                <w:color w:val="auto"/>
                <w:sz w:val="21"/>
                <w:szCs w:val="21"/>
                <w:vertAlign w:val="subscript"/>
                <w:lang w:val="en-US" w:eastAsia="zh-CN"/>
              </w:rPr>
              <w:t>5</w:t>
            </w:r>
          </w:p>
        </w:tc>
        <w:tc>
          <w:tcPr>
            <w:tcW w:w="659" w:type="pct"/>
            <w:noWrap w:val="0"/>
            <w:vAlign w:val="center"/>
          </w:tcPr>
          <w:p w14:paraId="13C73E29">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氨氮</w:t>
            </w:r>
          </w:p>
        </w:tc>
        <w:tc>
          <w:tcPr>
            <w:tcW w:w="641" w:type="pct"/>
            <w:noWrap w:val="0"/>
            <w:vAlign w:val="center"/>
          </w:tcPr>
          <w:p w14:paraId="0339DA9F">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总磷</w:t>
            </w:r>
          </w:p>
        </w:tc>
        <w:tc>
          <w:tcPr>
            <w:tcW w:w="477" w:type="pct"/>
            <w:noWrap w:val="0"/>
            <w:vAlign w:val="center"/>
          </w:tcPr>
          <w:p w14:paraId="0D9B3B8B">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石油类</w:t>
            </w:r>
          </w:p>
        </w:tc>
      </w:tr>
      <w:tr w14:paraId="3DA9E9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1C7D033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W1</w:t>
            </w:r>
          </w:p>
          <w:p w14:paraId="459CCE2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王引河入开发区前500m处断面</w:t>
            </w:r>
            <w:r>
              <w:rPr>
                <w:rFonts w:hint="default" w:ascii="Times New Roman" w:hAnsi="Times New Roman" w:eastAsia="宋体" w:cs="Times New Roman"/>
                <w:color w:val="auto"/>
                <w:sz w:val="21"/>
                <w:szCs w:val="21"/>
              </w:rPr>
              <w:t>（王引河）</w:t>
            </w:r>
          </w:p>
        </w:tc>
        <w:tc>
          <w:tcPr>
            <w:tcW w:w="524" w:type="pct"/>
            <w:noWrap w:val="0"/>
            <w:vAlign w:val="center"/>
          </w:tcPr>
          <w:p w14:paraId="4EE432B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7D5481C1">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7.2～7.4</w:t>
            </w:r>
          </w:p>
        </w:tc>
        <w:tc>
          <w:tcPr>
            <w:tcW w:w="557" w:type="pct"/>
            <w:noWrap w:val="0"/>
            <w:vAlign w:val="center"/>
          </w:tcPr>
          <w:p w14:paraId="7F9497D2">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6.4～7.2</w:t>
            </w:r>
          </w:p>
        </w:tc>
        <w:tc>
          <w:tcPr>
            <w:tcW w:w="531" w:type="pct"/>
            <w:noWrap w:val="0"/>
            <w:vAlign w:val="center"/>
          </w:tcPr>
          <w:p w14:paraId="2CA92C6D">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25～31</w:t>
            </w:r>
          </w:p>
        </w:tc>
        <w:tc>
          <w:tcPr>
            <w:tcW w:w="558" w:type="pct"/>
            <w:noWrap w:val="0"/>
            <w:vAlign w:val="center"/>
          </w:tcPr>
          <w:p w14:paraId="38530176">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6.2～7.4</w:t>
            </w:r>
          </w:p>
        </w:tc>
        <w:tc>
          <w:tcPr>
            <w:tcW w:w="659" w:type="pct"/>
            <w:noWrap w:val="0"/>
            <w:vAlign w:val="center"/>
          </w:tcPr>
          <w:p w14:paraId="31948B4D">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0.611～0.706</w:t>
            </w:r>
          </w:p>
        </w:tc>
        <w:tc>
          <w:tcPr>
            <w:tcW w:w="641" w:type="pct"/>
            <w:noWrap w:val="0"/>
            <w:vAlign w:val="center"/>
          </w:tcPr>
          <w:p w14:paraId="0FCEFCB8">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0.16～0.26</w:t>
            </w:r>
          </w:p>
        </w:tc>
        <w:tc>
          <w:tcPr>
            <w:tcW w:w="477" w:type="pct"/>
            <w:noWrap w:val="0"/>
            <w:vAlign w:val="center"/>
          </w:tcPr>
          <w:p w14:paraId="198251BB">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205BF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57BD477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09B952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5C1F97C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5786D2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29ED76A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29A0A4C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472028E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49FD465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4051621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6F6BF2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677A97F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48C7B1E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0AFE0CF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750F01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48FEC0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1.55</w:t>
            </w:r>
          </w:p>
        </w:tc>
        <w:tc>
          <w:tcPr>
            <w:tcW w:w="558" w:type="pct"/>
            <w:noWrap w:val="0"/>
            <w:vAlign w:val="center"/>
          </w:tcPr>
          <w:p w14:paraId="7294922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1.85</w:t>
            </w:r>
          </w:p>
        </w:tc>
        <w:tc>
          <w:tcPr>
            <w:tcW w:w="659" w:type="pct"/>
            <w:noWrap w:val="0"/>
            <w:vAlign w:val="center"/>
          </w:tcPr>
          <w:p w14:paraId="4BD0911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0.706</w:t>
            </w:r>
          </w:p>
        </w:tc>
        <w:tc>
          <w:tcPr>
            <w:tcW w:w="641" w:type="pct"/>
            <w:noWrap w:val="0"/>
            <w:vAlign w:val="center"/>
          </w:tcPr>
          <w:p w14:paraId="740772A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6CBA52D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112BCB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499F6A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5DF149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7622ED8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7C28120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3AB3BB7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558" w:type="pct"/>
            <w:noWrap w:val="0"/>
            <w:vAlign w:val="center"/>
          </w:tcPr>
          <w:p w14:paraId="700B6E9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46E1CE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79FD0C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66.6%</w:t>
            </w:r>
          </w:p>
        </w:tc>
        <w:tc>
          <w:tcPr>
            <w:tcW w:w="477" w:type="pct"/>
            <w:noWrap w:val="0"/>
            <w:vAlign w:val="center"/>
          </w:tcPr>
          <w:p w14:paraId="5A44DA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7829A6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7F48486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3630315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0107087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400FCCA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2DC9962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1.55</w:t>
            </w:r>
          </w:p>
        </w:tc>
        <w:tc>
          <w:tcPr>
            <w:tcW w:w="558" w:type="pct"/>
            <w:noWrap w:val="0"/>
            <w:vAlign w:val="center"/>
          </w:tcPr>
          <w:p w14:paraId="66A52AD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1.85</w:t>
            </w:r>
          </w:p>
        </w:tc>
        <w:tc>
          <w:tcPr>
            <w:tcW w:w="659" w:type="pct"/>
            <w:noWrap w:val="0"/>
            <w:vAlign w:val="center"/>
          </w:tcPr>
          <w:p w14:paraId="74E04C6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051BB17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7878AAE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24183E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2951524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W2</w:t>
            </w:r>
          </w:p>
          <w:p w14:paraId="55408A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王引河与巴河交汇处上游 500 米（王引河）</w:t>
            </w:r>
          </w:p>
        </w:tc>
        <w:tc>
          <w:tcPr>
            <w:tcW w:w="524" w:type="pct"/>
            <w:noWrap w:val="0"/>
            <w:vAlign w:val="center"/>
          </w:tcPr>
          <w:p w14:paraId="27573BA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086E8EA4">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7.4～7.6</w:t>
            </w:r>
          </w:p>
        </w:tc>
        <w:tc>
          <w:tcPr>
            <w:tcW w:w="557" w:type="pct"/>
            <w:noWrap w:val="0"/>
            <w:vAlign w:val="center"/>
          </w:tcPr>
          <w:p w14:paraId="5EA2EB7D">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6.2～7.4</w:t>
            </w:r>
          </w:p>
        </w:tc>
        <w:tc>
          <w:tcPr>
            <w:tcW w:w="531" w:type="pct"/>
            <w:noWrap w:val="0"/>
            <w:vAlign w:val="center"/>
          </w:tcPr>
          <w:p w14:paraId="1DAE3E92">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29～35</w:t>
            </w:r>
          </w:p>
        </w:tc>
        <w:tc>
          <w:tcPr>
            <w:tcW w:w="558" w:type="pct"/>
            <w:noWrap w:val="0"/>
            <w:vAlign w:val="center"/>
          </w:tcPr>
          <w:p w14:paraId="0E6A0F66">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6.2～7.9</w:t>
            </w:r>
          </w:p>
        </w:tc>
        <w:tc>
          <w:tcPr>
            <w:tcW w:w="659" w:type="pct"/>
            <w:noWrap w:val="0"/>
            <w:vAlign w:val="center"/>
          </w:tcPr>
          <w:p w14:paraId="6F1FB6E2">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0.128～0.218</w:t>
            </w:r>
          </w:p>
        </w:tc>
        <w:tc>
          <w:tcPr>
            <w:tcW w:w="641" w:type="pct"/>
            <w:noWrap w:val="0"/>
            <w:vAlign w:val="center"/>
          </w:tcPr>
          <w:p w14:paraId="18C196F3">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0.21～0.26</w:t>
            </w:r>
          </w:p>
        </w:tc>
        <w:tc>
          <w:tcPr>
            <w:tcW w:w="477" w:type="pct"/>
            <w:noWrap w:val="0"/>
            <w:vAlign w:val="center"/>
          </w:tcPr>
          <w:p w14:paraId="76CB057B">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00FE09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70C66F0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DE61D7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4D226A6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11EE318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68E7D0A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5A3E6EF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1AED60A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3B1F5E2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1CFBD36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168E0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007B7A2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13C611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4D41958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6D7E364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70A15E0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w:t>
            </w:r>
          </w:p>
        </w:tc>
        <w:tc>
          <w:tcPr>
            <w:tcW w:w="558" w:type="pct"/>
            <w:noWrap w:val="0"/>
            <w:vAlign w:val="center"/>
          </w:tcPr>
          <w:p w14:paraId="2A3B522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1.98</w:t>
            </w:r>
          </w:p>
        </w:tc>
        <w:tc>
          <w:tcPr>
            <w:tcW w:w="659" w:type="pct"/>
            <w:noWrap w:val="0"/>
            <w:vAlign w:val="center"/>
          </w:tcPr>
          <w:p w14:paraId="1E9D446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0.218</w:t>
            </w:r>
          </w:p>
        </w:tc>
        <w:tc>
          <w:tcPr>
            <w:tcW w:w="641" w:type="pct"/>
            <w:noWrap w:val="0"/>
            <w:vAlign w:val="center"/>
          </w:tcPr>
          <w:p w14:paraId="380A64A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52AD697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17953B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491" w:type="pct"/>
            <w:vMerge w:val="continue"/>
            <w:noWrap w:val="0"/>
            <w:vAlign w:val="center"/>
          </w:tcPr>
          <w:p w14:paraId="1761B42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BD137F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4A6084C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539D299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2803E3D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558" w:type="pct"/>
            <w:noWrap w:val="0"/>
            <w:vAlign w:val="center"/>
          </w:tcPr>
          <w:p w14:paraId="706FA0F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2EFCD4C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6DB0779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477" w:type="pct"/>
            <w:noWrap w:val="0"/>
            <w:vAlign w:val="center"/>
          </w:tcPr>
          <w:p w14:paraId="5D8019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2619A1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0D53F0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4D2F827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7931D14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4AE642F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251128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w:t>
            </w:r>
          </w:p>
        </w:tc>
        <w:tc>
          <w:tcPr>
            <w:tcW w:w="558" w:type="pct"/>
            <w:noWrap w:val="0"/>
            <w:vAlign w:val="center"/>
          </w:tcPr>
          <w:p w14:paraId="32F9F8E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1.98</w:t>
            </w:r>
          </w:p>
        </w:tc>
        <w:tc>
          <w:tcPr>
            <w:tcW w:w="659" w:type="pct"/>
            <w:noWrap w:val="0"/>
            <w:vAlign w:val="center"/>
          </w:tcPr>
          <w:p w14:paraId="1598592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76C04FC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7292471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0FAEF8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330EA68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W3</w:t>
            </w:r>
          </w:p>
          <w:p w14:paraId="546DE89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王引河与巴河交汇处下游 500 米断面</w:t>
            </w:r>
            <w:r>
              <w:rPr>
                <w:rFonts w:hint="default" w:ascii="Times New Roman" w:hAnsi="Times New Roman" w:eastAsia="宋体" w:cs="Times New Roman"/>
                <w:color w:val="auto"/>
                <w:sz w:val="21"/>
                <w:szCs w:val="21"/>
              </w:rPr>
              <w:t>（王引河）</w:t>
            </w:r>
          </w:p>
        </w:tc>
        <w:tc>
          <w:tcPr>
            <w:tcW w:w="524" w:type="pct"/>
            <w:noWrap w:val="0"/>
            <w:vAlign w:val="center"/>
          </w:tcPr>
          <w:p w14:paraId="4573C87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32B8222C">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7.4～7.6</w:t>
            </w:r>
          </w:p>
        </w:tc>
        <w:tc>
          <w:tcPr>
            <w:tcW w:w="557" w:type="pct"/>
            <w:noWrap w:val="0"/>
            <w:vAlign w:val="center"/>
          </w:tcPr>
          <w:p w14:paraId="4B00E363">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6.0～7.1</w:t>
            </w:r>
          </w:p>
        </w:tc>
        <w:tc>
          <w:tcPr>
            <w:tcW w:w="531" w:type="pct"/>
            <w:noWrap w:val="0"/>
            <w:vAlign w:val="center"/>
          </w:tcPr>
          <w:p w14:paraId="555AB62D">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25～33</w:t>
            </w:r>
          </w:p>
        </w:tc>
        <w:tc>
          <w:tcPr>
            <w:tcW w:w="558" w:type="pct"/>
            <w:noWrap w:val="0"/>
            <w:vAlign w:val="center"/>
          </w:tcPr>
          <w:p w14:paraId="51790E02">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6.2～7.8</w:t>
            </w:r>
          </w:p>
        </w:tc>
        <w:tc>
          <w:tcPr>
            <w:tcW w:w="659" w:type="pct"/>
            <w:noWrap w:val="0"/>
            <w:vAlign w:val="center"/>
          </w:tcPr>
          <w:p w14:paraId="5263AC2A">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0.051～0.528</w:t>
            </w:r>
          </w:p>
        </w:tc>
        <w:tc>
          <w:tcPr>
            <w:tcW w:w="641" w:type="pct"/>
            <w:noWrap w:val="0"/>
            <w:vAlign w:val="center"/>
          </w:tcPr>
          <w:p w14:paraId="64E9EC0D">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0.26～0.28</w:t>
            </w:r>
          </w:p>
        </w:tc>
        <w:tc>
          <w:tcPr>
            <w:tcW w:w="477" w:type="pct"/>
            <w:noWrap w:val="0"/>
            <w:vAlign w:val="center"/>
          </w:tcPr>
          <w:p w14:paraId="457EE309">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4D3596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D6389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482ADD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1DEEF81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3B8C083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2A517AD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10AFA39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6DE4378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38DCE0C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57379A4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76905E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44F9518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023736A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38E7E74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6B8792D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19B9371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1.65</w:t>
            </w:r>
          </w:p>
        </w:tc>
        <w:tc>
          <w:tcPr>
            <w:tcW w:w="558" w:type="pct"/>
            <w:noWrap w:val="0"/>
            <w:vAlign w:val="center"/>
          </w:tcPr>
          <w:p w14:paraId="75E65FC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1.95</w:t>
            </w:r>
          </w:p>
        </w:tc>
        <w:tc>
          <w:tcPr>
            <w:tcW w:w="659" w:type="pct"/>
            <w:noWrap w:val="0"/>
            <w:vAlign w:val="center"/>
          </w:tcPr>
          <w:p w14:paraId="25A15F1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0.528</w:t>
            </w:r>
          </w:p>
        </w:tc>
        <w:tc>
          <w:tcPr>
            <w:tcW w:w="641" w:type="pct"/>
            <w:noWrap w:val="0"/>
            <w:vAlign w:val="center"/>
          </w:tcPr>
          <w:p w14:paraId="747523F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1.4</w:t>
            </w:r>
          </w:p>
        </w:tc>
        <w:tc>
          <w:tcPr>
            <w:tcW w:w="477" w:type="pct"/>
            <w:noWrap w:val="0"/>
            <w:vAlign w:val="center"/>
          </w:tcPr>
          <w:p w14:paraId="532D3B2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642EEC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A370F2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5879F0A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059A03E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3BBB7C6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0F1D938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558" w:type="pct"/>
            <w:noWrap w:val="0"/>
            <w:vAlign w:val="center"/>
          </w:tcPr>
          <w:p w14:paraId="30A51A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1E9C89F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6365879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477" w:type="pct"/>
            <w:noWrap w:val="0"/>
            <w:vAlign w:val="center"/>
          </w:tcPr>
          <w:p w14:paraId="6405BB9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6D5987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9367A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56F4E47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589384F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594DED5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31C6435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1.65</w:t>
            </w:r>
          </w:p>
        </w:tc>
        <w:tc>
          <w:tcPr>
            <w:tcW w:w="558" w:type="pct"/>
            <w:noWrap w:val="0"/>
            <w:vAlign w:val="center"/>
          </w:tcPr>
          <w:p w14:paraId="09A961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1.95</w:t>
            </w:r>
          </w:p>
        </w:tc>
        <w:tc>
          <w:tcPr>
            <w:tcW w:w="659" w:type="pct"/>
            <w:noWrap w:val="0"/>
            <w:vAlign w:val="center"/>
          </w:tcPr>
          <w:p w14:paraId="5E8B866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423F18C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1.4</w:t>
            </w:r>
          </w:p>
        </w:tc>
        <w:tc>
          <w:tcPr>
            <w:tcW w:w="477" w:type="pct"/>
            <w:noWrap w:val="0"/>
            <w:vAlign w:val="center"/>
          </w:tcPr>
          <w:p w14:paraId="6A5CAFF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5D0DF2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0192233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W4</w:t>
            </w:r>
          </w:p>
          <w:p w14:paraId="1404D97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王引河与巴河交汇处下游 2000 米断面</w:t>
            </w:r>
            <w:r>
              <w:rPr>
                <w:rFonts w:hint="default" w:ascii="Times New Roman" w:hAnsi="Times New Roman" w:eastAsia="宋体" w:cs="Times New Roman"/>
                <w:color w:val="auto"/>
                <w:sz w:val="21"/>
                <w:szCs w:val="21"/>
              </w:rPr>
              <w:t>（王引河）</w:t>
            </w:r>
          </w:p>
        </w:tc>
        <w:tc>
          <w:tcPr>
            <w:tcW w:w="524" w:type="pct"/>
            <w:noWrap w:val="0"/>
            <w:vAlign w:val="center"/>
          </w:tcPr>
          <w:p w14:paraId="2C3562D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073E7B36">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7.4～7.9</w:t>
            </w:r>
          </w:p>
        </w:tc>
        <w:tc>
          <w:tcPr>
            <w:tcW w:w="557" w:type="pct"/>
            <w:noWrap w:val="0"/>
            <w:vAlign w:val="center"/>
          </w:tcPr>
          <w:p w14:paraId="64F38F26">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6.2～7.2</w:t>
            </w:r>
          </w:p>
        </w:tc>
        <w:tc>
          <w:tcPr>
            <w:tcW w:w="531" w:type="pct"/>
            <w:noWrap w:val="0"/>
            <w:vAlign w:val="center"/>
          </w:tcPr>
          <w:p w14:paraId="72D308FF">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20～35</w:t>
            </w:r>
          </w:p>
        </w:tc>
        <w:tc>
          <w:tcPr>
            <w:tcW w:w="558" w:type="pct"/>
            <w:noWrap w:val="0"/>
            <w:vAlign w:val="center"/>
          </w:tcPr>
          <w:p w14:paraId="6B24C097">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6.0～7.1</w:t>
            </w:r>
          </w:p>
        </w:tc>
        <w:tc>
          <w:tcPr>
            <w:tcW w:w="659" w:type="pct"/>
            <w:noWrap w:val="0"/>
            <w:vAlign w:val="center"/>
          </w:tcPr>
          <w:p w14:paraId="293970E9">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0.353～0.373</w:t>
            </w:r>
          </w:p>
        </w:tc>
        <w:tc>
          <w:tcPr>
            <w:tcW w:w="641" w:type="pct"/>
            <w:noWrap w:val="0"/>
            <w:vAlign w:val="center"/>
          </w:tcPr>
          <w:p w14:paraId="616AFA17">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0.2～0.25</w:t>
            </w:r>
          </w:p>
        </w:tc>
        <w:tc>
          <w:tcPr>
            <w:tcW w:w="477" w:type="pct"/>
            <w:noWrap w:val="0"/>
            <w:vAlign w:val="center"/>
          </w:tcPr>
          <w:p w14:paraId="435552C5">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178B7C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099B0F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72D53AF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02478F2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4E008D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1E345E0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44916BA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0662283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0E5D323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2413CE7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06682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7673E63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391CB8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5BC8B50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1E02379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46B2D8F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1.75</w:t>
            </w:r>
          </w:p>
        </w:tc>
        <w:tc>
          <w:tcPr>
            <w:tcW w:w="558" w:type="pct"/>
            <w:noWrap w:val="0"/>
            <w:vAlign w:val="center"/>
          </w:tcPr>
          <w:p w14:paraId="16210B7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1.775</w:t>
            </w:r>
          </w:p>
        </w:tc>
        <w:tc>
          <w:tcPr>
            <w:tcW w:w="659" w:type="pct"/>
            <w:noWrap w:val="0"/>
            <w:vAlign w:val="center"/>
          </w:tcPr>
          <w:p w14:paraId="7474153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0.373</w:t>
            </w:r>
          </w:p>
        </w:tc>
        <w:tc>
          <w:tcPr>
            <w:tcW w:w="641" w:type="pct"/>
            <w:noWrap w:val="0"/>
            <w:vAlign w:val="center"/>
          </w:tcPr>
          <w:p w14:paraId="109E434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1.25</w:t>
            </w:r>
          </w:p>
        </w:tc>
        <w:tc>
          <w:tcPr>
            <w:tcW w:w="477" w:type="pct"/>
            <w:noWrap w:val="0"/>
            <w:vAlign w:val="center"/>
          </w:tcPr>
          <w:p w14:paraId="16FF5AB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0624D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48D2625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BCDAC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1F7F831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654CDE1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770B0FD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66.7%</w:t>
            </w:r>
          </w:p>
        </w:tc>
        <w:tc>
          <w:tcPr>
            <w:tcW w:w="558" w:type="pct"/>
            <w:noWrap w:val="0"/>
            <w:vAlign w:val="center"/>
          </w:tcPr>
          <w:p w14:paraId="45462C5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2D6E853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0CF76FB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66.6%</w:t>
            </w:r>
          </w:p>
        </w:tc>
        <w:tc>
          <w:tcPr>
            <w:tcW w:w="477" w:type="pct"/>
            <w:noWrap w:val="0"/>
            <w:vAlign w:val="center"/>
          </w:tcPr>
          <w:p w14:paraId="763FA0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35EFA8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44FA714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305CDF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622E606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1F37C10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6E322D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1.75</w:t>
            </w:r>
          </w:p>
        </w:tc>
        <w:tc>
          <w:tcPr>
            <w:tcW w:w="558" w:type="pct"/>
            <w:noWrap w:val="0"/>
            <w:vAlign w:val="center"/>
          </w:tcPr>
          <w:p w14:paraId="014AD44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1.775</w:t>
            </w:r>
          </w:p>
        </w:tc>
        <w:tc>
          <w:tcPr>
            <w:tcW w:w="659" w:type="pct"/>
            <w:noWrap w:val="0"/>
            <w:vAlign w:val="center"/>
          </w:tcPr>
          <w:p w14:paraId="4C89BE1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7ABD728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1.25</w:t>
            </w:r>
          </w:p>
        </w:tc>
        <w:tc>
          <w:tcPr>
            <w:tcW w:w="477" w:type="pct"/>
            <w:noWrap w:val="0"/>
            <w:vAlign w:val="center"/>
          </w:tcPr>
          <w:p w14:paraId="08E93B1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769FAE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6C6F59D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W5</w:t>
            </w:r>
          </w:p>
          <w:p w14:paraId="1999CD9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濉溪第二污水处理厂排污口上游500米断面（巴河）</w:t>
            </w:r>
          </w:p>
        </w:tc>
        <w:tc>
          <w:tcPr>
            <w:tcW w:w="524" w:type="pct"/>
            <w:noWrap w:val="0"/>
            <w:vAlign w:val="center"/>
          </w:tcPr>
          <w:p w14:paraId="7FB94A1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27A7EEF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7.1～8.0</w:t>
            </w:r>
          </w:p>
        </w:tc>
        <w:tc>
          <w:tcPr>
            <w:tcW w:w="557" w:type="pct"/>
            <w:noWrap w:val="0"/>
            <w:vAlign w:val="center"/>
          </w:tcPr>
          <w:p w14:paraId="7B11DFA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6.3～7.1</w:t>
            </w:r>
          </w:p>
        </w:tc>
        <w:tc>
          <w:tcPr>
            <w:tcW w:w="531" w:type="pct"/>
            <w:noWrap w:val="0"/>
            <w:vAlign w:val="center"/>
          </w:tcPr>
          <w:p w14:paraId="0708E0C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30～35</w:t>
            </w:r>
          </w:p>
        </w:tc>
        <w:tc>
          <w:tcPr>
            <w:tcW w:w="558" w:type="pct"/>
            <w:noWrap w:val="0"/>
            <w:vAlign w:val="center"/>
          </w:tcPr>
          <w:p w14:paraId="66E0430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6.2～7.0</w:t>
            </w:r>
          </w:p>
        </w:tc>
        <w:tc>
          <w:tcPr>
            <w:tcW w:w="659" w:type="pct"/>
            <w:noWrap w:val="0"/>
            <w:vAlign w:val="center"/>
          </w:tcPr>
          <w:p w14:paraId="19C471E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0.303～0.318</w:t>
            </w:r>
          </w:p>
        </w:tc>
        <w:tc>
          <w:tcPr>
            <w:tcW w:w="641" w:type="pct"/>
            <w:noWrap w:val="0"/>
            <w:vAlign w:val="center"/>
          </w:tcPr>
          <w:p w14:paraId="6FC5712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0.25～0.26</w:t>
            </w:r>
          </w:p>
        </w:tc>
        <w:tc>
          <w:tcPr>
            <w:tcW w:w="477" w:type="pct"/>
            <w:noWrap w:val="0"/>
            <w:vAlign w:val="center"/>
          </w:tcPr>
          <w:p w14:paraId="1F23F41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51A1DF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697DDE8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23FF2B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2605961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4E9136F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3</w:t>
            </w:r>
          </w:p>
        </w:tc>
        <w:tc>
          <w:tcPr>
            <w:tcW w:w="531" w:type="pct"/>
            <w:noWrap w:val="0"/>
            <w:vAlign w:val="center"/>
          </w:tcPr>
          <w:p w14:paraId="4FC43C5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30</w:t>
            </w:r>
          </w:p>
        </w:tc>
        <w:tc>
          <w:tcPr>
            <w:tcW w:w="558" w:type="pct"/>
            <w:noWrap w:val="0"/>
            <w:vAlign w:val="center"/>
          </w:tcPr>
          <w:p w14:paraId="6B90CA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w:t>
            </w:r>
          </w:p>
        </w:tc>
        <w:tc>
          <w:tcPr>
            <w:tcW w:w="659" w:type="pct"/>
            <w:noWrap w:val="0"/>
            <w:vAlign w:val="center"/>
          </w:tcPr>
          <w:p w14:paraId="2048525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w:t>
            </w:r>
          </w:p>
        </w:tc>
        <w:tc>
          <w:tcPr>
            <w:tcW w:w="641" w:type="pct"/>
            <w:noWrap w:val="0"/>
            <w:vAlign w:val="center"/>
          </w:tcPr>
          <w:p w14:paraId="143A605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0.3</w:t>
            </w:r>
          </w:p>
        </w:tc>
        <w:tc>
          <w:tcPr>
            <w:tcW w:w="477" w:type="pct"/>
            <w:noWrap w:val="0"/>
            <w:vAlign w:val="center"/>
          </w:tcPr>
          <w:p w14:paraId="0CE8CC8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2B16A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45224A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631C0B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7598C3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347CB42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6C8B201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62B94F5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659" w:type="pct"/>
            <w:noWrap w:val="0"/>
            <w:vAlign w:val="center"/>
          </w:tcPr>
          <w:p w14:paraId="4129B28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0.212</w:t>
            </w:r>
          </w:p>
        </w:tc>
        <w:tc>
          <w:tcPr>
            <w:tcW w:w="641" w:type="pct"/>
            <w:noWrap w:val="0"/>
            <w:vAlign w:val="center"/>
          </w:tcPr>
          <w:p w14:paraId="215D0DB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0.867</w:t>
            </w:r>
          </w:p>
        </w:tc>
        <w:tc>
          <w:tcPr>
            <w:tcW w:w="477" w:type="pct"/>
            <w:noWrap w:val="0"/>
            <w:vAlign w:val="center"/>
          </w:tcPr>
          <w:p w14:paraId="45378A7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75CEE7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5895FBA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36CACDA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79D98B6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60A8B22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7BDC468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66.7%</w:t>
            </w:r>
          </w:p>
        </w:tc>
        <w:tc>
          <w:tcPr>
            <w:tcW w:w="558" w:type="pct"/>
            <w:noWrap w:val="0"/>
            <w:vAlign w:val="center"/>
          </w:tcPr>
          <w:p w14:paraId="1EFE216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02ED020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4572770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477" w:type="pct"/>
            <w:noWrap w:val="0"/>
            <w:vAlign w:val="center"/>
          </w:tcPr>
          <w:p w14:paraId="765C10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6D67B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38BB12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9A67B8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2FCAC10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057256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700A554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3555DDB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1.775</w:t>
            </w:r>
          </w:p>
        </w:tc>
        <w:tc>
          <w:tcPr>
            <w:tcW w:w="659" w:type="pct"/>
            <w:noWrap w:val="0"/>
            <w:vAlign w:val="center"/>
          </w:tcPr>
          <w:p w14:paraId="3449561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6948FAF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3CF7453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250984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6B6F3C8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W6</w:t>
            </w:r>
          </w:p>
          <w:p w14:paraId="0A8603A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濉溪第二污水处理厂排污口下游500米断面（巴河）</w:t>
            </w:r>
          </w:p>
        </w:tc>
        <w:tc>
          <w:tcPr>
            <w:tcW w:w="524" w:type="pct"/>
            <w:noWrap w:val="0"/>
            <w:vAlign w:val="center"/>
          </w:tcPr>
          <w:p w14:paraId="07DF918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2517EB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7.2～7.3</w:t>
            </w:r>
          </w:p>
        </w:tc>
        <w:tc>
          <w:tcPr>
            <w:tcW w:w="557" w:type="pct"/>
            <w:noWrap w:val="0"/>
            <w:vAlign w:val="center"/>
          </w:tcPr>
          <w:p w14:paraId="1EFCB64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6.4～6.8</w:t>
            </w:r>
          </w:p>
        </w:tc>
        <w:tc>
          <w:tcPr>
            <w:tcW w:w="531" w:type="pct"/>
            <w:noWrap w:val="0"/>
            <w:vAlign w:val="center"/>
          </w:tcPr>
          <w:p w14:paraId="3530862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18～35</w:t>
            </w:r>
          </w:p>
        </w:tc>
        <w:tc>
          <w:tcPr>
            <w:tcW w:w="558" w:type="pct"/>
            <w:noWrap w:val="0"/>
            <w:vAlign w:val="center"/>
          </w:tcPr>
          <w:p w14:paraId="2C69E4F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6.2～7.3</w:t>
            </w:r>
          </w:p>
        </w:tc>
        <w:tc>
          <w:tcPr>
            <w:tcW w:w="659" w:type="pct"/>
            <w:noWrap w:val="0"/>
            <w:vAlign w:val="center"/>
          </w:tcPr>
          <w:p w14:paraId="00BE845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0.281～0.336</w:t>
            </w:r>
          </w:p>
        </w:tc>
        <w:tc>
          <w:tcPr>
            <w:tcW w:w="641" w:type="pct"/>
            <w:noWrap w:val="0"/>
            <w:vAlign w:val="center"/>
          </w:tcPr>
          <w:p w14:paraId="2BD6D43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0.16～0.28</w:t>
            </w:r>
          </w:p>
        </w:tc>
        <w:tc>
          <w:tcPr>
            <w:tcW w:w="477" w:type="pct"/>
            <w:noWrap w:val="0"/>
            <w:vAlign w:val="center"/>
          </w:tcPr>
          <w:p w14:paraId="2742DE7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5BA6FA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8775EC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CB1033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0B146C7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2634556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3</w:t>
            </w:r>
          </w:p>
        </w:tc>
        <w:tc>
          <w:tcPr>
            <w:tcW w:w="531" w:type="pct"/>
            <w:noWrap w:val="0"/>
            <w:vAlign w:val="center"/>
          </w:tcPr>
          <w:p w14:paraId="12F3C91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30</w:t>
            </w:r>
          </w:p>
        </w:tc>
        <w:tc>
          <w:tcPr>
            <w:tcW w:w="558" w:type="pct"/>
            <w:noWrap w:val="0"/>
            <w:vAlign w:val="center"/>
          </w:tcPr>
          <w:p w14:paraId="2258A86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6</w:t>
            </w:r>
          </w:p>
        </w:tc>
        <w:tc>
          <w:tcPr>
            <w:tcW w:w="659" w:type="pct"/>
            <w:noWrap w:val="0"/>
            <w:vAlign w:val="center"/>
          </w:tcPr>
          <w:p w14:paraId="5D35CF7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w:t>
            </w:r>
          </w:p>
        </w:tc>
        <w:tc>
          <w:tcPr>
            <w:tcW w:w="641" w:type="pct"/>
            <w:noWrap w:val="0"/>
            <w:vAlign w:val="center"/>
          </w:tcPr>
          <w:p w14:paraId="53DEEAB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0.3</w:t>
            </w:r>
          </w:p>
        </w:tc>
        <w:tc>
          <w:tcPr>
            <w:tcW w:w="477" w:type="pct"/>
            <w:noWrap w:val="0"/>
            <w:vAlign w:val="center"/>
          </w:tcPr>
          <w:p w14:paraId="19FDF5C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1338A4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23FF619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C2B02F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59E9201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1707671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6A77F13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183E3DA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1.22</w:t>
            </w:r>
          </w:p>
        </w:tc>
        <w:tc>
          <w:tcPr>
            <w:tcW w:w="659" w:type="pct"/>
            <w:noWrap w:val="0"/>
            <w:vAlign w:val="center"/>
          </w:tcPr>
          <w:p w14:paraId="4CDE1AC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0.22</w:t>
            </w:r>
          </w:p>
        </w:tc>
        <w:tc>
          <w:tcPr>
            <w:tcW w:w="641" w:type="pct"/>
            <w:noWrap w:val="0"/>
            <w:vAlign w:val="center"/>
          </w:tcPr>
          <w:p w14:paraId="28A81E2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0.933</w:t>
            </w:r>
          </w:p>
        </w:tc>
        <w:tc>
          <w:tcPr>
            <w:tcW w:w="477" w:type="pct"/>
            <w:noWrap w:val="0"/>
            <w:vAlign w:val="center"/>
          </w:tcPr>
          <w:p w14:paraId="1800CD7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1092AD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5F6007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7B856E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62B679A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7C90353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63B0D31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33.3%</w:t>
            </w:r>
          </w:p>
        </w:tc>
        <w:tc>
          <w:tcPr>
            <w:tcW w:w="558" w:type="pct"/>
            <w:noWrap w:val="0"/>
            <w:vAlign w:val="center"/>
          </w:tcPr>
          <w:p w14:paraId="18A5679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2D00FC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588328B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477" w:type="pct"/>
            <w:noWrap w:val="0"/>
            <w:vAlign w:val="center"/>
          </w:tcPr>
          <w:p w14:paraId="464DFF8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781F08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2B6D74D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434DAC5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63EF44F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4A17AEE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19CBD17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253D89C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1.22</w:t>
            </w:r>
          </w:p>
        </w:tc>
        <w:tc>
          <w:tcPr>
            <w:tcW w:w="659" w:type="pct"/>
            <w:noWrap w:val="0"/>
            <w:vAlign w:val="center"/>
          </w:tcPr>
          <w:p w14:paraId="74C99BC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1C35B7E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3F74941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58365A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709D0922">
            <w:pPr>
              <w:widowControl/>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lang w:val="en-US" w:eastAsia="zh-CN"/>
              </w:rPr>
              <w:t>W7濉溪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拟建排污口上游500m</w:t>
            </w:r>
          </w:p>
        </w:tc>
        <w:tc>
          <w:tcPr>
            <w:tcW w:w="524" w:type="pct"/>
            <w:noWrap w:val="0"/>
            <w:vAlign w:val="center"/>
          </w:tcPr>
          <w:p w14:paraId="32B9D2A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05C7995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7.2~7.3</w:t>
            </w:r>
          </w:p>
        </w:tc>
        <w:tc>
          <w:tcPr>
            <w:tcW w:w="557" w:type="pct"/>
            <w:noWrap w:val="0"/>
            <w:vAlign w:val="center"/>
          </w:tcPr>
          <w:p w14:paraId="59322F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5.16~5.21</w:t>
            </w:r>
          </w:p>
        </w:tc>
        <w:tc>
          <w:tcPr>
            <w:tcW w:w="531" w:type="pct"/>
            <w:noWrap w:val="0"/>
            <w:vAlign w:val="center"/>
          </w:tcPr>
          <w:p w14:paraId="13253D3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16~18</w:t>
            </w:r>
          </w:p>
        </w:tc>
        <w:tc>
          <w:tcPr>
            <w:tcW w:w="558" w:type="pct"/>
            <w:noWrap w:val="0"/>
            <w:vAlign w:val="center"/>
          </w:tcPr>
          <w:p w14:paraId="66910A4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3.6~3.7</w:t>
            </w:r>
          </w:p>
        </w:tc>
        <w:tc>
          <w:tcPr>
            <w:tcW w:w="659" w:type="pct"/>
            <w:noWrap w:val="0"/>
            <w:vAlign w:val="center"/>
          </w:tcPr>
          <w:p w14:paraId="33B0600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0.346~0.392</w:t>
            </w:r>
          </w:p>
        </w:tc>
        <w:tc>
          <w:tcPr>
            <w:tcW w:w="641" w:type="pct"/>
            <w:noWrap w:val="0"/>
            <w:vAlign w:val="center"/>
          </w:tcPr>
          <w:p w14:paraId="270DE27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0.073~0.081</w:t>
            </w:r>
          </w:p>
        </w:tc>
        <w:tc>
          <w:tcPr>
            <w:tcW w:w="477" w:type="pct"/>
            <w:noWrap w:val="0"/>
            <w:vAlign w:val="center"/>
          </w:tcPr>
          <w:p w14:paraId="4503AF9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1C9151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53CE1F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748C3B0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51E9A5E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6~9</w:t>
            </w:r>
          </w:p>
        </w:tc>
        <w:tc>
          <w:tcPr>
            <w:tcW w:w="557" w:type="pct"/>
            <w:noWrap w:val="0"/>
            <w:vAlign w:val="center"/>
          </w:tcPr>
          <w:p w14:paraId="77F4BFE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w:t>
            </w:r>
          </w:p>
        </w:tc>
        <w:tc>
          <w:tcPr>
            <w:tcW w:w="531" w:type="pct"/>
            <w:noWrap w:val="0"/>
            <w:vAlign w:val="center"/>
          </w:tcPr>
          <w:p w14:paraId="1130ACD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20</w:t>
            </w:r>
          </w:p>
        </w:tc>
        <w:tc>
          <w:tcPr>
            <w:tcW w:w="558" w:type="pct"/>
            <w:noWrap w:val="0"/>
            <w:vAlign w:val="center"/>
          </w:tcPr>
          <w:p w14:paraId="4521480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4</w:t>
            </w:r>
          </w:p>
        </w:tc>
        <w:tc>
          <w:tcPr>
            <w:tcW w:w="659" w:type="pct"/>
            <w:noWrap w:val="0"/>
            <w:vAlign w:val="center"/>
          </w:tcPr>
          <w:p w14:paraId="22E139F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1.0</w:t>
            </w:r>
          </w:p>
        </w:tc>
        <w:tc>
          <w:tcPr>
            <w:tcW w:w="641" w:type="pct"/>
            <w:noWrap w:val="0"/>
            <w:vAlign w:val="center"/>
          </w:tcPr>
          <w:p w14:paraId="3F700CA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w:t>
            </w:r>
          </w:p>
        </w:tc>
        <w:tc>
          <w:tcPr>
            <w:tcW w:w="477" w:type="pct"/>
            <w:noWrap w:val="0"/>
            <w:vAlign w:val="center"/>
          </w:tcPr>
          <w:p w14:paraId="31588FA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791D5D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2E7F1D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41D27E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409A567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57" w:type="pct"/>
            <w:noWrap w:val="0"/>
            <w:vAlign w:val="center"/>
          </w:tcPr>
          <w:p w14:paraId="16FD0B5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31" w:type="pct"/>
            <w:noWrap w:val="0"/>
            <w:vAlign w:val="center"/>
          </w:tcPr>
          <w:p w14:paraId="057D9E5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0.85</w:t>
            </w:r>
          </w:p>
        </w:tc>
        <w:tc>
          <w:tcPr>
            <w:tcW w:w="558" w:type="pct"/>
            <w:noWrap w:val="0"/>
            <w:vAlign w:val="center"/>
          </w:tcPr>
          <w:p w14:paraId="25E6017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0.925</w:t>
            </w:r>
          </w:p>
        </w:tc>
        <w:tc>
          <w:tcPr>
            <w:tcW w:w="659" w:type="pct"/>
            <w:noWrap w:val="0"/>
            <w:vAlign w:val="center"/>
          </w:tcPr>
          <w:p w14:paraId="70AACBC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0.392</w:t>
            </w:r>
          </w:p>
        </w:tc>
        <w:tc>
          <w:tcPr>
            <w:tcW w:w="641" w:type="pct"/>
            <w:noWrap w:val="0"/>
            <w:vAlign w:val="center"/>
          </w:tcPr>
          <w:p w14:paraId="1C4EDB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0.405</w:t>
            </w:r>
          </w:p>
        </w:tc>
        <w:tc>
          <w:tcPr>
            <w:tcW w:w="477" w:type="pct"/>
            <w:noWrap w:val="0"/>
            <w:vAlign w:val="center"/>
          </w:tcPr>
          <w:p w14:paraId="0931927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076070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9778A5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4511E7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0549A84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7" w:type="pct"/>
            <w:noWrap w:val="0"/>
            <w:vAlign w:val="center"/>
          </w:tcPr>
          <w:p w14:paraId="5BB3ABF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31" w:type="pct"/>
            <w:noWrap w:val="0"/>
            <w:vAlign w:val="center"/>
          </w:tcPr>
          <w:p w14:paraId="6EA6784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8" w:type="pct"/>
            <w:noWrap w:val="0"/>
            <w:vAlign w:val="center"/>
          </w:tcPr>
          <w:p w14:paraId="5DD885B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59" w:type="pct"/>
            <w:noWrap w:val="0"/>
            <w:vAlign w:val="center"/>
          </w:tcPr>
          <w:p w14:paraId="0BEC417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41" w:type="pct"/>
            <w:noWrap w:val="0"/>
            <w:vAlign w:val="center"/>
          </w:tcPr>
          <w:p w14:paraId="693366B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477" w:type="pct"/>
            <w:noWrap w:val="0"/>
            <w:vAlign w:val="center"/>
          </w:tcPr>
          <w:p w14:paraId="67507F1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6CE0B5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62D62BD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0527AD7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2EAE203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69E0427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126749C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8" w:type="pct"/>
            <w:noWrap w:val="0"/>
            <w:vAlign w:val="center"/>
          </w:tcPr>
          <w:p w14:paraId="3158C64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59" w:type="pct"/>
            <w:noWrap w:val="0"/>
            <w:vAlign w:val="center"/>
          </w:tcPr>
          <w:p w14:paraId="2425E48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1BC9BDE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18A0660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0E57AA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1DEF4D8F">
            <w:pPr>
              <w:widowControl/>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lang w:val="en-US" w:eastAsia="zh-CN"/>
              </w:rPr>
              <w:t>W8濉溪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拟建排污口下游500m</w:t>
            </w:r>
          </w:p>
        </w:tc>
        <w:tc>
          <w:tcPr>
            <w:tcW w:w="524" w:type="pct"/>
            <w:noWrap w:val="0"/>
            <w:vAlign w:val="center"/>
          </w:tcPr>
          <w:p w14:paraId="3992161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3B44EFC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7.1~7.2</w:t>
            </w:r>
          </w:p>
        </w:tc>
        <w:tc>
          <w:tcPr>
            <w:tcW w:w="557" w:type="pct"/>
            <w:noWrap w:val="0"/>
            <w:vAlign w:val="center"/>
          </w:tcPr>
          <w:p w14:paraId="13BBDD1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5.19~5.24</w:t>
            </w:r>
          </w:p>
        </w:tc>
        <w:tc>
          <w:tcPr>
            <w:tcW w:w="531" w:type="pct"/>
            <w:noWrap w:val="0"/>
            <w:vAlign w:val="center"/>
          </w:tcPr>
          <w:p w14:paraId="682C0E1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15~17</w:t>
            </w:r>
          </w:p>
        </w:tc>
        <w:tc>
          <w:tcPr>
            <w:tcW w:w="558" w:type="pct"/>
            <w:noWrap w:val="0"/>
            <w:vAlign w:val="center"/>
          </w:tcPr>
          <w:p w14:paraId="2ACD515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3.5~3.6</w:t>
            </w:r>
          </w:p>
        </w:tc>
        <w:tc>
          <w:tcPr>
            <w:tcW w:w="659" w:type="pct"/>
            <w:noWrap w:val="0"/>
            <w:vAlign w:val="center"/>
          </w:tcPr>
          <w:p w14:paraId="3E13352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0.330~0.056</w:t>
            </w:r>
          </w:p>
        </w:tc>
        <w:tc>
          <w:tcPr>
            <w:tcW w:w="641" w:type="pct"/>
            <w:noWrap w:val="0"/>
            <w:vAlign w:val="center"/>
          </w:tcPr>
          <w:p w14:paraId="57262E6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0.043~0.056</w:t>
            </w:r>
          </w:p>
        </w:tc>
        <w:tc>
          <w:tcPr>
            <w:tcW w:w="477" w:type="pct"/>
            <w:noWrap w:val="0"/>
            <w:vAlign w:val="center"/>
          </w:tcPr>
          <w:p w14:paraId="2632726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729838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F182F9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06AE6ED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5AC80BF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6~9</w:t>
            </w:r>
          </w:p>
        </w:tc>
        <w:tc>
          <w:tcPr>
            <w:tcW w:w="557" w:type="pct"/>
            <w:noWrap w:val="0"/>
            <w:vAlign w:val="center"/>
          </w:tcPr>
          <w:p w14:paraId="227D494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w:t>
            </w:r>
          </w:p>
        </w:tc>
        <w:tc>
          <w:tcPr>
            <w:tcW w:w="531" w:type="pct"/>
            <w:noWrap w:val="0"/>
            <w:vAlign w:val="center"/>
          </w:tcPr>
          <w:p w14:paraId="371F8BB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20</w:t>
            </w:r>
          </w:p>
        </w:tc>
        <w:tc>
          <w:tcPr>
            <w:tcW w:w="558" w:type="pct"/>
            <w:noWrap w:val="0"/>
            <w:vAlign w:val="center"/>
          </w:tcPr>
          <w:p w14:paraId="59E499E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4</w:t>
            </w:r>
          </w:p>
        </w:tc>
        <w:tc>
          <w:tcPr>
            <w:tcW w:w="659" w:type="pct"/>
            <w:noWrap w:val="0"/>
            <w:vAlign w:val="center"/>
          </w:tcPr>
          <w:p w14:paraId="7BCAAFA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w:t>
            </w:r>
          </w:p>
        </w:tc>
        <w:tc>
          <w:tcPr>
            <w:tcW w:w="641" w:type="pct"/>
            <w:noWrap w:val="0"/>
            <w:vAlign w:val="center"/>
          </w:tcPr>
          <w:p w14:paraId="055A444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w:t>
            </w:r>
          </w:p>
        </w:tc>
        <w:tc>
          <w:tcPr>
            <w:tcW w:w="477" w:type="pct"/>
            <w:noWrap w:val="0"/>
            <w:vAlign w:val="center"/>
          </w:tcPr>
          <w:p w14:paraId="4BCD2A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47C9B0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018F21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30D3D9A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7C7BE00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57" w:type="pct"/>
            <w:noWrap w:val="0"/>
            <w:vAlign w:val="center"/>
          </w:tcPr>
          <w:p w14:paraId="1E96F9C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31" w:type="pct"/>
            <w:noWrap w:val="0"/>
            <w:vAlign w:val="center"/>
          </w:tcPr>
          <w:p w14:paraId="39E4E33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0.85</w:t>
            </w:r>
          </w:p>
        </w:tc>
        <w:tc>
          <w:tcPr>
            <w:tcW w:w="558" w:type="pct"/>
            <w:noWrap w:val="0"/>
            <w:vAlign w:val="center"/>
          </w:tcPr>
          <w:p w14:paraId="376D20C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0.9</w:t>
            </w:r>
          </w:p>
        </w:tc>
        <w:tc>
          <w:tcPr>
            <w:tcW w:w="659" w:type="pct"/>
            <w:noWrap w:val="0"/>
            <w:vAlign w:val="center"/>
          </w:tcPr>
          <w:p w14:paraId="28E05B0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0.28</w:t>
            </w:r>
          </w:p>
        </w:tc>
        <w:tc>
          <w:tcPr>
            <w:tcW w:w="641" w:type="pct"/>
            <w:noWrap w:val="0"/>
            <w:vAlign w:val="center"/>
          </w:tcPr>
          <w:p w14:paraId="77FD237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0.28</w:t>
            </w:r>
          </w:p>
        </w:tc>
        <w:tc>
          <w:tcPr>
            <w:tcW w:w="477" w:type="pct"/>
            <w:noWrap w:val="0"/>
            <w:vAlign w:val="center"/>
          </w:tcPr>
          <w:p w14:paraId="000F66F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541B7F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2FDE1F9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217DEC2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1C853F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7" w:type="pct"/>
            <w:noWrap w:val="0"/>
            <w:vAlign w:val="center"/>
          </w:tcPr>
          <w:p w14:paraId="1F64596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31" w:type="pct"/>
            <w:noWrap w:val="0"/>
            <w:vAlign w:val="center"/>
          </w:tcPr>
          <w:p w14:paraId="2DE252F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8" w:type="pct"/>
            <w:noWrap w:val="0"/>
            <w:vAlign w:val="center"/>
          </w:tcPr>
          <w:p w14:paraId="14CC3C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59" w:type="pct"/>
            <w:noWrap w:val="0"/>
            <w:vAlign w:val="center"/>
          </w:tcPr>
          <w:p w14:paraId="2176CBB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41" w:type="pct"/>
            <w:noWrap w:val="0"/>
            <w:vAlign w:val="center"/>
          </w:tcPr>
          <w:p w14:paraId="24BBF03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477" w:type="pct"/>
            <w:noWrap w:val="0"/>
            <w:vAlign w:val="center"/>
          </w:tcPr>
          <w:p w14:paraId="46FBE81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27C071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F8AD0A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3D2361A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17F0B48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0DAC89C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69CD6A9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8" w:type="pct"/>
            <w:noWrap w:val="0"/>
            <w:vAlign w:val="center"/>
          </w:tcPr>
          <w:p w14:paraId="7D0E8E1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59" w:type="pct"/>
            <w:noWrap w:val="0"/>
            <w:vAlign w:val="center"/>
          </w:tcPr>
          <w:p w14:paraId="748FE6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5E4C38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4513CF4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bl>
    <w:p w14:paraId="4DE22EA9">
      <w:pPr>
        <w:spacing w:line="360" w:lineRule="auto"/>
        <w:rPr>
          <w:rFonts w:hint="eastAsia"/>
          <w:color w:val="auto"/>
          <w:sz w:val="24"/>
          <w:szCs w:val="21"/>
          <w:lang w:val="en-US" w:eastAsia="zh-CN"/>
        </w:rPr>
      </w:pPr>
    </w:p>
    <w:p w14:paraId="369AFB44">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由上表可知，王引河W1、W2、W3、W4监测断面化学需氧量、五日生化需氧量、总磷标准指数大于1，水质不能达到《地表水环境质量标准》（GB3838-2002）中</w:t>
      </w:r>
      <w:r>
        <w:rPr>
          <w:rFonts w:hint="eastAsia"/>
          <w:color w:val="auto"/>
          <w:sz w:val="24"/>
          <w:szCs w:val="21"/>
          <w:lang w:val="en-US" w:eastAsia="zh-CN"/>
        </w:rPr>
        <w:fldChar w:fldCharType="begin"/>
      </w:r>
      <w:r>
        <w:rPr>
          <w:rFonts w:hint="eastAsia"/>
          <w:color w:val="auto"/>
          <w:sz w:val="24"/>
          <w:szCs w:val="21"/>
          <w:lang w:val="en-US" w:eastAsia="zh-CN"/>
        </w:rPr>
        <w:instrText xml:space="preserve"> = 3 \* ROMAN \* MERGEFORMAT </w:instrText>
      </w:r>
      <w:r>
        <w:rPr>
          <w:rFonts w:hint="eastAsia"/>
          <w:color w:val="auto"/>
          <w:sz w:val="24"/>
          <w:szCs w:val="21"/>
          <w:lang w:val="en-US" w:eastAsia="zh-CN"/>
        </w:rPr>
        <w:fldChar w:fldCharType="separate"/>
      </w:r>
      <w:r>
        <w:rPr>
          <w:rFonts w:hint="eastAsia"/>
          <w:color w:val="auto"/>
          <w:sz w:val="24"/>
          <w:szCs w:val="21"/>
          <w:lang w:val="en-US" w:eastAsia="zh-CN"/>
        </w:rPr>
        <w:t>III</w:t>
      </w:r>
      <w:r>
        <w:rPr>
          <w:rFonts w:hint="eastAsia"/>
          <w:color w:val="auto"/>
          <w:sz w:val="24"/>
          <w:szCs w:val="21"/>
          <w:lang w:val="en-US" w:eastAsia="zh-CN"/>
        </w:rPr>
        <w:fldChar w:fldCharType="end"/>
      </w:r>
      <w:r>
        <w:rPr>
          <w:rFonts w:hint="eastAsia"/>
          <w:color w:val="auto"/>
          <w:sz w:val="24"/>
          <w:szCs w:val="21"/>
          <w:lang w:val="en-US" w:eastAsia="zh-CN"/>
        </w:rPr>
        <w:t>类水质标准的要求。巴河W5监测断面化学需氧量、五日生化需氧量、总磷标准指数大于1，巴河W6监测断面化学需氧量、五日生化需氧量标准指数大于1水质不能达到《地表水环境质量标准》（GB3838-2002）中</w:t>
      </w:r>
      <w:r>
        <w:rPr>
          <w:rFonts w:hint="eastAsia"/>
          <w:color w:val="auto"/>
          <w:sz w:val="24"/>
          <w:szCs w:val="21"/>
          <w:lang w:val="en-US" w:eastAsia="zh-CN"/>
        </w:rPr>
        <w:fldChar w:fldCharType="begin"/>
      </w:r>
      <w:r>
        <w:rPr>
          <w:rFonts w:hint="eastAsia"/>
          <w:color w:val="auto"/>
          <w:sz w:val="24"/>
          <w:szCs w:val="21"/>
          <w:lang w:val="en-US" w:eastAsia="zh-CN"/>
        </w:rPr>
        <w:instrText xml:space="preserve"> = 4 \* ROMAN \* MERGEFORMAT </w:instrText>
      </w:r>
      <w:r>
        <w:rPr>
          <w:rFonts w:hint="eastAsia"/>
          <w:color w:val="auto"/>
          <w:sz w:val="24"/>
          <w:szCs w:val="21"/>
          <w:lang w:val="en-US" w:eastAsia="zh-CN"/>
        </w:rPr>
        <w:fldChar w:fldCharType="separate"/>
      </w:r>
      <w:r>
        <w:rPr>
          <w:rFonts w:hint="eastAsia"/>
          <w:color w:val="auto"/>
          <w:sz w:val="24"/>
          <w:szCs w:val="21"/>
          <w:lang w:val="en-US" w:eastAsia="zh-CN"/>
        </w:rPr>
        <w:t>IV</w:t>
      </w:r>
      <w:r>
        <w:rPr>
          <w:rFonts w:hint="eastAsia"/>
          <w:color w:val="auto"/>
          <w:sz w:val="24"/>
          <w:szCs w:val="21"/>
          <w:lang w:val="en-US" w:eastAsia="zh-CN"/>
        </w:rPr>
        <w:fldChar w:fldCharType="end"/>
      </w:r>
      <w:r>
        <w:rPr>
          <w:rFonts w:hint="eastAsia"/>
          <w:color w:val="auto"/>
          <w:sz w:val="24"/>
          <w:szCs w:val="21"/>
          <w:lang w:val="en-US" w:eastAsia="zh-CN"/>
        </w:rPr>
        <w:t>类水质标准的要求，萧濉新河W7、W8监测断面各监测因子小于1，水质可达到《地表水环境质量标准》（GB3838-2002）中III类水质标准的要求。</w:t>
      </w:r>
    </w:p>
    <w:p w14:paraId="0251F7D7">
      <w:pPr>
        <w:spacing w:line="360" w:lineRule="auto"/>
        <w:outlineLvl w:val="2"/>
        <w:rPr>
          <w:b/>
          <w:bCs/>
          <w:color w:val="auto"/>
          <w:sz w:val="24"/>
        </w:rPr>
      </w:pPr>
      <w:r>
        <w:rPr>
          <w:b/>
          <w:bCs/>
          <w:color w:val="auto"/>
          <w:sz w:val="24"/>
        </w:rPr>
        <w:t>4.3.3地下水环境现状监测与评价</w:t>
      </w:r>
    </w:p>
    <w:p w14:paraId="1D9DB39F">
      <w:pPr>
        <w:spacing w:line="360" w:lineRule="auto"/>
        <w:ind w:firstLine="480" w:firstLineChars="200"/>
        <w:rPr>
          <w:color w:val="auto"/>
          <w:sz w:val="24"/>
          <w:szCs w:val="32"/>
        </w:rPr>
      </w:pPr>
      <w:r>
        <w:rPr>
          <w:color w:val="auto"/>
          <w:sz w:val="24"/>
          <w:szCs w:val="32"/>
        </w:rPr>
        <w:t>本项目根据区域地下水流向（由西北向东南），地下水环境质量现状监测引用</w:t>
      </w:r>
      <w:r>
        <w:rPr>
          <w:rFonts w:hint="eastAsia"/>
          <w:color w:val="auto"/>
          <w:sz w:val="24"/>
          <w:szCs w:val="32"/>
          <w:lang w:val="en-US" w:eastAsia="zh-CN"/>
        </w:rPr>
        <w:t>《安徽濉溪经济开发区总体发展规划（2023～2035）环境影响报告书》中“黄大庄、龙华学校、区内香樟路空地”等</w:t>
      </w:r>
      <w:r>
        <w:rPr>
          <w:rFonts w:hint="eastAsia"/>
          <w:color w:val="auto"/>
          <w:sz w:val="24"/>
          <w:szCs w:val="32"/>
        </w:rPr>
        <w:t>监测</w:t>
      </w:r>
      <w:r>
        <w:rPr>
          <w:rFonts w:hint="eastAsia"/>
          <w:color w:val="auto"/>
          <w:sz w:val="24"/>
          <w:szCs w:val="32"/>
          <w:lang w:val="en-US" w:eastAsia="zh-CN"/>
        </w:rPr>
        <w:t>点位</w:t>
      </w:r>
      <w:r>
        <w:rPr>
          <w:rFonts w:hint="eastAsia"/>
          <w:color w:val="auto"/>
          <w:sz w:val="24"/>
          <w:szCs w:val="32"/>
        </w:rPr>
        <w:t>数据</w:t>
      </w:r>
      <w:r>
        <w:rPr>
          <w:color w:val="auto"/>
          <w:sz w:val="24"/>
          <w:szCs w:val="32"/>
        </w:rPr>
        <w:t>，监测时间为202</w:t>
      </w:r>
      <w:r>
        <w:rPr>
          <w:rFonts w:hint="eastAsia"/>
          <w:color w:val="auto"/>
          <w:sz w:val="24"/>
          <w:szCs w:val="32"/>
          <w:lang w:val="en-US" w:eastAsia="zh-CN"/>
        </w:rPr>
        <w:t>3</w:t>
      </w:r>
      <w:r>
        <w:rPr>
          <w:color w:val="auto"/>
          <w:sz w:val="24"/>
          <w:szCs w:val="32"/>
        </w:rPr>
        <w:t>年</w:t>
      </w:r>
      <w:r>
        <w:rPr>
          <w:rFonts w:hint="eastAsia"/>
          <w:color w:val="auto"/>
          <w:sz w:val="24"/>
          <w:szCs w:val="32"/>
          <w:lang w:val="en-US" w:eastAsia="zh-CN"/>
        </w:rPr>
        <w:t>7</w:t>
      </w:r>
      <w:r>
        <w:rPr>
          <w:color w:val="auto"/>
          <w:sz w:val="24"/>
          <w:szCs w:val="32"/>
        </w:rPr>
        <w:t>月</w:t>
      </w:r>
      <w:r>
        <w:rPr>
          <w:rFonts w:hint="eastAsia"/>
          <w:color w:val="auto"/>
          <w:sz w:val="24"/>
          <w:szCs w:val="32"/>
          <w:lang w:val="en-US" w:eastAsia="zh-CN"/>
        </w:rPr>
        <w:t>12</w:t>
      </w:r>
      <w:r>
        <w:rPr>
          <w:color w:val="auto"/>
          <w:sz w:val="24"/>
          <w:szCs w:val="32"/>
        </w:rPr>
        <w:t>日</w:t>
      </w:r>
      <w:r>
        <w:rPr>
          <w:rFonts w:hint="eastAsia"/>
          <w:color w:val="auto"/>
          <w:sz w:val="24"/>
          <w:szCs w:val="32"/>
          <w:lang w:eastAsia="zh-CN"/>
        </w:rPr>
        <w:t>，</w:t>
      </w:r>
      <w:r>
        <w:rPr>
          <w:rFonts w:hint="eastAsia"/>
          <w:color w:val="auto"/>
          <w:sz w:val="24"/>
          <w:szCs w:val="32"/>
          <w:lang w:val="en-US" w:eastAsia="zh-CN"/>
        </w:rPr>
        <w:t>具体监测点位如下</w:t>
      </w:r>
      <w:r>
        <w:rPr>
          <w:color w:val="auto"/>
          <w:sz w:val="24"/>
          <w:szCs w:val="32"/>
        </w:rPr>
        <w:t>。</w:t>
      </w:r>
    </w:p>
    <w:p w14:paraId="46009D4D">
      <w:pPr>
        <w:spacing w:line="360" w:lineRule="auto"/>
        <w:ind w:firstLine="480" w:firstLineChars="200"/>
        <w:rPr>
          <w:rFonts w:hint="default" w:eastAsia="宋体"/>
          <w:color w:val="auto"/>
          <w:sz w:val="24"/>
          <w:szCs w:val="32"/>
          <w:lang w:val="en-US" w:eastAsia="zh-CN"/>
        </w:rPr>
      </w:pPr>
      <w:bookmarkStart w:id="333" w:name="_Toc28783"/>
      <w:bookmarkStart w:id="334" w:name="_Toc5292"/>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color w:val="auto"/>
          <w:sz w:val="24"/>
          <w:szCs w:val="32"/>
        </w:rPr>
        <w:t>监测</w:t>
      </w:r>
      <w:bookmarkEnd w:id="333"/>
      <w:bookmarkEnd w:id="334"/>
      <w:r>
        <w:rPr>
          <w:rFonts w:hint="eastAsia"/>
          <w:color w:val="auto"/>
          <w:sz w:val="24"/>
          <w:szCs w:val="32"/>
          <w:lang w:val="en-US" w:eastAsia="zh-CN"/>
        </w:rPr>
        <w:t>点位布设</w:t>
      </w:r>
    </w:p>
    <w:p w14:paraId="209F68D8">
      <w:pPr>
        <w:spacing w:line="360" w:lineRule="auto"/>
        <w:ind w:firstLine="480" w:firstLineChars="200"/>
        <w:rPr>
          <w:color w:val="auto"/>
          <w:sz w:val="24"/>
          <w:szCs w:val="32"/>
        </w:rPr>
      </w:pPr>
      <w:r>
        <w:rPr>
          <w:color w:val="auto"/>
          <w:sz w:val="24"/>
          <w:szCs w:val="32"/>
        </w:rPr>
        <w:t>监测点位分布见下表。</w:t>
      </w:r>
    </w:p>
    <w:p w14:paraId="649F181C">
      <w:pPr>
        <w:jc w:val="center"/>
        <w:rPr>
          <w:b/>
          <w:bCs/>
          <w:color w:val="auto"/>
          <w:sz w:val="24"/>
          <w:szCs w:val="32"/>
        </w:rPr>
      </w:pPr>
    </w:p>
    <w:p w14:paraId="1E85E017">
      <w:pPr>
        <w:spacing w:line="360" w:lineRule="auto"/>
        <w:jc w:val="center"/>
        <w:rPr>
          <w:b/>
          <w:bCs/>
          <w:color w:val="auto"/>
          <w:sz w:val="24"/>
          <w:szCs w:val="32"/>
        </w:rPr>
      </w:pPr>
      <w:r>
        <w:rPr>
          <w:b/>
          <w:bCs/>
          <w:color w:val="auto"/>
          <w:sz w:val="24"/>
          <w:szCs w:val="32"/>
        </w:rPr>
        <w:t>表4-</w:t>
      </w:r>
      <w:r>
        <w:rPr>
          <w:rFonts w:hint="eastAsia"/>
          <w:b/>
          <w:bCs/>
          <w:color w:val="auto"/>
          <w:sz w:val="24"/>
          <w:szCs w:val="32"/>
          <w:lang w:val="en-US" w:eastAsia="zh-CN"/>
        </w:rPr>
        <w:t>8</w:t>
      </w:r>
      <w:r>
        <w:rPr>
          <w:b/>
          <w:bCs/>
          <w:color w:val="auto"/>
          <w:sz w:val="24"/>
          <w:szCs w:val="32"/>
        </w:rPr>
        <w:t xml:space="preserve"> 地下水监测点位表</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558"/>
        <w:gridCol w:w="779"/>
        <w:gridCol w:w="2695"/>
        <w:gridCol w:w="2151"/>
        <w:gridCol w:w="2153"/>
        <w:gridCol w:w="1618"/>
      </w:tblGrid>
      <w:tr w14:paraId="7B09ABC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10F29FFC">
            <w:pPr>
              <w:jc w:val="center"/>
              <w:rPr>
                <w:b/>
                <w:bCs/>
                <w:color w:val="auto"/>
              </w:rPr>
            </w:pPr>
            <w:r>
              <w:rPr>
                <w:b/>
                <w:bCs/>
                <w:color w:val="auto"/>
              </w:rPr>
              <w:t>序号</w:t>
            </w:r>
          </w:p>
        </w:tc>
        <w:tc>
          <w:tcPr>
            <w:tcW w:w="391" w:type="pct"/>
            <w:tcBorders>
              <w:tl2br w:val="nil"/>
              <w:tr2bl w:val="nil"/>
            </w:tcBorders>
            <w:vAlign w:val="center"/>
          </w:tcPr>
          <w:p w14:paraId="46F040EA">
            <w:pPr>
              <w:jc w:val="center"/>
              <w:rPr>
                <w:b/>
                <w:bCs/>
                <w:color w:val="auto"/>
              </w:rPr>
            </w:pPr>
            <w:r>
              <w:rPr>
                <w:b/>
                <w:bCs/>
                <w:color w:val="auto"/>
              </w:rPr>
              <w:t>采样点位</w:t>
            </w:r>
          </w:p>
        </w:tc>
        <w:tc>
          <w:tcPr>
            <w:tcW w:w="1353" w:type="pct"/>
            <w:tcBorders>
              <w:tl2br w:val="nil"/>
              <w:tr2bl w:val="nil"/>
            </w:tcBorders>
            <w:vAlign w:val="center"/>
          </w:tcPr>
          <w:p w14:paraId="09F73DF5">
            <w:pPr>
              <w:jc w:val="center"/>
              <w:rPr>
                <w:b/>
                <w:bCs/>
                <w:color w:val="auto"/>
              </w:rPr>
            </w:pPr>
            <w:r>
              <w:rPr>
                <w:b/>
                <w:bCs/>
                <w:color w:val="auto"/>
              </w:rPr>
              <w:t>点位名称</w:t>
            </w:r>
          </w:p>
        </w:tc>
        <w:tc>
          <w:tcPr>
            <w:tcW w:w="1080" w:type="pct"/>
            <w:tcBorders>
              <w:tl2br w:val="nil"/>
              <w:tr2bl w:val="nil"/>
            </w:tcBorders>
            <w:vAlign w:val="center"/>
          </w:tcPr>
          <w:p w14:paraId="6D109786">
            <w:pPr>
              <w:spacing w:line="240" w:lineRule="auto"/>
              <w:ind w:firstLine="0" w:firstLineChars="0"/>
              <w:jc w:val="center"/>
              <w:rPr>
                <w:b/>
                <w:bCs/>
                <w:color w:val="auto"/>
              </w:rPr>
            </w:pPr>
            <w:r>
              <w:rPr>
                <w:rFonts w:hint="default" w:ascii="Times New Roman" w:hAnsi="Times New Roman" w:eastAsia="宋体" w:cs="Times New Roman"/>
                <w:b/>
                <w:bCs/>
                <w:color w:val="auto"/>
                <w:sz w:val="21"/>
                <w:szCs w:val="21"/>
              </w:rPr>
              <w:t>监测点与本项目位置关系</w:t>
            </w:r>
          </w:p>
        </w:tc>
        <w:tc>
          <w:tcPr>
            <w:tcW w:w="1081" w:type="pct"/>
            <w:tcBorders>
              <w:tl2br w:val="nil"/>
              <w:tr2bl w:val="nil"/>
            </w:tcBorders>
            <w:vAlign w:val="center"/>
          </w:tcPr>
          <w:p w14:paraId="6BF5049A">
            <w:pPr>
              <w:spacing w:line="240" w:lineRule="auto"/>
              <w:ind w:firstLine="0" w:firstLineChars="0"/>
              <w:jc w:val="center"/>
              <w:rPr>
                <w:b/>
                <w:bCs/>
                <w:color w:val="auto"/>
              </w:rPr>
            </w:pPr>
            <w:r>
              <w:rPr>
                <w:rFonts w:hint="default" w:ascii="Times New Roman" w:hAnsi="Times New Roman" w:eastAsia="宋体" w:cs="Times New Roman"/>
                <w:b/>
                <w:bCs/>
                <w:color w:val="auto"/>
                <w:sz w:val="21"/>
                <w:szCs w:val="21"/>
              </w:rPr>
              <w:t>监测点与本项目位置距离/m</w:t>
            </w:r>
          </w:p>
        </w:tc>
        <w:tc>
          <w:tcPr>
            <w:tcW w:w="812" w:type="pct"/>
            <w:tcBorders>
              <w:tl2br w:val="nil"/>
              <w:tr2bl w:val="nil"/>
            </w:tcBorders>
            <w:vAlign w:val="center"/>
          </w:tcPr>
          <w:p w14:paraId="1C81B6A5">
            <w:pPr>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备注</w:t>
            </w:r>
          </w:p>
        </w:tc>
      </w:tr>
      <w:tr w14:paraId="34376BD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67597D8B">
            <w:pPr>
              <w:jc w:val="center"/>
              <w:rPr>
                <w:color w:val="auto"/>
              </w:rPr>
            </w:pPr>
            <w:r>
              <w:rPr>
                <w:color w:val="auto"/>
              </w:rPr>
              <w:t>1</w:t>
            </w:r>
          </w:p>
        </w:tc>
        <w:tc>
          <w:tcPr>
            <w:tcW w:w="391" w:type="pct"/>
            <w:tcBorders>
              <w:tl2br w:val="nil"/>
              <w:tr2bl w:val="nil"/>
            </w:tcBorders>
            <w:vAlign w:val="center"/>
          </w:tcPr>
          <w:p w14:paraId="6F321FF3">
            <w:pPr>
              <w:jc w:val="center"/>
              <w:rPr>
                <w:color w:val="auto"/>
              </w:rPr>
            </w:pPr>
            <w:r>
              <w:rPr>
                <w:rFonts w:hint="eastAsia"/>
                <w:color w:val="auto"/>
              </w:rPr>
              <w:t>D1</w:t>
            </w:r>
          </w:p>
        </w:tc>
        <w:tc>
          <w:tcPr>
            <w:tcW w:w="1353" w:type="pct"/>
            <w:tcBorders>
              <w:tl2br w:val="nil"/>
              <w:tr2bl w:val="nil"/>
            </w:tcBorders>
            <w:vAlign w:val="center"/>
          </w:tcPr>
          <w:p w14:paraId="7100A10A">
            <w:pPr>
              <w:jc w:val="center"/>
              <w:rPr>
                <w:rFonts w:hint="eastAsia" w:eastAsia="宋体"/>
                <w:color w:val="auto"/>
                <w:lang w:eastAsia="zh-CN"/>
              </w:rPr>
            </w:pPr>
            <w:r>
              <w:rPr>
                <w:rFonts w:hint="eastAsia"/>
                <w:color w:val="auto"/>
                <w:lang w:val="en-US" w:eastAsia="zh-CN"/>
              </w:rPr>
              <w:t>黄大庄</w:t>
            </w:r>
          </w:p>
        </w:tc>
        <w:tc>
          <w:tcPr>
            <w:tcW w:w="1080" w:type="pct"/>
            <w:tcBorders>
              <w:tl2br w:val="nil"/>
              <w:tr2bl w:val="nil"/>
            </w:tcBorders>
            <w:vAlign w:val="center"/>
          </w:tcPr>
          <w:p w14:paraId="402EEEE6">
            <w:pPr>
              <w:bidi w:val="0"/>
              <w:snapToGrid w:val="0"/>
              <w:spacing w:line="240" w:lineRule="auto"/>
              <w:ind w:left="0" w:leftChars="0" w:right="0" w:rightChars="0" w:firstLine="0" w:firstLineChars="0"/>
              <w:jc w:val="center"/>
              <w:rPr>
                <w:rFonts w:hint="default" w:eastAsia="宋体"/>
                <w:color w:val="auto"/>
                <w:lang w:val="en-US" w:eastAsia="zh-CN"/>
              </w:rPr>
            </w:pPr>
            <w:r>
              <w:rPr>
                <w:rFonts w:hint="eastAsia" w:cs="Times New Roman"/>
                <w:color w:val="auto"/>
                <w:sz w:val="21"/>
                <w:szCs w:val="21"/>
                <w:lang w:val="en-US" w:eastAsia="zh-CN"/>
              </w:rPr>
              <w:t>SW</w:t>
            </w:r>
          </w:p>
        </w:tc>
        <w:tc>
          <w:tcPr>
            <w:tcW w:w="1081" w:type="pct"/>
            <w:tcBorders>
              <w:tl2br w:val="nil"/>
              <w:tr2bl w:val="nil"/>
            </w:tcBorders>
            <w:vAlign w:val="center"/>
          </w:tcPr>
          <w:p w14:paraId="3C6E154E">
            <w:pPr>
              <w:bidi w:val="0"/>
              <w:snapToGrid w:val="0"/>
              <w:spacing w:line="240" w:lineRule="auto"/>
              <w:ind w:left="0" w:leftChars="0" w:right="0" w:rightChars="0" w:firstLine="0" w:firstLineChars="0"/>
              <w:jc w:val="center"/>
              <w:rPr>
                <w:rFonts w:hint="eastAsia"/>
                <w:color w:val="auto"/>
              </w:rPr>
            </w:pPr>
            <w:r>
              <w:rPr>
                <w:rFonts w:hint="eastAsia" w:cs="Times New Roman"/>
                <w:color w:val="auto"/>
                <w:sz w:val="21"/>
                <w:szCs w:val="21"/>
                <w:lang w:val="en-US" w:eastAsia="zh-CN"/>
              </w:rPr>
              <w:t>2209</w:t>
            </w:r>
          </w:p>
        </w:tc>
        <w:tc>
          <w:tcPr>
            <w:tcW w:w="812" w:type="pct"/>
            <w:tcBorders>
              <w:tl2br w:val="nil"/>
              <w:tr2bl w:val="nil"/>
            </w:tcBorders>
            <w:vAlign w:val="center"/>
          </w:tcPr>
          <w:p w14:paraId="3B00BC76">
            <w:pPr>
              <w:jc w:val="center"/>
              <w:rPr>
                <w:rFonts w:hint="eastAsia"/>
                <w:color w:val="auto"/>
              </w:rPr>
            </w:pPr>
            <w:r>
              <w:rPr>
                <w:rFonts w:hint="eastAsia"/>
                <w:color w:val="auto"/>
                <w:lang w:val="en-US" w:eastAsia="zh-CN"/>
              </w:rPr>
              <w:t>项目厂址两侧</w:t>
            </w:r>
          </w:p>
        </w:tc>
      </w:tr>
      <w:tr w14:paraId="0C67F04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1DE6FF1B">
            <w:pPr>
              <w:jc w:val="center"/>
              <w:rPr>
                <w:color w:val="auto"/>
              </w:rPr>
            </w:pPr>
            <w:r>
              <w:rPr>
                <w:color w:val="auto"/>
              </w:rPr>
              <w:t>2</w:t>
            </w:r>
          </w:p>
        </w:tc>
        <w:tc>
          <w:tcPr>
            <w:tcW w:w="391" w:type="pct"/>
            <w:tcBorders>
              <w:tl2br w:val="nil"/>
              <w:tr2bl w:val="nil"/>
            </w:tcBorders>
            <w:vAlign w:val="center"/>
          </w:tcPr>
          <w:p w14:paraId="41D57FF5">
            <w:pPr>
              <w:jc w:val="center"/>
              <w:rPr>
                <w:rFonts w:hint="eastAsia" w:eastAsia="宋体"/>
                <w:color w:val="auto"/>
                <w:lang w:val="en-US" w:eastAsia="zh-CN"/>
              </w:rPr>
            </w:pPr>
            <w:r>
              <w:rPr>
                <w:color w:val="auto"/>
              </w:rPr>
              <w:t>D</w:t>
            </w:r>
            <w:r>
              <w:rPr>
                <w:rFonts w:hint="eastAsia"/>
                <w:color w:val="auto"/>
                <w:lang w:val="en-US" w:eastAsia="zh-CN"/>
              </w:rPr>
              <w:t>2</w:t>
            </w:r>
          </w:p>
        </w:tc>
        <w:tc>
          <w:tcPr>
            <w:tcW w:w="1353" w:type="pct"/>
            <w:tcBorders>
              <w:tl2br w:val="nil"/>
              <w:tr2bl w:val="nil"/>
            </w:tcBorders>
            <w:vAlign w:val="center"/>
          </w:tcPr>
          <w:p w14:paraId="369AA8FB">
            <w:pPr>
              <w:jc w:val="center"/>
              <w:rPr>
                <w:color w:val="auto"/>
              </w:rPr>
            </w:pPr>
            <w:r>
              <w:rPr>
                <w:rFonts w:hint="eastAsia"/>
                <w:color w:val="auto"/>
                <w:lang w:val="en-US" w:eastAsia="zh-CN"/>
              </w:rPr>
              <w:t>龙华学校</w:t>
            </w:r>
          </w:p>
        </w:tc>
        <w:tc>
          <w:tcPr>
            <w:tcW w:w="1080" w:type="pct"/>
            <w:tcBorders>
              <w:tl2br w:val="nil"/>
              <w:tr2bl w:val="nil"/>
            </w:tcBorders>
            <w:vAlign w:val="center"/>
          </w:tcPr>
          <w:p w14:paraId="665169E4">
            <w:pPr>
              <w:bidi w:val="0"/>
              <w:snapToGrid w:val="0"/>
              <w:spacing w:line="240" w:lineRule="auto"/>
              <w:ind w:left="0" w:leftChars="0" w:right="0" w:rightChars="0" w:firstLine="0" w:firstLineChars="0"/>
              <w:jc w:val="center"/>
              <w:rPr>
                <w:color w:val="auto"/>
              </w:rPr>
            </w:pPr>
            <w:r>
              <w:rPr>
                <w:rFonts w:hint="eastAsia" w:cs="Times New Roman"/>
                <w:color w:val="auto"/>
                <w:sz w:val="21"/>
                <w:szCs w:val="21"/>
                <w:lang w:val="en-US" w:eastAsia="zh-CN"/>
              </w:rPr>
              <w:t>NE</w:t>
            </w:r>
          </w:p>
        </w:tc>
        <w:tc>
          <w:tcPr>
            <w:tcW w:w="1081" w:type="pct"/>
            <w:tcBorders>
              <w:tl2br w:val="nil"/>
              <w:tr2bl w:val="nil"/>
            </w:tcBorders>
            <w:vAlign w:val="center"/>
          </w:tcPr>
          <w:p w14:paraId="00BA21B6">
            <w:pPr>
              <w:bidi w:val="0"/>
              <w:snapToGrid w:val="0"/>
              <w:spacing w:line="240" w:lineRule="auto"/>
              <w:ind w:left="0" w:leftChars="0" w:right="0" w:rightChars="0" w:firstLine="0" w:firstLineChars="0"/>
              <w:jc w:val="center"/>
              <w:rPr>
                <w:rFonts w:hint="eastAsia"/>
                <w:color w:val="auto"/>
              </w:rPr>
            </w:pPr>
            <w:r>
              <w:rPr>
                <w:rFonts w:hint="eastAsia" w:cs="Times New Roman"/>
                <w:color w:val="auto"/>
                <w:sz w:val="21"/>
                <w:szCs w:val="21"/>
                <w:lang w:val="en-US" w:eastAsia="zh-CN"/>
              </w:rPr>
              <w:t>2028</w:t>
            </w:r>
          </w:p>
        </w:tc>
        <w:tc>
          <w:tcPr>
            <w:tcW w:w="812" w:type="pct"/>
            <w:tcBorders>
              <w:tl2br w:val="nil"/>
              <w:tr2bl w:val="nil"/>
            </w:tcBorders>
            <w:vAlign w:val="center"/>
          </w:tcPr>
          <w:p w14:paraId="7116E9C1">
            <w:pPr>
              <w:jc w:val="center"/>
              <w:rPr>
                <w:rFonts w:hint="eastAsia"/>
                <w:color w:val="auto"/>
              </w:rPr>
            </w:pPr>
            <w:r>
              <w:rPr>
                <w:rFonts w:hint="eastAsia"/>
                <w:color w:val="auto"/>
                <w:lang w:val="en-US" w:eastAsia="zh-CN"/>
              </w:rPr>
              <w:t>项目厂址两侧</w:t>
            </w:r>
          </w:p>
        </w:tc>
      </w:tr>
      <w:tr w14:paraId="6BD74FD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4082116B">
            <w:pPr>
              <w:jc w:val="center"/>
              <w:rPr>
                <w:color w:val="auto"/>
              </w:rPr>
            </w:pPr>
            <w:r>
              <w:rPr>
                <w:color w:val="auto"/>
              </w:rPr>
              <w:t>3</w:t>
            </w:r>
          </w:p>
        </w:tc>
        <w:tc>
          <w:tcPr>
            <w:tcW w:w="391" w:type="pct"/>
            <w:tcBorders>
              <w:tl2br w:val="nil"/>
              <w:tr2bl w:val="nil"/>
            </w:tcBorders>
            <w:vAlign w:val="center"/>
          </w:tcPr>
          <w:p w14:paraId="58E30D89">
            <w:pPr>
              <w:jc w:val="center"/>
              <w:rPr>
                <w:rFonts w:hint="default" w:eastAsia="宋体"/>
                <w:color w:val="auto"/>
                <w:lang w:val="en-US" w:eastAsia="zh-CN"/>
              </w:rPr>
            </w:pPr>
            <w:r>
              <w:rPr>
                <w:rFonts w:hint="eastAsia"/>
                <w:color w:val="auto"/>
                <w:lang w:val="en-US" w:eastAsia="zh-CN"/>
              </w:rPr>
              <w:t>D3</w:t>
            </w:r>
          </w:p>
        </w:tc>
        <w:tc>
          <w:tcPr>
            <w:tcW w:w="1353" w:type="pct"/>
            <w:tcBorders>
              <w:tl2br w:val="nil"/>
              <w:tr2bl w:val="nil"/>
            </w:tcBorders>
            <w:vAlign w:val="center"/>
          </w:tcPr>
          <w:p w14:paraId="198B2E8B">
            <w:pPr>
              <w:jc w:val="center"/>
              <w:rPr>
                <w:color w:val="auto"/>
              </w:rPr>
            </w:pPr>
            <w:r>
              <w:rPr>
                <w:rFonts w:hint="eastAsia"/>
                <w:color w:val="auto"/>
                <w:lang w:val="en-US" w:eastAsia="zh-CN"/>
              </w:rPr>
              <w:t>区内香樟路空地</w:t>
            </w:r>
          </w:p>
        </w:tc>
        <w:tc>
          <w:tcPr>
            <w:tcW w:w="1080" w:type="pct"/>
            <w:tcBorders>
              <w:tl2br w:val="nil"/>
              <w:tr2bl w:val="nil"/>
            </w:tcBorders>
            <w:vAlign w:val="center"/>
          </w:tcPr>
          <w:p w14:paraId="0B8541F2">
            <w:pPr>
              <w:jc w:val="center"/>
              <w:rPr>
                <w:rFonts w:hint="default" w:eastAsia="宋体"/>
                <w:color w:val="auto"/>
                <w:lang w:val="en-US" w:eastAsia="zh-CN"/>
              </w:rPr>
            </w:pPr>
            <w:r>
              <w:rPr>
                <w:rFonts w:hint="eastAsia"/>
                <w:color w:val="auto"/>
                <w:lang w:val="en-US" w:eastAsia="zh-CN"/>
              </w:rPr>
              <w:t>SE</w:t>
            </w:r>
          </w:p>
        </w:tc>
        <w:tc>
          <w:tcPr>
            <w:tcW w:w="1081" w:type="pct"/>
            <w:tcBorders>
              <w:tl2br w:val="nil"/>
              <w:tr2bl w:val="nil"/>
            </w:tcBorders>
            <w:vAlign w:val="center"/>
          </w:tcPr>
          <w:p w14:paraId="1E7E3E33">
            <w:pPr>
              <w:jc w:val="center"/>
              <w:rPr>
                <w:rFonts w:hint="default" w:eastAsia="宋体"/>
                <w:color w:val="auto"/>
                <w:lang w:val="en-US" w:eastAsia="zh-CN"/>
              </w:rPr>
            </w:pPr>
            <w:r>
              <w:rPr>
                <w:rFonts w:hint="eastAsia"/>
                <w:color w:val="auto"/>
                <w:lang w:val="en-US" w:eastAsia="zh-CN"/>
              </w:rPr>
              <w:t>2067</w:t>
            </w:r>
          </w:p>
        </w:tc>
        <w:tc>
          <w:tcPr>
            <w:tcW w:w="812" w:type="pct"/>
            <w:tcBorders>
              <w:tl2br w:val="nil"/>
              <w:tr2bl w:val="nil"/>
            </w:tcBorders>
            <w:vAlign w:val="center"/>
          </w:tcPr>
          <w:p w14:paraId="70DD1DCB">
            <w:pPr>
              <w:jc w:val="center"/>
              <w:rPr>
                <w:rFonts w:hint="eastAsia"/>
                <w:color w:val="auto"/>
              </w:rPr>
            </w:pPr>
            <w:r>
              <w:rPr>
                <w:rFonts w:hint="eastAsia"/>
                <w:color w:val="auto"/>
                <w:lang w:val="en-US" w:eastAsia="zh-CN"/>
              </w:rPr>
              <w:t>项目厂址下游</w:t>
            </w:r>
          </w:p>
        </w:tc>
      </w:tr>
    </w:tbl>
    <w:p w14:paraId="2E1B627E">
      <w:pPr>
        <w:spacing w:line="360" w:lineRule="auto"/>
        <w:jc w:val="center"/>
        <w:rPr>
          <w:rFonts w:hint="eastAsia" w:ascii="Times New Roman" w:hAnsi="Times New Roman" w:cs="Times New Roman"/>
          <w:b/>
          <w:bCs/>
          <w:color w:val="auto"/>
          <w:sz w:val="24"/>
          <w:szCs w:val="32"/>
          <w:lang w:val="en-US" w:eastAsia="zh-CN"/>
        </w:rPr>
      </w:pPr>
      <w:r>
        <w:rPr>
          <w:color w:val="auto"/>
          <w:sz w:val="21"/>
        </w:rPr>
        <mc:AlternateContent>
          <mc:Choice Requires="wps">
            <w:drawing>
              <wp:anchor distT="0" distB="0" distL="114300" distR="114300" simplePos="0" relativeHeight="251805696" behindDoc="0" locked="0" layoutInCell="1" allowOverlap="1">
                <wp:simplePos x="0" y="0"/>
                <wp:positionH relativeFrom="column">
                  <wp:posOffset>280670</wp:posOffset>
                </wp:positionH>
                <wp:positionV relativeFrom="paragraph">
                  <wp:posOffset>4570095</wp:posOffset>
                </wp:positionV>
                <wp:extent cx="158750" cy="139700"/>
                <wp:effectExtent l="4445" t="4445" r="8255" b="8255"/>
                <wp:wrapNone/>
                <wp:docPr id="54" name="等腰三角形 54"/>
                <wp:cNvGraphicFramePr/>
                <a:graphic xmlns:a="http://schemas.openxmlformats.org/drawingml/2006/main">
                  <a:graphicData uri="http://schemas.microsoft.com/office/word/2010/wordprocessingShape">
                    <wps:wsp>
                      <wps:cNvSpPr/>
                      <wps:spPr>
                        <a:xfrm>
                          <a:off x="0" y="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2.1pt;margin-top:359.85pt;height:11pt;width:12.5pt;z-index:251805696;v-text-anchor:middle;mso-width-relative:page;mso-height-relative:page;" fillcolor="#FFFF00" filled="t" stroked="t" coordsize="21600,21600" o:gfxdata="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InubC2gAAAAkB&#10;AAAPAAAAAAAAAAEAIAAAACIAAABkcnMvZG93bnJldi54bWxQSwECFAAUAAAACACHTuJAbwe81osC&#10;AAAMBQAADgAAAAAAAAABACAAAAApAQAAZHJzL2Uyb0RvYy54bWxQSwUGAAAAAAYABgBZAQAAJgYA&#10;AAAA&#10;" adj="1080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804672" behindDoc="0" locked="0" layoutInCell="1" allowOverlap="1">
                <wp:simplePos x="0" y="0"/>
                <wp:positionH relativeFrom="column">
                  <wp:posOffset>224155</wp:posOffset>
                </wp:positionH>
                <wp:positionV relativeFrom="paragraph">
                  <wp:posOffset>4837430</wp:posOffset>
                </wp:positionV>
                <wp:extent cx="213995" cy="125095"/>
                <wp:effectExtent l="5080" t="5080" r="9525" b="22225"/>
                <wp:wrapNone/>
                <wp:docPr id="50" name="矩形 50"/>
                <wp:cNvGraphicFramePr/>
                <a:graphic xmlns:a="http://schemas.openxmlformats.org/drawingml/2006/main">
                  <a:graphicData uri="http://schemas.microsoft.com/office/word/2010/wordprocessingShape">
                    <wps:wsp>
                      <wps:cNvSpPr/>
                      <wps:spPr>
                        <a:xfrm>
                          <a:off x="909955" y="5751830"/>
                          <a:ext cx="213995" cy="125095"/>
                        </a:xfrm>
                        <a:prstGeom prst="rect">
                          <a:avLst/>
                        </a:prstGeom>
                        <a:noFill/>
                        <a:ln w="952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65pt;margin-top:380.9pt;height:9.85pt;width:16.85pt;z-index:251804672;v-text-anchor:middle;mso-width-relative:page;mso-height-relative:page;" filled="f" stroked="t" coordsize="21600,21600" o:gfxdata="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G1gENgAAAAJAQAADwAAAAAAAAABACAAAAAiAAAAZHJzL2Rvd25yZXYueG1sUEsB&#10;AhQAFAAAAAgAh07iQG4e5zlnAgAAvwQAAA4AAAAAAAAAAQAgAAAAJwEAAGRycy9lMm9Eb2MueG1s&#10;UEsFBgAAAAAGAAYAWQEAAAAGAAAAAA==&#10;">
                <v:fill on="f" focussize="0,0"/>
                <v:stroke color="#FF0000 [2404]" joinstyle="round"/>
                <v:imagedata o:title=""/>
                <o:lock v:ext="edit" aspectratio="f"/>
              </v:rect>
            </w:pict>
          </mc:Fallback>
        </mc:AlternateContent>
      </w:r>
      <w:r>
        <w:rPr>
          <w:color w:val="auto"/>
          <w:sz w:val="21"/>
        </w:rPr>
        <mc:AlternateContent>
          <mc:Choice Requires="wps">
            <w:drawing>
              <wp:anchor distT="0" distB="0" distL="114300" distR="114300" simplePos="0" relativeHeight="251803648" behindDoc="0" locked="0" layoutInCell="1" allowOverlap="1">
                <wp:simplePos x="0" y="0"/>
                <wp:positionH relativeFrom="column">
                  <wp:posOffset>69215</wp:posOffset>
                </wp:positionH>
                <wp:positionV relativeFrom="paragraph">
                  <wp:posOffset>4248150</wp:posOffset>
                </wp:positionV>
                <wp:extent cx="1143000" cy="904875"/>
                <wp:effectExtent l="4445" t="4445" r="14605" b="5080"/>
                <wp:wrapNone/>
                <wp:docPr id="48" name="文本框 48"/>
                <wp:cNvGraphicFramePr/>
                <a:graphic xmlns:a="http://schemas.openxmlformats.org/drawingml/2006/main">
                  <a:graphicData uri="http://schemas.microsoft.com/office/word/2010/wordprocessingShape">
                    <wps:wsp>
                      <wps:cNvSpPr txBox="1"/>
                      <wps:spPr>
                        <a:xfrm>
                          <a:off x="755015" y="5162550"/>
                          <a:ext cx="1143000" cy="9048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B439971">
                            <w:pPr>
                              <w:spacing w:line="360" w:lineRule="auto"/>
                              <w:jc w:val="center"/>
                              <w:rPr>
                                <w:rFonts w:hint="eastAsia"/>
                                <w:b/>
                                <w:bCs/>
                                <w:lang w:val="en-US" w:eastAsia="zh-CN"/>
                              </w:rPr>
                            </w:pPr>
                            <w:r>
                              <w:rPr>
                                <w:rFonts w:hint="eastAsia"/>
                                <w:b/>
                                <w:bCs/>
                                <w:lang w:val="en-US" w:eastAsia="zh-CN"/>
                              </w:rPr>
                              <w:t>图例</w:t>
                            </w:r>
                          </w:p>
                          <w:p w14:paraId="77A34859">
                            <w:pPr>
                              <w:spacing w:line="360" w:lineRule="auto"/>
                              <w:jc w:val="right"/>
                              <w:rPr>
                                <w:rFonts w:hint="eastAsia"/>
                                <w:lang w:val="en-US" w:eastAsia="zh-CN"/>
                              </w:rPr>
                            </w:pPr>
                            <w:r>
                              <w:rPr>
                                <w:rFonts w:hint="eastAsia"/>
                                <w:lang w:val="en-US" w:eastAsia="zh-CN"/>
                              </w:rPr>
                              <w:t>监测点位</w:t>
                            </w:r>
                          </w:p>
                          <w:p w14:paraId="0FD30A1F">
                            <w:pPr>
                              <w:spacing w:line="360" w:lineRule="auto"/>
                              <w:jc w:val="right"/>
                              <w:rPr>
                                <w:rFonts w:hint="default"/>
                                <w:lang w:val="en-US" w:eastAsia="zh-CN"/>
                              </w:rPr>
                            </w:pPr>
                            <w:r>
                              <w:rPr>
                                <w:rFonts w:hint="eastAsia"/>
                                <w:lang w:val="en-US" w:eastAsia="zh-CN"/>
                              </w:rPr>
                              <w:t>项目厂址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5pt;margin-top:334.5pt;height:71.25pt;width:90pt;z-index:251803648;mso-width-relative:page;mso-height-relative:page;" fillcolor="#FFFFFF [3201]" filled="t" stroked="t" coordsize="21600,21600" o:gfxdata="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FqhMH1QAAAAoBAAAPAAAAAAAAAAEAIAAAACIAAABkcnMvZG93bnJldi54bWxQSwECFAAUAAAA&#10;CACHTuJAqIjgF2MCAADEBAAADgAAAAAAAAABACAAAAAkAQAAZHJzL2Uyb0RvYy54bWxQSwUGAAAA&#10;AAYABgBZAQAA+QUAAAAA&#10;">
                <v:fill on="t" focussize="0,0"/>
                <v:stroke weight="0.5pt" color="#000000 [3204]" joinstyle="round"/>
                <v:imagedata o:title=""/>
                <o:lock v:ext="edit" aspectratio="f"/>
                <v:textbox>
                  <w:txbxContent>
                    <w:p w14:paraId="5B439971">
                      <w:pPr>
                        <w:spacing w:line="360" w:lineRule="auto"/>
                        <w:jc w:val="center"/>
                        <w:rPr>
                          <w:rFonts w:hint="eastAsia"/>
                          <w:b/>
                          <w:bCs/>
                          <w:lang w:val="en-US" w:eastAsia="zh-CN"/>
                        </w:rPr>
                      </w:pPr>
                      <w:r>
                        <w:rPr>
                          <w:rFonts w:hint="eastAsia"/>
                          <w:b/>
                          <w:bCs/>
                          <w:lang w:val="en-US" w:eastAsia="zh-CN"/>
                        </w:rPr>
                        <w:t>图例</w:t>
                      </w:r>
                    </w:p>
                    <w:p w14:paraId="77A34859">
                      <w:pPr>
                        <w:spacing w:line="360" w:lineRule="auto"/>
                        <w:jc w:val="right"/>
                        <w:rPr>
                          <w:rFonts w:hint="eastAsia"/>
                          <w:lang w:val="en-US" w:eastAsia="zh-CN"/>
                        </w:rPr>
                      </w:pPr>
                      <w:r>
                        <w:rPr>
                          <w:rFonts w:hint="eastAsia"/>
                          <w:lang w:val="en-US" w:eastAsia="zh-CN"/>
                        </w:rPr>
                        <w:t>监测点位</w:t>
                      </w:r>
                    </w:p>
                    <w:p w14:paraId="0FD30A1F">
                      <w:pPr>
                        <w:spacing w:line="360" w:lineRule="auto"/>
                        <w:jc w:val="right"/>
                        <w:rPr>
                          <w:rFonts w:hint="default"/>
                          <w:lang w:val="en-US" w:eastAsia="zh-CN"/>
                        </w:rPr>
                      </w:pPr>
                      <w:r>
                        <w:rPr>
                          <w:rFonts w:hint="eastAsia"/>
                          <w:lang w:val="en-US" w:eastAsia="zh-CN"/>
                        </w:rPr>
                        <w:t>项目厂址</w:t>
                      </w:r>
                    </w:p>
                  </w:txbxContent>
                </v:textbox>
              </v:shape>
            </w:pict>
          </mc:Fallback>
        </mc:AlternateContent>
      </w:r>
      <w:r>
        <w:rPr>
          <w:color w:val="auto"/>
          <w:sz w:val="21"/>
        </w:rPr>
        <mc:AlternateContent>
          <mc:Choice Requires="wps">
            <w:drawing>
              <wp:anchor distT="0" distB="0" distL="114300" distR="114300" simplePos="0" relativeHeight="251802624" behindDoc="0" locked="0" layoutInCell="1" allowOverlap="1">
                <wp:simplePos x="0" y="0"/>
                <wp:positionH relativeFrom="column">
                  <wp:posOffset>5269865</wp:posOffset>
                </wp:positionH>
                <wp:positionV relativeFrom="paragraph">
                  <wp:posOffset>1449070</wp:posOffset>
                </wp:positionV>
                <wp:extent cx="1095375" cy="2921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095375" cy="2921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BC5D9E">
                            <w:pPr>
                              <w:rPr>
                                <w:rFonts w:hint="default" w:eastAsia="宋体"/>
                                <w:b/>
                                <w:bCs/>
                                <w:color w:val="FFFF00"/>
                                <w:lang w:val="en-US" w:eastAsia="zh-CN"/>
                              </w:rPr>
                            </w:pPr>
                            <w:r>
                              <w:rPr>
                                <w:rFonts w:hint="eastAsia"/>
                                <w:b/>
                                <w:bCs/>
                                <w:color w:val="FFFF00"/>
                                <w:lang w:val="en-US" w:eastAsia="zh-CN"/>
                              </w:rPr>
                              <w:t>D2龙华学校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4.95pt;margin-top:114.1pt;height:23pt;width:86.25pt;z-index:251802624;mso-width-relative:page;mso-height-relative:page;" filled="f" stroked="f" coordsize="21600,21600" o:gfxdata="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k8UTHcAAAADAEAAA8AAAAAAAAAAQAgAAAAIgAA&#10;AGRycy9kb3ducmV2LnhtbFBLAQIUABQAAAAIAIdO4kDvjOPLPQIAAGgEAAAOAAAAAAAAAAEAIAAA&#10;ACsBAABkcnMvZTJvRG9jLnhtbFBLBQYAAAAABgAGAFkBAADaBQAAAAA=&#10;">
                <v:fill on="f" focussize="0,0"/>
                <v:stroke on="f" weight="0.5pt"/>
                <v:imagedata o:title=""/>
                <o:lock v:ext="edit" aspectratio="f"/>
                <v:textbox>
                  <w:txbxContent>
                    <w:p w14:paraId="17BC5D9E">
                      <w:pPr>
                        <w:rPr>
                          <w:rFonts w:hint="default" w:eastAsia="宋体"/>
                          <w:b/>
                          <w:bCs/>
                          <w:color w:val="FFFF00"/>
                          <w:lang w:val="en-US" w:eastAsia="zh-CN"/>
                        </w:rPr>
                      </w:pPr>
                      <w:r>
                        <w:rPr>
                          <w:rFonts w:hint="eastAsia"/>
                          <w:b/>
                          <w:bCs/>
                          <w:color w:val="FFFF00"/>
                          <w:lang w:val="en-US" w:eastAsia="zh-CN"/>
                        </w:rPr>
                        <w:t>D2龙华学校</w:t>
                      </w:r>
                    </w:p>
                  </w:txbxContent>
                </v:textbox>
              </v:shape>
            </w:pict>
          </mc:Fallback>
        </mc:AlternateContent>
      </w:r>
      <w:r>
        <w:rPr>
          <w:color w:val="auto"/>
          <w:sz w:val="21"/>
        </w:rPr>
        <mc:AlternateContent>
          <mc:Choice Requires="wps">
            <w:drawing>
              <wp:anchor distT="0" distB="0" distL="114300" distR="114300" simplePos="0" relativeHeight="251801600" behindDoc="0" locked="0" layoutInCell="1" allowOverlap="1">
                <wp:simplePos x="0" y="0"/>
                <wp:positionH relativeFrom="column">
                  <wp:posOffset>4717415</wp:posOffset>
                </wp:positionH>
                <wp:positionV relativeFrom="paragraph">
                  <wp:posOffset>3145790</wp:posOffset>
                </wp:positionV>
                <wp:extent cx="1427480" cy="2921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427480" cy="2921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5F8521">
                            <w:pPr>
                              <w:rPr>
                                <w:rFonts w:hint="default" w:eastAsia="宋体"/>
                                <w:b/>
                                <w:bCs/>
                                <w:color w:val="FFFF00"/>
                                <w:lang w:val="en-US" w:eastAsia="zh-CN"/>
                              </w:rPr>
                            </w:pPr>
                            <w:r>
                              <w:rPr>
                                <w:rFonts w:hint="eastAsia"/>
                                <w:b/>
                                <w:bCs/>
                                <w:color w:val="FFFF00"/>
                                <w:lang w:val="en-US" w:eastAsia="zh-CN"/>
                              </w:rPr>
                              <w:t>D3区内香樟路空地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45pt;margin-top:247.7pt;height:23pt;width:112.4pt;z-index:251801600;mso-width-relative:page;mso-height-relative:page;" filled="f" stroked="f" coordsize="21600,21600" o:gfxdata="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JTEzdAAAACwEAAA8AAAAAAAAAAQAgAAAAIgAA&#10;AGRycy9kb3ducmV2LnhtbFBLAQIUABQAAAAIAIdO4kAcia/1PAIAAGgEAAAOAAAAAAAAAAEAIAAA&#10;ACwBAABkcnMvZTJvRG9jLnhtbFBLBQYAAAAABgAGAFkBAADaBQAAAAA=&#10;">
                <v:fill on="f" focussize="0,0"/>
                <v:stroke on="f" weight="0.5pt"/>
                <v:imagedata o:title=""/>
                <o:lock v:ext="edit" aspectratio="f"/>
                <v:textbox>
                  <w:txbxContent>
                    <w:p w14:paraId="4B5F8521">
                      <w:pPr>
                        <w:rPr>
                          <w:rFonts w:hint="default" w:eastAsia="宋体"/>
                          <w:b/>
                          <w:bCs/>
                          <w:color w:val="FFFF00"/>
                          <w:lang w:val="en-US" w:eastAsia="zh-CN"/>
                        </w:rPr>
                      </w:pPr>
                      <w:r>
                        <w:rPr>
                          <w:rFonts w:hint="eastAsia"/>
                          <w:b/>
                          <w:bCs/>
                          <w:color w:val="FFFF00"/>
                          <w:lang w:val="en-US" w:eastAsia="zh-CN"/>
                        </w:rPr>
                        <w:t>D3区内香樟路空地</w:t>
                      </w:r>
                    </w:p>
                  </w:txbxContent>
                </v:textbox>
              </v:shape>
            </w:pict>
          </mc:Fallback>
        </mc:AlternateContent>
      </w:r>
      <w:r>
        <w:rPr>
          <w:color w:val="auto"/>
          <w:sz w:val="21"/>
        </w:rPr>
        <mc:AlternateContent>
          <mc:Choice Requires="wps">
            <w:drawing>
              <wp:anchor distT="0" distB="0" distL="114300" distR="114300" simplePos="0" relativeHeight="251800576" behindDoc="0" locked="0" layoutInCell="1" allowOverlap="1">
                <wp:simplePos x="0" y="0"/>
                <wp:positionH relativeFrom="column">
                  <wp:posOffset>1795145</wp:posOffset>
                </wp:positionH>
                <wp:positionV relativeFrom="paragraph">
                  <wp:posOffset>4368800</wp:posOffset>
                </wp:positionV>
                <wp:extent cx="1095375" cy="292100"/>
                <wp:effectExtent l="0" t="0" r="9525" b="12700"/>
                <wp:wrapNone/>
                <wp:docPr id="43" name="文本框 43"/>
                <wp:cNvGraphicFramePr/>
                <a:graphic xmlns:a="http://schemas.openxmlformats.org/drawingml/2006/main">
                  <a:graphicData uri="http://schemas.microsoft.com/office/word/2010/wordprocessingShape">
                    <wps:wsp>
                      <wps:cNvSpPr txBox="1"/>
                      <wps:spPr>
                        <a:xfrm>
                          <a:off x="2588260" y="5330825"/>
                          <a:ext cx="1095375" cy="2921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5E372E">
                            <w:pPr>
                              <w:rPr>
                                <w:rFonts w:hint="default" w:eastAsia="宋体"/>
                                <w:b/>
                                <w:bCs/>
                                <w:color w:val="FFFF00"/>
                                <w:lang w:val="en-US" w:eastAsia="zh-CN"/>
                              </w:rPr>
                            </w:pPr>
                            <w:r>
                              <w:rPr>
                                <w:rFonts w:hint="eastAsia"/>
                                <w:b/>
                                <w:bCs/>
                                <w:color w:val="FFFF00"/>
                                <w:lang w:val="en-US" w:eastAsia="zh-CN"/>
                              </w:rPr>
                              <w:t>D1黄大庄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35pt;margin-top:344pt;height:23pt;width:86.25pt;z-index:251800576;mso-width-relative:page;mso-height-relative:page;" filled="f" stroked="f" coordsize="21600,21600" o:gfxdata="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dIgRRtwAAAALAQAADwAA&#10;AAAAAAABACAAAAAiAAAAZHJzL2Rvd25yZXYueG1sUEsBAhQAFAAAAAgAh07iQBtNARRLAgAAdAQA&#10;AA4AAAAAAAAAAQAgAAAAKwEAAGRycy9lMm9Eb2MueG1sUEsFBgAAAAAGAAYAWQEAAOgFAAAAAA==&#10;">
                <v:fill on="f" focussize="0,0"/>
                <v:stroke on="f" weight="0.5pt"/>
                <v:imagedata o:title=""/>
                <o:lock v:ext="edit" aspectratio="f"/>
                <v:textbox>
                  <w:txbxContent>
                    <w:p w14:paraId="615E372E">
                      <w:pPr>
                        <w:rPr>
                          <w:rFonts w:hint="default" w:eastAsia="宋体"/>
                          <w:b/>
                          <w:bCs/>
                          <w:color w:val="FFFF00"/>
                          <w:lang w:val="en-US" w:eastAsia="zh-CN"/>
                        </w:rPr>
                      </w:pPr>
                      <w:r>
                        <w:rPr>
                          <w:rFonts w:hint="eastAsia"/>
                          <w:b/>
                          <w:bCs/>
                          <w:color w:val="FFFF00"/>
                          <w:lang w:val="en-US" w:eastAsia="zh-CN"/>
                        </w:rPr>
                        <w:t>D1黄大庄</w:t>
                      </w:r>
                    </w:p>
                  </w:txbxContent>
                </v:textbox>
              </v:shape>
            </w:pict>
          </mc:Fallback>
        </mc:AlternateContent>
      </w:r>
      <w:r>
        <w:rPr>
          <w:color w:val="auto"/>
        </w:rPr>
        <w:drawing>
          <wp:anchor distT="0" distB="0" distL="114300" distR="114300" simplePos="0" relativeHeight="251799552" behindDoc="0" locked="0" layoutInCell="1" allowOverlap="1">
            <wp:simplePos x="0" y="0"/>
            <wp:positionH relativeFrom="column">
              <wp:posOffset>5420360</wp:posOffset>
            </wp:positionH>
            <wp:positionV relativeFrom="paragraph">
              <wp:posOffset>18415</wp:posOffset>
            </wp:positionV>
            <wp:extent cx="758190" cy="1022985"/>
            <wp:effectExtent l="0" t="0" r="3810" b="5715"/>
            <wp:wrapNone/>
            <wp:docPr id="42" name="图片 42"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风向标"/>
                    <pic:cNvPicPr>
                      <a:picLocks noChangeAspect="1"/>
                    </pic:cNvPicPr>
                  </pic:nvPicPr>
                  <pic:blipFill>
                    <a:blip r:embed="rId18"/>
                    <a:srcRect l="8090" t="1916" r="5231" b="6034"/>
                    <a:stretch>
                      <a:fillRect/>
                    </a:stretch>
                  </pic:blipFill>
                  <pic:spPr>
                    <a:xfrm>
                      <a:off x="0" y="0"/>
                      <a:ext cx="758190" cy="1022985"/>
                    </a:xfrm>
                    <a:prstGeom prst="rect">
                      <a:avLst/>
                    </a:prstGeom>
                  </pic:spPr>
                </pic:pic>
              </a:graphicData>
            </a:graphic>
          </wp:anchor>
        </w:drawing>
      </w:r>
      <w:r>
        <w:rPr>
          <w:color w:val="auto"/>
          <w:sz w:val="21"/>
        </w:rPr>
        <mc:AlternateContent>
          <mc:Choice Requires="wps">
            <w:drawing>
              <wp:anchor distT="0" distB="0" distL="114300" distR="114300" simplePos="0" relativeHeight="251798528" behindDoc="0" locked="0" layoutInCell="1" allowOverlap="1">
                <wp:simplePos x="0" y="0"/>
                <wp:positionH relativeFrom="column">
                  <wp:posOffset>5374005</wp:posOffset>
                </wp:positionH>
                <wp:positionV relativeFrom="paragraph">
                  <wp:posOffset>3054350</wp:posOffset>
                </wp:positionV>
                <wp:extent cx="158750" cy="139700"/>
                <wp:effectExtent l="4445" t="4445" r="8255" b="8255"/>
                <wp:wrapNone/>
                <wp:docPr id="33" name="等腰三角形 33"/>
                <wp:cNvGraphicFramePr/>
                <a:graphic xmlns:a="http://schemas.openxmlformats.org/drawingml/2006/main">
                  <a:graphicData uri="http://schemas.microsoft.com/office/word/2010/wordprocessingShape">
                    <wps:wsp>
                      <wps:cNvSpPr/>
                      <wps:spPr>
                        <a:xfrm>
                          <a:off x="0" y="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23.15pt;margin-top:240.5pt;height:11pt;width:12.5pt;z-index:251798528;v-text-anchor:middle;mso-width-relative:page;mso-height-relative:page;" fillcolor="#FFFF00" filled="t" stroked="t" coordsize="21600,21600" o:gfxdata="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s0tY72wAAAAsB&#10;AAAPAAAAAAAAAAEAIAAAACIAAABkcnMvZG93bnJldi54bWxQSwECFAAUAAAACACHTuJAexlQUIoC&#10;AAAMBQAADgAAAAAAAAABACAAAAAqAQAAZHJzL2Uyb0RvYy54bWxQSwUGAAAAAAYABgBZAQAAJgYA&#10;AAAA&#10;" adj="1080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797504" behindDoc="0" locked="0" layoutInCell="1" allowOverlap="1">
                <wp:simplePos x="0" y="0"/>
                <wp:positionH relativeFrom="column">
                  <wp:posOffset>5253355</wp:posOffset>
                </wp:positionH>
                <wp:positionV relativeFrom="paragraph">
                  <wp:posOffset>1365250</wp:posOffset>
                </wp:positionV>
                <wp:extent cx="158750" cy="139700"/>
                <wp:effectExtent l="4445" t="4445" r="8255" b="8255"/>
                <wp:wrapNone/>
                <wp:docPr id="30" name="等腰三角形 30"/>
                <wp:cNvGraphicFramePr/>
                <a:graphic xmlns:a="http://schemas.openxmlformats.org/drawingml/2006/main">
                  <a:graphicData uri="http://schemas.microsoft.com/office/word/2010/wordprocessingShape">
                    <wps:wsp>
                      <wps:cNvSpPr/>
                      <wps:spPr>
                        <a:xfrm>
                          <a:off x="0" y="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13.65pt;margin-top:107.5pt;height:11pt;width:12.5pt;z-index:251797504;v-text-anchor:middle;mso-width-relative:page;mso-height-relative:page;" fillcolor="#FFFF00" filled="t" stroked="t" coordsize="21600,21600" o:gfxdata="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D6JcwvaAAAACwEA&#10;AA8AAAAAAAAAAQAgAAAAIgAAAGRycy9kb3ducmV2LnhtbFBLAQIUABQAAAAIAIdO4kBUCAreigIA&#10;AAwFAAAOAAAAAAAAAAEAIAAAACkBAABkcnMvZTJvRG9jLnhtbFBLBQYAAAAABgAGAFkBAAAlBgAA&#10;AAA=&#10;" adj="1080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796480" behindDoc="0" locked="0" layoutInCell="1" allowOverlap="1">
                <wp:simplePos x="0" y="0"/>
                <wp:positionH relativeFrom="column">
                  <wp:posOffset>1741805</wp:posOffset>
                </wp:positionH>
                <wp:positionV relativeFrom="paragraph">
                  <wp:posOffset>4292600</wp:posOffset>
                </wp:positionV>
                <wp:extent cx="158750" cy="139700"/>
                <wp:effectExtent l="4445" t="4445" r="8255" b="8255"/>
                <wp:wrapNone/>
                <wp:docPr id="28" name="等腰三角形 28"/>
                <wp:cNvGraphicFramePr/>
                <a:graphic xmlns:a="http://schemas.openxmlformats.org/drawingml/2006/main">
                  <a:graphicData uri="http://schemas.microsoft.com/office/word/2010/wordprocessingShape">
                    <wps:wsp>
                      <wps:cNvSpPr/>
                      <wps:spPr>
                        <a:xfrm>
                          <a:off x="2427605" y="520700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37.15pt;margin-top:338pt;height:11pt;width:12.5pt;z-index:251796480;v-text-anchor:middle;mso-width-relative:page;mso-height-relative:page;" fillcolor="#FFFF00" filled="t" stroked="t" coordsize="21600,21600" o:gfxdata="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pMJft9sAAAALAQAADwAAAAAAAAABACAAAAAiAAAAZHJzL2Rvd25yZXYueG1sUEsBAhQAFAAAAAgA&#10;h07iQBUkA/yUAgAAGAUAAA4AAAAAAAAAAQAgAAAAKgEAAGRycy9lMm9Eb2MueG1sUEsFBgAAAAAG&#10;AAYAWQEAADAGAAAAAA==&#10;" adj="10800">
                <v:fill on="t" focussize="0,0"/>
                <v:stroke weight="0.25pt" color="#376092 [2404]" joinstyle="round"/>
                <v:imagedata o:title=""/>
                <o:lock v:ext="edit" aspectratio="f"/>
              </v:shape>
            </w:pict>
          </mc:Fallback>
        </mc:AlternateContent>
      </w:r>
      <w:r>
        <w:rPr>
          <w:rFonts w:hint="eastAsia" w:eastAsia="宋体"/>
          <w:color w:val="auto"/>
          <w:lang w:eastAsia="zh-CN"/>
        </w:rPr>
        <w:drawing>
          <wp:inline distT="0" distB="0" distL="114300" distR="114300">
            <wp:extent cx="6189345" cy="5400040"/>
            <wp:effectExtent l="0" t="0" r="1905" b="10160"/>
            <wp:docPr id="16" name="图片 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
                    <pic:cNvPicPr>
                      <a:picLocks noChangeAspect="1"/>
                    </pic:cNvPicPr>
                  </pic:nvPicPr>
                  <pic:blipFill>
                    <a:blip r:embed="rId35"/>
                    <a:stretch>
                      <a:fillRect/>
                    </a:stretch>
                  </pic:blipFill>
                  <pic:spPr>
                    <a:xfrm>
                      <a:off x="0" y="0"/>
                      <a:ext cx="6189345" cy="5400040"/>
                    </a:xfrm>
                    <a:prstGeom prst="rect">
                      <a:avLst/>
                    </a:prstGeom>
                  </pic:spPr>
                </pic:pic>
              </a:graphicData>
            </a:graphic>
          </wp:inline>
        </w:drawing>
      </w:r>
      <w:r>
        <w:rPr>
          <w:rFonts w:hint="default" w:ascii="Times New Roman" w:hAnsi="Times New Roman" w:cs="Times New Roman"/>
          <w:b/>
          <w:bCs/>
          <w:color w:val="auto"/>
          <w:sz w:val="24"/>
          <w:szCs w:val="32"/>
          <w:lang w:val="en-US" w:eastAsia="zh-CN"/>
        </w:rPr>
        <w:t>图4-3</w:t>
      </w:r>
      <w:r>
        <w:rPr>
          <w:rFonts w:hint="eastAsia" w:ascii="Times New Roman" w:hAnsi="Times New Roman" w:cs="Times New Roman"/>
          <w:b/>
          <w:bCs/>
          <w:color w:val="auto"/>
          <w:sz w:val="24"/>
          <w:szCs w:val="32"/>
          <w:lang w:val="en-US" w:eastAsia="zh-CN"/>
        </w:rPr>
        <w:t xml:space="preserve"> 地下水环境监测点位示意图</w:t>
      </w:r>
    </w:p>
    <w:p w14:paraId="5CB07075">
      <w:pPr>
        <w:spacing w:line="360" w:lineRule="auto"/>
        <w:ind w:firstLine="480" w:firstLineChars="200"/>
        <w:jc w:val="left"/>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（2）监测因子</w:t>
      </w:r>
    </w:p>
    <w:p w14:paraId="1AD3366B">
      <w:pPr>
        <w:spacing w:line="360" w:lineRule="auto"/>
        <w:ind w:firstLine="480" w:firstLineChars="200"/>
        <w:jc w:val="left"/>
        <w:rPr>
          <w:rFonts w:hint="eastAsia" w:ascii="Times New Roman" w:hAnsi="Times New Roman"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highlight w:val="none"/>
          <w:lang w:val="en-US" w:eastAsia="zh-CN"/>
        </w:rPr>
        <w:t>地下水现状检测因子如下：K</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、Na</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、Ca</w:t>
      </w:r>
      <w:r>
        <w:rPr>
          <w:rFonts w:hint="eastAsia" w:ascii="Times New Roman" w:hAnsi="Times New Roman" w:eastAsia="宋体" w:cs="Times New Roman"/>
          <w:b w:val="0"/>
          <w:bCs w:val="0"/>
          <w:color w:val="auto"/>
          <w:sz w:val="24"/>
          <w:szCs w:val="24"/>
          <w:highlight w:val="none"/>
          <w:vertAlign w:val="superscript"/>
          <w:lang w:val="en-US" w:eastAsia="zh-CN"/>
        </w:rPr>
        <w:t>2+</w:t>
      </w:r>
      <w:r>
        <w:rPr>
          <w:rFonts w:hint="eastAsia" w:ascii="Times New Roman" w:hAnsi="Times New Roman" w:eastAsia="宋体" w:cs="Times New Roman"/>
          <w:b w:val="0"/>
          <w:bCs w:val="0"/>
          <w:color w:val="auto"/>
          <w:sz w:val="24"/>
          <w:szCs w:val="24"/>
          <w:highlight w:val="none"/>
          <w:lang w:val="en-US" w:eastAsia="zh-CN"/>
        </w:rPr>
        <w:t>、Mg</w:t>
      </w:r>
      <w:r>
        <w:rPr>
          <w:rFonts w:hint="eastAsia" w:ascii="Times New Roman" w:hAnsi="Times New Roman" w:eastAsia="宋体" w:cs="Times New Roman"/>
          <w:b w:val="0"/>
          <w:bCs w:val="0"/>
          <w:color w:val="auto"/>
          <w:sz w:val="24"/>
          <w:szCs w:val="24"/>
          <w:highlight w:val="none"/>
          <w:vertAlign w:val="superscript"/>
          <w:lang w:val="en-US" w:eastAsia="zh-CN"/>
        </w:rPr>
        <w:t>2+</w:t>
      </w:r>
      <w:r>
        <w:rPr>
          <w:rFonts w:hint="eastAsia" w:ascii="Times New Roman" w:hAnsi="Times New Roman" w:eastAsia="宋体" w:cs="Times New Roman"/>
          <w:b w:val="0"/>
          <w:bCs w:val="0"/>
          <w:color w:val="auto"/>
          <w:sz w:val="24"/>
          <w:szCs w:val="24"/>
          <w:highlight w:val="none"/>
          <w:lang w:val="en-US" w:eastAsia="zh-CN"/>
        </w:rPr>
        <w:t>、CO</w:t>
      </w:r>
      <w:r>
        <w:rPr>
          <w:rFonts w:hint="eastAsia" w:ascii="Times New Roman" w:hAnsi="Times New Roman" w:eastAsia="宋体" w:cs="Times New Roman"/>
          <w:b w:val="0"/>
          <w:bCs w:val="0"/>
          <w:color w:val="auto"/>
          <w:sz w:val="24"/>
          <w:szCs w:val="24"/>
          <w:highlight w:val="none"/>
          <w:vertAlign w:val="subscript"/>
          <w:lang w:val="en-US" w:eastAsia="zh-CN"/>
        </w:rPr>
        <w:t>3</w:t>
      </w:r>
      <w:r>
        <w:rPr>
          <w:rFonts w:hint="eastAsia" w:ascii="Times New Roman" w:hAnsi="Times New Roman" w:eastAsia="宋体" w:cs="Times New Roman"/>
          <w:b w:val="0"/>
          <w:bCs w:val="0"/>
          <w:color w:val="auto"/>
          <w:sz w:val="24"/>
          <w:szCs w:val="24"/>
          <w:highlight w:val="none"/>
          <w:vertAlign w:val="superscript"/>
          <w:lang w:val="en-US" w:eastAsia="zh-CN"/>
        </w:rPr>
        <w:t>2-</w:t>
      </w:r>
      <w:r>
        <w:rPr>
          <w:rFonts w:hint="eastAsia" w:ascii="Times New Roman" w:hAnsi="Times New Roman" w:eastAsia="宋体" w:cs="Times New Roman"/>
          <w:b w:val="0"/>
          <w:bCs w:val="0"/>
          <w:color w:val="auto"/>
          <w:sz w:val="24"/>
          <w:szCs w:val="24"/>
          <w:highlight w:val="none"/>
          <w:lang w:val="en-US" w:eastAsia="zh-CN"/>
        </w:rPr>
        <w:t>、HCO</w:t>
      </w:r>
      <w:r>
        <w:rPr>
          <w:rFonts w:hint="eastAsia" w:ascii="Times New Roman" w:hAnsi="Times New Roman" w:eastAsia="宋体" w:cs="Times New Roman"/>
          <w:b w:val="0"/>
          <w:bCs w:val="0"/>
          <w:color w:val="auto"/>
          <w:sz w:val="24"/>
          <w:szCs w:val="24"/>
          <w:highlight w:val="none"/>
          <w:vertAlign w:val="subscript"/>
          <w:lang w:val="en-US" w:eastAsia="zh-CN"/>
        </w:rPr>
        <w:t>3</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、Cl</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w:t>
      </w:r>
      <w:bookmarkStart w:id="335" w:name="OLE_LINK103"/>
      <w:r>
        <w:rPr>
          <w:rFonts w:hint="eastAsia" w:ascii="Times New Roman" w:hAnsi="Times New Roman" w:eastAsia="宋体" w:cs="Times New Roman"/>
          <w:b w:val="0"/>
          <w:bCs w:val="0"/>
          <w:color w:val="auto"/>
          <w:sz w:val="24"/>
          <w:szCs w:val="24"/>
          <w:highlight w:val="none"/>
          <w:lang w:val="en-US" w:eastAsia="zh-CN"/>
        </w:rPr>
        <w:t>S</w:t>
      </w:r>
      <w:bookmarkStart w:id="336" w:name="OLE_LINK102"/>
      <w:r>
        <w:rPr>
          <w:rFonts w:hint="eastAsia" w:ascii="Times New Roman" w:hAnsi="Times New Roman" w:eastAsia="宋体" w:cs="Times New Roman"/>
          <w:b w:val="0"/>
          <w:bCs w:val="0"/>
          <w:color w:val="auto"/>
          <w:sz w:val="24"/>
          <w:szCs w:val="24"/>
          <w:highlight w:val="none"/>
          <w:lang w:val="en-US" w:eastAsia="zh-CN"/>
        </w:rPr>
        <w:t>O</w:t>
      </w:r>
      <w:bookmarkEnd w:id="336"/>
      <w:bookmarkStart w:id="337" w:name="OLE_LINK104"/>
      <w:r>
        <w:rPr>
          <w:rFonts w:hint="eastAsia" w:ascii="Times New Roman" w:hAnsi="Times New Roman" w:eastAsia="宋体" w:cs="Times New Roman"/>
          <w:b w:val="0"/>
          <w:bCs w:val="0"/>
          <w:color w:val="auto"/>
          <w:sz w:val="24"/>
          <w:szCs w:val="24"/>
          <w:highlight w:val="none"/>
          <w:vertAlign w:val="subscript"/>
          <w:lang w:val="en-US" w:eastAsia="zh-CN"/>
        </w:rPr>
        <w:t>4</w:t>
      </w:r>
      <w:bookmarkEnd w:id="337"/>
      <w:r>
        <w:rPr>
          <w:rFonts w:hint="eastAsia" w:ascii="Times New Roman" w:hAnsi="Times New Roman" w:eastAsia="宋体" w:cs="Times New Roman"/>
          <w:b w:val="0"/>
          <w:bCs w:val="0"/>
          <w:color w:val="auto"/>
          <w:sz w:val="24"/>
          <w:szCs w:val="24"/>
          <w:highlight w:val="none"/>
          <w:vertAlign w:val="superscript"/>
          <w:lang w:val="en-US" w:eastAsia="zh-CN"/>
        </w:rPr>
        <w:t>2</w:t>
      </w:r>
      <w:bookmarkEnd w:id="335"/>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、pH、总硬度、溶解性总固体、铁、锰、铜、锌、铝、铅、镍、镉、六价铬、汞、砷、挥发性酚类、耗氧量、氨氮、亚硝酸盐、硝酸盐、氰化物、氟化物，同步监测水位</w:t>
      </w:r>
    </w:p>
    <w:p w14:paraId="335AB110">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bookmarkStart w:id="338" w:name="_Toc29150"/>
      <w:r>
        <w:rPr>
          <w:rFonts w:hint="eastAsia" w:ascii="Times New Roman" w:hAnsi="Times New Roman" w:eastAsia="宋体" w:cs="Times New Roman"/>
          <w:b w:val="0"/>
          <w:bCs w:val="0"/>
          <w:color w:val="auto"/>
          <w:sz w:val="24"/>
          <w:szCs w:val="24"/>
          <w:highlight w:val="none"/>
          <w:lang w:val="en-US" w:eastAsia="zh-CN"/>
        </w:rPr>
        <w:t>（3）采样及分析方法</w:t>
      </w:r>
      <w:bookmarkEnd w:id="338"/>
    </w:p>
    <w:p w14:paraId="4A11102F">
      <w:pPr>
        <w:numPr>
          <w:ilvl w:val="0"/>
          <w:numId w:val="0"/>
        </w:numPr>
        <w:spacing w:line="360" w:lineRule="auto"/>
        <w:ind w:firstLine="480" w:firstLineChars="200"/>
        <w:jc w:val="left"/>
        <w:rPr>
          <w:rFonts w:hint="default" w:ascii="Times New Roman" w:hAnsi="Times New Roman" w:cs="Times New Roman"/>
          <w:b w:val="0"/>
          <w:bCs w:val="0"/>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采样与分析方法按照《地下水质量标准》（GB/T14848-2017）的有关规定执行。</w:t>
      </w:r>
    </w:p>
    <w:p w14:paraId="50D02F87">
      <w:pPr>
        <w:spacing w:line="360" w:lineRule="auto"/>
        <w:ind w:firstLine="480" w:firstLineChars="200"/>
        <w:jc w:val="left"/>
        <w:rPr>
          <w:rFonts w:hint="default" w:ascii="Times New Roman" w:hAnsi="Times New Roman" w:cs="Times New Roman"/>
          <w:b w:val="0"/>
          <w:bCs w:val="0"/>
          <w:color w:val="auto"/>
          <w:sz w:val="24"/>
          <w:szCs w:val="32"/>
          <w:lang w:val="en-US" w:eastAsia="zh-CN"/>
        </w:rPr>
      </w:pPr>
      <w:bookmarkStart w:id="339" w:name="_Toc454"/>
      <w:r>
        <w:rPr>
          <w:rFonts w:hint="eastAsia" w:ascii="Times New Roman" w:hAnsi="Times New Roman" w:cs="Times New Roman"/>
          <w:b w:val="0"/>
          <w:bCs w:val="0"/>
          <w:color w:val="auto"/>
          <w:sz w:val="24"/>
          <w:szCs w:val="32"/>
          <w:lang w:val="en-US" w:eastAsia="zh-CN"/>
        </w:rPr>
        <w:t>（4）评价标准</w:t>
      </w:r>
    </w:p>
    <w:p w14:paraId="16073B76">
      <w:pPr>
        <w:spacing w:line="360" w:lineRule="auto"/>
        <w:ind w:firstLine="480" w:firstLineChars="200"/>
        <w:jc w:val="left"/>
        <w:rPr>
          <w:rFonts w:hint="eastAsia"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评价标准采用《地下水质量标准》（GB/T 14848-2017）中Ⅲ类标准。</w:t>
      </w:r>
    </w:p>
    <w:p w14:paraId="7A63D80F">
      <w:pPr>
        <w:spacing w:line="360" w:lineRule="auto"/>
        <w:ind w:firstLine="480" w:firstLineChars="200"/>
        <w:jc w:val="left"/>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（5）评价方法</w:t>
      </w:r>
    </w:p>
    <w:p w14:paraId="77456CC7">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采用单因子标准指数法</w:t>
      </w:r>
    </w:p>
    <w:p w14:paraId="3D71E342">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①各评价因子（除pH值）的标准指数计算公式：</w:t>
      </w:r>
    </w:p>
    <w:p w14:paraId="4A34A49C">
      <w:pPr>
        <w:widowControl/>
        <w:spacing w:line="360" w:lineRule="auto"/>
        <w:ind w:firstLine="0" w:firstLineChars="0"/>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object>
          <v:shape id="_x0000_i1027" o:spt="75" type="#_x0000_t75" style="height:37.5pt;width:42pt;" o:ole="t" filled="f" o:preferrelative="t" stroked="f" coordsize="21600,21600">
            <v:path/>
            <v:fill on="f" focussize="0,0"/>
            <v:stroke on="f"/>
            <v:imagedata r:id="rId37" o:title=""/>
            <o:lock v:ext="edit" aspectratio="t"/>
            <w10:wrap type="none"/>
            <w10:anchorlock/>
          </v:shape>
          <o:OLEObject Type="Embed" ProgID="Equation.3" ShapeID="_x0000_i1027" DrawAspect="Content" ObjectID="_1468075727" r:id="rId36">
            <o:LockedField>false</o:LockedField>
          </o:OLEObject>
        </w:object>
      </w:r>
    </w:p>
    <w:p w14:paraId="14F1EBF1">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式中：S</w:t>
      </w:r>
      <w:r>
        <w:rPr>
          <w:rFonts w:hint="default" w:ascii="Times New Roman" w:hAnsi="Times New Roman" w:cs="Times New Roman"/>
          <w:color w:val="auto"/>
          <w:sz w:val="24"/>
          <w:szCs w:val="24"/>
          <w:vertAlign w:val="subscript"/>
        </w:rPr>
        <w:t>i</w:t>
      </w:r>
      <w:r>
        <w:rPr>
          <w:rFonts w:hint="default" w:ascii="Times New Roman" w:hAnsi="Times New Roman" w:cs="Times New Roman"/>
          <w:color w:val="auto"/>
          <w:sz w:val="24"/>
          <w:szCs w:val="24"/>
        </w:rPr>
        <w:t>为第i项评价因子的单因子标准指数；</w:t>
      </w:r>
    </w:p>
    <w:p w14:paraId="4A214981">
      <w:pPr>
        <w:spacing w:line="360" w:lineRule="auto"/>
        <w:ind w:firstLine="1161" w:firstLineChars="484"/>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r>
        <w:rPr>
          <w:rFonts w:hint="default" w:ascii="Times New Roman" w:hAnsi="Times New Roman" w:cs="Times New Roman"/>
          <w:color w:val="auto"/>
          <w:sz w:val="24"/>
          <w:szCs w:val="24"/>
        </w:rPr>
        <w:t>为第i项评价因子的实测浓度值，mg/L；</w:t>
      </w:r>
    </w:p>
    <w:p w14:paraId="11D86163">
      <w:pPr>
        <w:spacing w:line="360" w:lineRule="auto"/>
        <w:ind w:firstLine="1161" w:firstLineChars="484"/>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oi</w:t>
      </w:r>
      <w:r>
        <w:rPr>
          <w:rFonts w:hint="default" w:ascii="Times New Roman" w:hAnsi="Times New Roman" w:cs="Times New Roman"/>
          <w:color w:val="auto"/>
          <w:sz w:val="24"/>
          <w:szCs w:val="24"/>
        </w:rPr>
        <w:t>为第i项评价因子的环境质量标准值，mg/L。</w:t>
      </w:r>
    </w:p>
    <w:p w14:paraId="3965896E">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②pH值的标准指数用下式计算：</w:t>
      </w:r>
    </w:p>
    <w:p w14:paraId="188A0DE1">
      <w:pPr>
        <w:widowControl/>
        <w:spacing w:line="360" w:lineRule="auto"/>
        <w:ind w:firstLine="0" w:firstLineChars="0"/>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object>
          <v:shape id="_x0000_i1028" o:spt="75" type="#_x0000_t75" style="height:31.5pt;width:186pt;" o:ole="t" filled="f" o:preferrelative="t" stroked="f" coordsize="21600,21600">
            <v:path/>
            <v:fill on="f" focussize="0,0"/>
            <v:stroke on="f"/>
            <v:imagedata r:id="rId39" o:title=""/>
            <o:lock v:ext="edit" aspectratio="t"/>
            <w10:wrap type="none"/>
            <w10:anchorlock/>
          </v:shape>
          <o:OLEObject Type="Embed" ProgID="Equation.3" ShapeID="_x0000_i1028" DrawAspect="Content" ObjectID="_1468075728" r:id="rId38">
            <o:LockedField>false</o:LockedField>
          </o:OLEObject>
        </w:object>
      </w:r>
    </w:p>
    <w:p w14:paraId="6D263F05">
      <w:pPr>
        <w:widowControl/>
        <w:spacing w:line="360" w:lineRule="auto"/>
        <w:ind w:firstLine="0" w:firstLineChars="0"/>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object>
          <v:shape id="_x0000_i1029" o:spt="75" type="#_x0000_t75" style="height:31.5pt;width:191.25pt;" o:ole="t" filled="f" o:preferrelative="t" stroked="f" coordsize="21600,21600">
            <v:path/>
            <v:fill on="f" focussize="0,0"/>
            <v:stroke on="f"/>
            <v:imagedata r:id="rId41" o:title=""/>
            <o:lock v:ext="edit" aspectratio="t"/>
            <w10:wrap type="none"/>
            <w10:anchorlock/>
          </v:shape>
          <o:OLEObject Type="Embed" ProgID="Equation.3" ShapeID="_x0000_i1029" DrawAspect="Content" ObjectID="_1468075729" r:id="rId40">
            <o:LockedField>false</o:LockedField>
          </o:OLEObject>
        </w:object>
      </w:r>
    </w:p>
    <w:p w14:paraId="1B5B44C2">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式中：S</w:t>
      </w:r>
      <w:r>
        <w:rPr>
          <w:rFonts w:hint="default" w:ascii="Times New Roman" w:hAnsi="Times New Roman" w:cs="Times New Roman"/>
          <w:color w:val="auto"/>
          <w:sz w:val="24"/>
          <w:szCs w:val="24"/>
          <w:vertAlign w:val="subscript"/>
        </w:rPr>
        <w:t>pH,j</w:t>
      </w:r>
      <w:r>
        <w:rPr>
          <w:rFonts w:hint="default" w:ascii="Times New Roman" w:hAnsi="Times New Roman" w:cs="Times New Roman"/>
          <w:color w:val="auto"/>
          <w:sz w:val="24"/>
          <w:szCs w:val="24"/>
        </w:rPr>
        <w:t>为第j点的pH值标准指数；</w:t>
      </w:r>
    </w:p>
    <w:p w14:paraId="2BD2639D">
      <w:pPr>
        <w:spacing w:line="360" w:lineRule="auto"/>
        <w:ind w:firstLine="1202" w:firstLineChars="501"/>
        <w:rPr>
          <w:rFonts w:hint="default" w:ascii="Times New Roman" w:hAnsi="Times New Roman" w:cs="Times New Roman"/>
          <w:color w:val="auto"/>
          <w:sz w:val="24"/>
          <w:szCs w:val="24"/>
        </w:rPr>
      </w:pPr>
      <w:r>
        <w:rPr>
          <w:rFonts w:hint="default" w:ascii="Times New Roman" w:hAnsi="Times New Roman" w:cs="Times New Roman"/>
          <w:color w:val="auto"/>
          <w:sz w:val="24"/>
          <w:szCs w:val="24"/>
        </w:rPr>
        <w:t>pH</w:t>
      </w:r>
      <w:r>
        <w:rPr>
          <w:rFonts w:hint="default" w:ascii="Times New Roman" w:hAnsi="Times New Roman" w:cs="Times New Roman"/>
          <w:color w:val="auto"/>
          <w:sz w:val="24"/>
          <w:szCs w:val="24"/>
          <w:vertAlign w:val="subscript"/>
        </w:rPr>
        <w:t>sd</w:t>
      </w:r>
      <w:r>
        <w:rPr>
          <w:rFonts w:hint="default" w:ascii="Times New Roman" w:hAnsi="Times New Roman" w:cs="Times New Roman"/>
          <w:color w:val="auto"/>
          <w:sz w:val="24"/>
          <w:szCs w:val="24"/>
        </w:rPr>
        <w:t>为水质标准中pH值的下限；</w:t>
      </w:r>
    </w:p>
    <w:p w14:paraId="375650BD">
      <w:pPr>
        <w:spacing w:line="360" w:lineRule="auto"/>
        <w:ind w:firstLine="1202" w:firstLineChars="501"/>
        <w:rPr>
          <w:rFonts w:hint="default" w:ascii="Times New Roman" w:hAnsi="Times New Roman" w:cs="Times New Roman"/>
          <w:color w:val="auto"/>
          <w:sz w:val="24"/>
          <w:szCs w:val="24"/>
        </w:rPr>
      </w:pPr>
      <w:r>
        <w:rPr>
          <w:rFonts w:hint="default" w:ascii="Times New Roman" w:hAnsi="Times New Roman" w:cs="Times New Roman"/>
          <w:color w:val="auto"/>
          <w:sz w:val="24"/>
          <w:szCs w:val="24"/>
        </w:rPr>
        <w:t>pH</w:t>
      </w:r>
      <w:r>
        <w:rPr>
          <w:rFonts w:hint="default" w:ascii="Times New Roman" w:hAnsi="Times New Roman" w:cs="Times New Roman"/>
          <w:color w:val="auto"/>
          <w:sz w:val="24"/>
          <w:szCs w:val="24"/>
          <w:vertAlign w:val="subscript"/>
        </w:rPr>
        <w:t>su</w:t>
      </w:r>
      <w:r>
        <w:rPr>
          <w:rFonts w:hint="default" w:ascii="Times New Roman" w:hAnsi="Times New Roman" w:cs="Times New Roman"/>
          <w:color w:val="auto"/>
          <w:sz w:val="24"/>
          <w:szCs w:val="24"/>
        </w:rPr>
        <w:t>为水质标准中pH值的上限；</w:t>
      </w:r>
    </w:p>
    <w:p w14:paraId="0D2424B9">
      <w:pPr>
        <w:spacing w:line="360" w:lineRule="auto"/>
        <w:ind w:firstLine="1202" w:firstLineChars="501"/>
        <w:rPr>
          <w:rFonts w:hint="default" w:ascii="Times New Roman" w:hAnsi="Times New Roman" w:cs="Times New Roman"/>
          <w:color w:val="auto"/>
          <w:sz w:val="24"/>
          <w:szCs w:val="24"/>
        </w:rPr>
      </w:pPr>
      <w:r>
        <w:rPr>
          <w:rFonts w:hint="default" w:ascii="Times New Roman" w:hAnsi="Times New Roman" w:cs="Times New Roman"/>
          <w:color w:val="auto"/>
          <w:sz w:val="24"/>
          <w:szCs w:val="24"/>
        </w:rPr>
        <w:t>pH</w:t>
      </w:r>
      <w:r>
        <w:rPr>
          <w:rFonts w:hint="default" w:ascii="Times New Roman" w:hAnsi="Times New Roman" w:cs="Times New Roman"/>
          <w:color w:val="auto"/>
          <w:sz w:val="24"/>
          <w:szCs w:val="24"/>
          <w:vertAlign w:val="subscript"/>
        </w:rPr>
        <w:t>j</w:t>
      </w:r>
      <w:r>
        <w:rPr>
          <w:rFonts w:hint="default" w:ascii="Times New Roman" w:hAnsi="Times New Roman" w:cs="Times New Roman"/>
          <w:color w:val="auto"/>
          <w:sz w:val="24"/>
          <w:szCs w:val="24"/>
        </w:rPr>
        <w:t>为第j点的pH值实测值。</w:t>
      </w:r>
    </w:p>
    <w:p w14:paraId="2AA691AB">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r>
        <w:rPr>
          <w:rFonts w:hint="default" w:ascii="Times New Roman" w:hAnsi="Times New Roman" w:cs="Times New Roman"/>
          <w:color w:val="auto"/>
          <w:sz w:val="24"/>
          <w:szCs w:val="24"/>
        </w:rPr>
        <w:t>评价因子的标准指数小于等于1，则符合地下水质的标准要求；评价因子的标准指数大于1，则为超标。</w:t>
      </w:r>
    </w:p>
    <w:p w14:paraId="0C32BBFA">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（6）监测结果</w:t>
      </w:r>
      <w:bookmarkEnd w:id="339"/>
      <w:r>
        <w:rPr>
          <w:rFonts w:hint="eastAsia" w:ascii="Times New Roman" w:hAnsi="Times New Roman" w:eastAsia="宋体" w:cs="Times New Roman"/>
          <w:b w:val="0"/>
          <w:bCs w:val="0"/>
          <w:color w:val="auto"/>
          <w:sz w:val="24"/>
          <w:szCs w:val="24"/>
          <w:highlight w:val="none"/>
          <w:lang w:val="en-US" w:eastAsia="zh-CN"/>
        </w:rPr>
        <w:t>及评价结果</w:t>
      </w:r>
    </w:p>
    <w:p w14:paraId="242C7AEA">
      <w:pPr>
        <w:spacing w:line="360" w:lineRule="auto"/>
        <w:ind w:firstLine="480" w:firstLineChars="200"/>
        <w:jc w:val="left"/>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地下水环境质量现状水位及水质监测结果见下表。</w:t>
      </w:r>
    </w:p>
    <w:p w14:paraId="760B9841">
      <w:pPr>
        <w:spacing w:line="360" w:lineRule="auto"/>
        <w:jc w:val="center"/>
        <w:rPr>
          <w:rFonts w:hint="default" w:ascii="Times New Roman" w:hAnsi="Times New Roman" w:cs="Times New Roman"/>
          <w:b/>
          <w:bCs/>
          <w:color w:val="auto"/>
          <w:sz w:val="24"/>
          <w:szCs w:val="32"/>
          <w:lang w:val="en-US" w:eastAsia="zh-CN"/>
        </w:rPr>
      </w:pPr>
      <w:r>
        <w:rPr>
          <w:rFonts w:hint="eastAsia" w:ascii="Times New Roman" w:hAnsi="Times New Roman" w:cs="Times New Roman"/>
          <w:b/>
          <w:bCs/>
          <w:color w:val="auto"/>
          <w:sz w:val="24"/>
          <w:szCs w:val="32"/>
          <w:lang w:val="en-US" w:eastAsia="zh-CN"/>
        </w:rPr>
        <w:t xml:space="preserve">表4-9 </w:t>
      </w:r>
      <w:bookmarkStart w:id="340" w:name="OLE_LINK113"/>
      <w:r>
        <w:rPr>
          <w:rFonts w:hint="eastAsia" w:ascii="Times New Roman" w:hAnsi="Times New Roman" w:cs="Times New Roman"/>
          <w:b/>
          <w:bCs/>
          <w:color w:val="auto"/>
          <w:sz w:val="24"/>
          <w:szCs w:val="32"/>
          <w:lang w:val="en-US" w:eastAsia="zh-CN"/>
        </w:rPr>
        <w:t>地下水水位监测结果一览表</w:t>
      </w:r>
      <w:bookmarkEnd w:id="340"/>
    </w:p>
    <w:tbl>
      <w:tblPr>
        <w:tblStyle w:val="123"/>
        <w:tblW w:w="4993"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2434"/>
        <w:gridCol w:w="2430"/>
        <w:gridCol w:w="2430"/>
        <w:gridCol w:w="2438"/>
      </w:tblGrid>
      <w:tr w14:paraId="1FC3E09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35" w:hRule="atLeast"/>
        </w:trPr>
        <w:tc>
          <w:tcPr>
            <w:tcW w:w="1250" w:type="pct"/>
            <w:tcBorders>
              <w:tl2br w:val="nil"/>
              <w:tr2bl w:val="nil"/>
            </w:tcBorders>
            <w:vAlign w:val="center"/>
          </w:tcPr>
          <w:p w14:paraId="0F1D6355">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编号</w:t>
            </w:r>
          </w:p>
        </w:tc>
        <w:tc>
          <w:tcPr>
            <w:tcW w:w="1248" w:type="pct"/>
            <w:tcBorders>
              <w:tl2br w:val="nil"/>
              <w:tr2bl w:val="nil"/>
            </w:tcBorders>
            <w:vAlign w:val="center"/>
          </w:tcPr>
          <w:p w14:paraId="3E6E54B8">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监测点位置</w:t>
            </w:r>
          </w:p>
        </w:tc>
        <w:tc>
          <w:tcPr>
            <w:tcW w:w="1248" w:type="pct"/>
            <w:tcBorders>
              <w:tl2br w:val="nil"/>
              <w:tr2bl w:val="nil"/>
            </w:tcBorders>
            <w:vAlign w:val="center"/>
          </w:tcPr>
          <w:p w14:paraId="7AE71DAC">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方位</w:t>
            </w:r>
          </w:p>
        </w:tc>
        <w:tc>
          <w:tcPr>
            <w:tcW w:w="1252" w:type="pct"/>
            <w:tcBorders>
              <w:tl2br w:val="nil"/>
              <w:tr2bl w:val="nil"/>
            </w:tcBorders>
            <w:vAlign w:val="center"/>
          </w:tcPr>
          <w:p w14:paraId="281417A0">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水位/m</w:t>
            </w:r>
          </w:p>
        </w:tc>
      </w:tr>
      <w:tr w14:paraId="6BF8827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75" w:hRule="atLeast"/>
        </w:trPr>
        <w:tc>
          <w:tcPr>
            <w:tcW w:w="1250" w:type="pct"/>
            <w:tcBorders>
              <w:tl2br w:val="nil"/>
              <w:tr2bl w:val="nil"/>
            </w:tcBorders>
            <w:vAlign w:val="center"/>
          </w:tcPr>
          <w:p w14:paraId="684B2721">
            <w:pPr>
              <w:spacing w:line="240" w:lineRule="auto"/>
              <w:ind w:firstLine="0" w:firstLineChars="0"/>
              <w:jc w:val="center"/>
              <w:rPr>
                <w:rFonts w:hint="eastAsia"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kern w:val="0"/>
                <w:sz w:val="21"/>
                <w:szCs w:val="21"/>
              </w:rPr>
              <w:t>D</w:t>
            </w:r>
            <w:r>
              <w:rPr>
                <w:rFonts w:hint="eastAsia" w:ascii="Times New Roman" w:hAnsi="Times New Roman" w:eastAsia="宋体" w:cs="Times New Roman"/>
                <w:color w:val="auto"/>
                <w:kern w:val="0"/>
                <w:sz w:val="21"/>
                <w:szCs w:val="21"/>
                <w:lang w:val="en-US" w:eastAsia="zh-CN"/>
              </w:rPr>
              <w:t>1</w:t>
            </w:r>
          </w:p>
        </w:tc>
        <w:tc>
          <w:tcPr>
            <w:tcW w:w="1248" w:type="pct"/>
            <w:tcBorders>
              <w:tl2br w:val="nil"/>
              <w:tr2bl w:val="nil"/>
            </w:tcBorders>
            <w:vAlign w:val="center"/>
          </w:tcPr>
          <w:p w14:paraId="5BF81E91">
            <w:pPr>
              <w:spacing w:line="240" w:lineRule="auto"/>
              <w:ind w:firstLine="0" w:firstLineChars="0"/>
              <w:jc w:val="center"/>
              <w:rPr>
                <w:rFonts w:hint="default" w:ascii="Times New Roman" w:hAnsi="Times New Roman" w:cs="Times New Roman"/>
                <w:color w:val="auto"/>
                <w:sz w:val="21"/>
                <w:szCs w:val="18"/>
              </w:rPr>
            </w:pPr>
            <w:r>
              <w:rPr>
                <w:rFonts w:hint="eastAsia" w:ascii="Times New Roman" w:hAnsi="Times New Roman" w:eastAsia="宋体" w:cs="Times New Roman"/>
                <w:color w:val="auto"/>
                <w:kern w:val="0"/>
                <w:sz w:val="21"/>
                <w:szCs w:val="21"/>
                <w:lang w:val="en-US" w:eastAsia="zh-CN"/>
              </w:rPr>
              <w:t>黄大庄</w:t>
            </w:r>
          </w:p>
        </w:tc>
        <w:tc>
          <w:tcPr>
            <w:tcW w:w="2431" w:type="dxa"/>
            <w:tcBorders>
              <w:tl2br w:val="nil"/>
              <w:tr2bl w:val="nil"/>
            </w:tcBorders>
            <w:vAlign w:val="center"/>
          </w:tcPr>
          <w:p w14:paraId="741320F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18"/>
              </w:rPr>
            </w:pPr>
            <w:r>
              <w:rPr>
                <w:rFonts w:hint="eastAsia" w:cs="Times New Roman"/>
                <w:color w:val="auto"/>
                <w:sz w:val="21"/>
                <w:szCs w:val="21"/>
                <w:lang w:val="en-US" w:eastAsia="zh-CN"/>
              </w:rPr>
              <w:t>SW</w:t>
            </w:r>
          </w:p>
        </w:tc>
        <w:tc>
          <w:tcPr>
            <w:tcW w:w="1252" w:type="pct"/>
            <w:tcBorders>
              <w:tl2br w:val="nil"/>
              <w:tr2bl w:val="nil"/>
            </w:tcBorders>
            <w:vAlign w:val="center"/>
          </w:tcPr>
          <w:p w14:paraId="17C0DCE6">
            <w:pPr>
              <w:bidi w:val="0"/>
              <w:spacing w:line="240" w:lineRule="auto"/>
              <w:jc w:val="center"/>
              <w:rPr>
                <w:rFonts w:hint="default" w:ascii="Times New Roman" w:hAnsi="Times New Roman" w:eastAsia="宋体" w:cs="Times New Roman"/>
                <w:color w:val="auto"/>
                <w:sz w:val="21"/>
                <w:szCs w:val="18"/>
                <w:lang w:val="en-US" w:eastAsia="zh-CN"/>
              </w:rPr>
            </w:pPr>
            <w:r>
              <w:rPr>
                <w:rFonts w:hint="eastAsia" w:ascii="Times New Roman" w:hAnsi="Times New Roman" w:eastAsia="宋体" w:cs="Times New Roman"/>
                <w:color w:val="auto"/>
                <w:sz w:val="21"/>
                <w:szCs w:val="18"/>
                <w:lang w:val="en-US" w:eastAsia="zh-CN"/>
              </w:rPr>
              <w:t>4.6</w:t>
            </w:r>
          </w:p>
        </w:tc>
      </w:tr>
      <w:tr w14:paraId="37427C2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250" w:type="pct"/>
            <w:tcBorders>
              <w:tl2br w:val="nil"/>
              <w:tr2bl w:val="nil"/>
            </w:tcBorders>
            <w:vAlign w:val="center"/>
          </w:tcPr>
          <w:p w14:paraId="03E9D55F">
            <w:pPr>
              <w:spacing w:line="240" w:lineRule="auto"/>
              <w:ind w:firstLine="0" w:firstLineChars="0"/>
              <w:jc w:val="center"/>
              <w:rPr>
                <w:rFonts w:hint="eastAsia"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21"/>
              </w:rPr>
              <w:t>D</w:t>
            </w:r>
            <w:r>
              <w:rPr>
                <w:rFonts w:hint="eastAsia" w:ascii="Times New Roman" w:hAnsi="Times New Roman" w:eastAsia="宋体" w:cs="Times New Roman"/>
                <w:color w:val="auto"/>
                <w:sz w:val="21"/>
                <w:szCs w:val="21"/>
                <w:lang w:val="en-US" w:eastAsia="zh-CN"/>
              </w:rPr>
              <w:t>2</w:t>
            </w:r>
          </w:p>
        </w:tc>
        <w:tc>
          <w:tcPr>
            <w:tcW w:w="1248" w:type="pct"/>
            <w:tcBorders>
              <w:tl2br w:val="nil"/>
              <w:tr2bl w:val="nil"/>
            </w:tcBorders>
            <w:vAlign w:val="center"/>
          </w:tcPr>
          <w:p w14:paraId="4251FAFE">
            <w:pPr>
              <w:spacing w:line="240" w:lineRule="auto"/>
              <w:ind w:firstLine="0" w:firstLineChars="0"/>
              <w:jc w:val="center"/>
              <w:rPr>
                <w:rFonts w:hint="default" w:ascii="Times New Roman" w:hAnsi="Times New Roman" w:cs="Times New Roman"/>
                <w:color w:val="auto"/>
                <w:sz w:val="21"/>
                <w:szCs w:val="18"/>
              </w:rPr>
            </w:pPr>
            <w:r>
              <w:rPr>
                <w:rFonts w:hint="eastAsia" w:ascii="Times New Roman" w:hAnsi="Times New Roman" w:eastAsia="宋体" w:cs="Times New Roman"/>
                <w:color w:val="auto"/>
                <w:sz w:val="21"/>
                <w:szCs w:val="21"/>
                <w:lang w:val="en-US" w:eastAsia="zh-CN"/>
              </w:rPr>
              <w:t>龙华学校</w:t>
            </w:r>
          </w:p>
        </w:tc>
        <w:tc>
          <w:tcPr>
            <w:tcW w:w="2431" w:type="dxa"/>
            <w:tcBorders>
              <w:tl2br w:val="nil"/>
              <w:tr2bl w:val="nil"/>
            </w:tcBorders>
            <w:vAlign w:val="center"/>
          </w:tcPr>
          <w:p w14:paraId="65D0E74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18"/>
              </w:rPr>
            </w:pPr>
            <w:r>
              <w:rPr>
                <w:rFonts w:hint="eastAsia" w:cs="Times New Roman"/>
                <w:color w:val="auto"/>
                <w:sz w:val="21"/>
                <w:szCs w:val="21"/>
                <w:lang w:val="en-US" w:eastAsia="zh-CN"/>
              </w:rPr>
              <w:t>NE</w:t>
            </w:r>
          </w:p>
        </w:tc>
        <w:tc>
          <w:tcPr>
            <w:tcW w:w="1252" w:type="pct"/>
            <w:tcBorders>
              <w:tl2br w:val="nil"/>
              <w:tr2bl w:val="nil"/>
            </w:tcBorders>
            <w:vAlign w:val="center"/>
          </w:tcPr>
          <w:p w14:paraId="2E3C4D97">
            <w:pPr>
              <w:bidi w:val="0"/>
              <w:spacing w:line="240" w:lineRule="auto"/>
              <w:jc w:val="center"/>
              <w:rPr>
                <w:rFonts w:hint="default" w:ascii="Times New Roman" w:hAnsi="Times New Roman" w:cs="Times New Roman"/>
                <w:color w:val="auto"/>
                <w:sz w:val="21"/>
                <w:szCs w:val="18"/>
                <w:lang w:val="en-US"/>
              </w:rPr>
            </w:pPr>
            <w:r>
              <w:rPr>
                <w:rFonts w:hint="eastAsia" w:ascii="Times New Roman" w:hAnsi="Times New Roman" w:eastAsia="宋体" w:cs="Times New Roman"/>
                <w:color w:val="auto"/>
                <w:sz w:val="21"/>
                <w:szCs w:val="18"/>
                <w:lang w:val="en-US" w:eastAsia="zh-CN"/>
              </w:rPr>
              <w:t>4.5</w:t>
            </w:r>
          </w:p>
        </w:tc>
      </w:tr>
      <w:tr w14:paraId="732C051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70" w:hRule="atLeast"/>
        </w:trPr>
        <w:tc>
          <w:tcPr>
            <w:tcW w:w="1250" w:type="pct"/>
            <w:tcBorders>
              <w:tl2br w:val="nil"/>
              <w:tr2bl w:val="nil"/>
            </w:tcBorders>
            <w:shd w:val="clear" w:color="auto" w:fill="auto"/>
            <w:vAlign w:val="center"/>
          </w:tcPr>
          <w:p w14:paraId="559CF7C2">
            <w:pPr>
              <w:spacing w:line="240" w:lineRule="auto"/>
              <w:ind w:firstLine="0" w:firstLineChars="0"/>
              <w:jc w:val="center"/>
              <w:rPr>
                <w:rFonts w:hint="eastAsia" w:ascii="Times New Roman" w:hAnsi="Times New Roman" w:eastAsia="宋体" w:cs="Times New Roman"/>
                <w:color w:val="auto"/>
                <w:kern w:val="2"/>
                <w:sz w:val="21"/>
                <w:szCs w:val="18"/>
                <w:lang w:val="en-US" w:eastAsia="zh-CN" w:bidi="ar-SA"/>
              </w:rPr>
            </w:pPr>
            <w:r>
              <w:rPr>
                <w:rFonts w:hint="default" w:ascii="Times New Roman" w:hAnsi="Times New Roman" w:eastAsia="宋体" w:cs="Times New Roman"/>
                <w:color w:val="auto"/>
                <w:kern w:val="0"/>
                <w:sz w:val="21"/>
                <w:szCs w:val="21"/>
              </w:rPr>
              <w:t>D</w:t>
            </w:r>
            <w:r>
              <w:rPr>
                <w:rFonts w:hint="eastAsia" w:ascii="Times New Roman" w:hAnsi="Times New Roman" w:eastAsia="宋体" w:cs="Times New Roman"/>
                <w:color w:val="auto"/>
                <w:kern w:val="0"/>
                <w:sz w:val="21"/>
                <w:szCs w:val="21"/>
                <w:lang w:val="en-US" w:eastAsia="zh-CN"/>
              </w:rPr>
              <w:t>3</w:t>
            </w:r>
          </w:p>
        </w:tc>
        <w:tc>
          <w:tcPr>
            <w:tcW w:w="1248" w:type="pct"/>
            <w:tcBorders>
              <w:tl2br w:val="nil"/>
              <w:tr2bl w:val="nil"/>
            </w:tcBorders>
            <w:shd w:val="clear" w:color="auto" w:fill="auto"/>
            <w:vAlign w:val="center"/>
          </w:tcPr>
          <w:p w14:paraId="3626ADA9">
            <w:pPr>
              <w:spacing w:line="240" w:lineRule="auto"/>
              <w:ind w:firstLine="0" w:firstLineChars="0"/>
              <w:jc w:val="center"/>
              <w:rPr>
                <w:rFonts w:hint="eastAsia" w:ascii="Times New Roman" w:hAnsi="Times New Roman" w:eastAsia="宋体" w:cs="Times New Roman"/>
                <w:color w:val="auto"/>
                <w:kern w:val="2"/>
                <w:sz w:val="21"/>
                <w:szCs w:val="18"/>
                <w:lang w:val="en-US" w:eastAsia="zh-CN" w:bidi="ar-SA"/>
              </w:rPr>
            </w:pPr>
            <w:r>
              <w:rPr>
                <w:rFonts w:hint="eastAsia" w:ascii="Times New Roman" w:hAnsi="Times New Roman" w:eastAsia="宋体" w:cs="Times New Roman"/>
                <w:color w:val="auto"/>
                <w:kern w:val="0"/>
                <w:sz w:val="21"/>
                <w:szCs w:val="21"/>
                <w:lang w:val="en-US" w:eastAsia="zh-CN"/>
              </w:rPr>
              <w:t>香樟路空地</w:t>
            </w:r>
          </w:p>
        </w:tc>
        <w:tc>
          <w:tcPr>
            <w:tcW w:w="2431" w:type="dxa"/>
            <w:tcBorders>
              <w:tl2br w:val="nil"/>
              <w:tr2bl w:val="nil"/>
            </w:tcBorders>
            <w:shd w:val="clear" w:color="auto" w:fill="auto"/>
            <w:vAlign w:val="center"/>
          </w:tcPr>
          <w:p w14:paraId="3BDBF3DF">
            <w:pPr>
              <w:jc w:val="center"/>
              <w:rPr>
                <w:rFonts w:hint="eastAsia" w:ascii="Times New Roman" w:hAnsi="Times New Roman" w:eastAsia="宋体" w:cs="Times New Roman"/>
                <w:color w:val="auto"/>
                <w:kern w:val="2"/>
                <w:sz w:val="21"/>
                <w:szCs w:val="18"/>
                <w:lang w:val="en-US" w:eastAsia="zh-CN" w:bidi="ar-SA"/>
              </w:rPr>
            </w:pPr>
            <w:r>
              <w:rPr>
                <w:rFonts w:hint="eastAsia"/>
                <w:color w:val="auto"/>
                <w:lang w:val="en-US" w:eastAsia="zh-CN"/>
              </w:rPr>
              <w:t>SE</w:t>
            </w:r>
          </w:p>
        </w:tc>
        <w:tc>
          <w:tcPr>
            <w:tcW w:w="1252" w:type="pct"/>
            <w:tcBorders>
              <w:tl2br w:val="nil"/>
              <w:tr2bl w:val="nil"/>
            </w:tcBorders>
            <w:shd w:val="clear" w:color="auto" w:fill="auto"/>
            <w:vAlign w:val="center"/>
          </w:tcPr>
          <w:p w14:paraId="7EDAE851">
            <w:pPr>
              <w:bidi w:val="0"/>
              <w:spacing w:line="240" w:lineRule="auto"/>
              <w:jc w:val="center"/>
              <w:rPr>
                <w:rFonts w:hint="default" w:ascii="Times New Roman" w:hAnsi="Times New Roman" w:eastAsia="宋体" w:cs="Times New Roman"/>
                <w:color w:val="auto"/>
                <w:kern w:val="2"/>
                <w:sz w:val="21"/>
                <w:szCs w:val="18"/>
                <w:lang w:val="en-US" w:eastAsia="zh-CN" w:bidi="ar-SA"/>
              </w:rPr>
            </w:pPr>
            <w:r>
              <w:rPr>
                <w:rFonts w:hint="eastAsia" w:ascii="Times New Roman" w:hAnsi="Times New Roman" w:eastAsia="宋体" w:cs="Times New Roman"/>
                <w:color w:val="auto"/>
                <w:sz w:val="21"/>
                <w:szCs w:val="18"/>
                <w:lang w:val="en-US" w:eastAsia="zh-CN"/>
              </w:rPr>
              <w:t>4.3</w:t>
            </w:r>
          </w:p>
        </w:tc>
      </w:tr>
    </w:tbl>
    <w:p w14:paraId="2FD137DE">
      <w:pPr>
        <w:jc w:val="center"/>
        <w:rPr>
          <w:rFonts w:hint="default" w:ascii="Times New Roman" w:hAnsi="Times New Roman" w:cs="Times New Roman"/>
          <w:b/>
          <w:bCs/>
          <w:color w:val="auto"/>
          <w:sz w:val="24"/>
          <w:szCs w:val="32"/>
          <w:lang w:val="en-US" w:eastAsia="zh-CN"/>
        </w:rPr>
      </w:pPr>
    </w:p>
    <w:p w14:paraId="5493AA91">
      <w:pPr>
        <w:spacing w:line="360" w:lineRule="auto"/>
        <w:jc w:val="center"/>
        <w:rPr>
          <w:rFonts w:hint="eastAsia" w:ascii="Times New Roman" w:hAnsi="Times New Roman" w:cs="Times New Roman"/>
          <w:b/>
          <w:bCs/>
          <w:color w:val="auto"/>
          <w:sz w:val="24"/>
          <w:szCs w:val="32"/>
          <w:lang w:val="en-US" w:eastAsia="zh-CN"/>
        </w:rPr>
      </w:pPr>
      <w:bookmarkStart w:id="341" w:name="OLE_LINK116"/>
      <w:r>
        <w:rPr>
          <w:rFonts w:hint="eastAsia" w:ascii="Times New Roman" w:hAnsi="Times New Roman" w:cs="Times New Roman"/>
          <w:b/>
          <w:bCs/>
          <w:color w:val="auto"/>
          <w:sz w:val="24"/>
          <w:szCs w:val="32"/>
          <w:lang w:val="en-US" w:eastAsia="zh-CN"/>
        </w:rPr>
        <w:t>表4-10 地下水水质监测结果一览表</w:t>
      </w:r>
      <w:bookmarkEnd w:id="341"/>
      <w:r>
        <w:rPr>
          <w:rFonts w:hint="eastAsia" w:ascii="Times New Roman" w:hAnsi="Times New Roman" w:cs="Times New Roman"/>
          <w:b/>
          <w:bCs/>
          <w:color w:val="auto"/>
          <w:sz w:val="24"/>
          <w:szCs w:val="32"/>
          <w:lang w:val="en-US" w:eastAsia="zh-CN"/>
        </w:rPr>
        <w:t xml:space="preserve">  单位：mg/L，pH无量纲</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951"/>
        <w:gridCol w:w="1177"/>
        <w:gridCol w:w="1185"/>
        <w:gridCol w:w="1177"/>
        <w:gridCol w:w="1185"/>
        <w:gridCol w:w="1177"/>
        <w:gridCol w:w="1189"/>
      </w:tblGrid>
      <w:tr w14:paraId="74BEF2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vMerge w:val="restart"/>
            <w:tcBorders>
              <w:tl2br w:val="nil"/>
              <w:tr2bl w:val="nil"/>
            </w:tcBorders>
            <w:noWrap w:val="0"/>
            <w:vAlign w:val="center"/>
          </w:tcPr>
          <w:p w14:paraId="10F3E86F">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检测项目</w:t>
            </w:r>
          </w:p>
        </w:tc>
        <w:tc>
          <w:tcPr>
            <w:tcW w:w="478" w:type="pct"/>
            <w:vMerge w:val="restart"/>
            <w:tcBorders>
              <w:tl2br w:val="nil"/>
              <w:tr2bl w:val="nil"/>
            </w:tcBorders>
            <w:shd w:val="clear" w:color="auto" w:fill="auto"/>
            <w:noWrap w:val="0"/>
            <w:vAlign w:val="center"/>
          </w:tcPr>
          <w:p w14:paraId="14BDBD8A">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标准限值</w:t>
            </w:r>
          </w:p>
        </w:tc>
        <w:tc>
          <w:tcPr>
            <w:tcW w:w="1186" w:type="pct"/>
            <w:gridSpan w:val="2"/>
            <w:tcBorders>
              <w:tl2br w:val="nil"/>
              <w:tr2bl w:val="nil"/>
            </w:tcBorders>
            <w:shd w:val="clear" w:color="auto" w:fill="auto"/>
            <w:noWrap w:val="0"/>
            <w:vAlign w:val="center"/>
          </w:tcPr>
          <w:p w14:paraId="561E4082">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D</w:t>
            </w:r>
            <w:r>
              <w:rPr>
                <w:rFonts w:hint="eastAsia" w:ascii="Times New Roman" w:hAnsi="Times New Roman" w:eastAsia="宋体" w:cs="Times New Roman"/>
                <w:b/>
                <w:bCs/>
                <w:color w:val="auto"/>
                <w:sz w:val="21"/>
                <w:szCs w:val="21"/>
                <w:lang w:val="en-US" w:eastAsia="zh-CN"/>
              </w:rPr>
              <w:t>1</w:t>
            </w:r>
            <w:r>
              <w:rPr>
                <w:rFonts w:hint="default" w:ascii="Times New Roman" w:hAnsi="Times New Roman" w:eastAsia="宋体" w:cs="Times New Roman"/>
                <w:b/>
                <w:bCs/>
                <w:color w:val="auto"/>
                <w:sz w:val="21"/>
                <w:szCs w:val="21"/>
              </w:rPr>
              <w:t>黄大庄</w:t>
            </w:r>
          </w:p>
        </w:tc>
        <w:tc>
          <w:tcPr>
            <w:tcW w:w="1186" w:type="pct"/>
            <w:gridSpan w:val="2"/>
            <w:tcBorders>
              <w:tl2br w:val="nil"/>
              <w:tr2bl w:val="nil"/>
            </w:tcBorders>
            <w:noWrap w:val="0"/>
            <w:vAlign w:val="center"/>
          </w:tcPr>
          <w:p w14:paraId="74481820">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D2龙华学校</w:t>
            </w:r>
          </w:p>
        </w:tc>
        <w:tc>
          <w:tcPr>
            <w:tcW w:w="1188" w:type="pct"/>
            <w:gridSpan w:val="2"/>
            <w:tcBorders>
              <w:tl2br w:val="nil"/>
              <w:tr2bl w:val="nil"/>
            </w:tcBorders>
            <w:noWrap w:val="0"/>
            <w:vAlign w:val="center"/>
          </w:tcPr>
          <w:p w14:paraId="19CF7E6B">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D</w:t>
            </w:r>
            <w:r>
              <w:rPr>
                <w:rFonts w:hint="eastAsia" w:ascii="Times New Roman" w:hAnsi="Times New Roman" w:eastAsia="宋体" w:cs="Times New Roman"/>
                <w:b/>
                <w:bCs/>
                <w:color w:val="auto"/>
                <w:sz w:val="21"/>
                <w:szCs w:val="21"/>
                <w:lang w:val="en-US" w:eastAsia="zh-CN"/>
              </w:rPr>
              <w:t>3</w:t>
            </w:r>
            <w:r>
              <w:rPr>
                <w:rFonts w:hint="default" w:ascii="Times New Roman" w:hAnsi="Times New Roman" w:eastAsia="宋体" w:cs="Times New Roman"/>
                <w:b/>
                <w:bCs/>
                <w:color w:val="auto"/>
                <w:sz w:val="21"/>
                <w:szCs w:val="21"/>
              </w:rPr>
              <w:t>香樟路空地</w:t>
            </w:r>
          </w:p>
        </w:tc>
      </w:tr>
      <w:tr w14:paraId="78EED1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vMerge w:val="continue"/>
            <w:tcBorders>
              <w:tl2br w:val="nil"/>
              <w:tr2bl w:val="nil"/>
            </w:tcBorders>
            <w:noWrap w:val="0"/>
            <w:vAlign w:val="center"/>
          </w:tcPr>
          <w:p w14:paraId="7421A0A3">
            <w:pPr>
              <w:widowControl/>
              <w:spacing w:line="240" w:lineRule="auto"/>
              <w:ind w:firstLine="0" w:firstLineChars="0"/>
              <w:jc w:val="center"/>
              <w:rPr>
                <w:rFonts w:hint="default" w:ascii="Times New Roman" w:hAnsi="Times New Roman" w:eastAsia="宋体" w:cs="Times New Roman"/>
                <w:b/>
                <w:bCs/>
                <w:color w:val="auto"/>
                <w:sz w:val="21"/>
                <w:szCs w:val="21"/>
              </w:rPr>
            </w:pPr>
          </w:p>
        </w:tc>
        <w:tc>
          <w:tcPr>
            <w:tcW w:w="478" w:type="pct"/>
            <w:vMerge w:val="continue"/>
            <w:tcBorders>
              <w:tl2br w:val="nil"/>
              <w:tr2bl w:val="nil"/>
            </w:tcBorders>
            <w:shd w:val="clear" w:color="auto" w:fill="auto"/>
            <w:noWrap w:val="0"/>
            <w:vAlign w:val="center"/>
          </w:tcPr>
          <w:p w14:paraId="158A171A">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p>
        </w:tc>
        <w:tc>
          <w:tcPr>
            <w:tcW w:w="591" w:type="pct"/>
            <w:tcBorders>
              <w:tl2br w:val="nil"/>
              <w:tr2bl w:val="nil"/>
            </w:tcBorders>
            <w:shd w:val="clear" w:color="auto" w:fill="auto"/>
            <w:noWrap w:val="0"/>
            <w:vAlign w:val="center"/>
          </w:tcPr>
          <w:p w14:paraId="16F0E5F0">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p>
        </w:tc>
        <w:tc>
          <w:tcPr>
            <w:tcW w:w="595" w:type="pct"/>
            <w:tcBorders>
              <w:tl2br w:val="nil"/>
              <w:tr2bl w:val="nil"/>
            </w:tcBorders>
            <w:noWrap w:val="0"/>
            <w:vAlign w:val="center"/>
          </w:tcPr>
          <w:p w14:paraId="63FFC8EF">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S</w:t>
            </w:r>
            <w:r>
              <w:rPr>
                <w:rFonts w:hint="default" w:ascii="Times New Roman" w:hAnsi="Times New Roman" w:cs="Times New Roman"/>
                <w:color w:val="auto"/>
                <w:sz w:val="24"/>
                <w:szCs w:val="24"/>
                <w:vertAlign w:val="subscript"/>
              </w:rPr>
              <w:t>i</w:t>
            </w:r>
          </w:p>
        </w:tc>
        <w:tc>
          <w:tcPr>
            <w:tcW w:w="591" w:type="pct"/>
            <w:tcBorders>
              <w:tl2br w:val="nil"/>
              <w:tr2bl w:val="nil"/>
            </w:tcBorders>
            <w:noWrap w:val="0"/>
            <w:vAlign w:val="center"/>
          </w:tcPr>
          <w:p w14:paraId="19D4641B">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p>
        </w:tc>
        <w:tc>
          <w:tcPr>
            <w:tcW w:w="595" w:type="pct"/>
            <w:tcBorders>
              <w:tl2br w:val="nil"/>
              <w:tr2bl w:val="nil"/>
            </w:tcBorders>
            <w:noWrap w:val="0"/>
            <w:vAlign w:val="center"/>
          </w:tcPr>
          <w:p w14:paraId="628E7EA3">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default" w:ascii="Times New Roman" w:hAnsi="Times New Roman" w:cs="Times New Roman"/>
                <w:color w:val="auto"/>
                <w:sz w:val="24"/>
                <w:szCs w:val="24"/>
              </w:rPr>
              <w:t>S</w:t>
            </w:r>
            <w:r>
              <w:rPr>
                <w:rFonts w:hint="default" w:ascii="Times New Roman" w:hAnsi="Times New Roman" w:cs="Times New Roman"/>
                <w:color w:val="auto"/>
                <w:sz w:val="24"/>
                <w:szCs w:val="24"/>
                <w:vertAlign w:val="subscript"/>
              </w:rPr>
              <w:t>i</w:t>
            </w:r>
          </w:p>
        </w:tc>
        <w:tc>
          <w:tcPr>
            <w:tcW w:w="591" w:type="pct"/>
            <w:tcBorders>
              <w:tl2br w:val="nil"/>
              <w:tr2bl w:val="nil"/>
            </w:tcBorders>
            <w:noWrap w:val="0"/>
            <w:vAlign w:val="center"/>
          </w:tcPr>
          <w:p w14:paraId="2DA7E970">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p>
        </w:tc>
        <w:tc>
          <w:tcPr>
            <w:tcW w:w="596" w:type="pct"/>
            <w:tcBorders>
              <w:tl2br w:val="nil"/>
              <w:tr2bl w:val="nil"/>
            </w:tcBorders>
            <w:noWrap w:val="0"/>
            <w:vAlign w:val="center"/>
          </w:tcPr>
          <w:p w14:paraId="7C71C616">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S</w:t>
            </w:r>
            <w:r>
              <w:rPr>
                <w:rFonts w:hint="default" w:ascii="Times New Roman" w:hAnsi="Times New Roman" w:cs="Times New Roman"/>
                <w:color w:val="auto"/>
                <w:sz w:val="24"/>
                <w:szCs w:val="24"/>
                <w:vertAlign w:val="subscript"/>
              </w:rPr>
              <w:t>i</w:t>
            </w:r>
          </w:p>
        </w:tc>
      </w:tr>
      <w:tr w14:paraId="44FA22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08124DC">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pH（无量纲）</w:t>
            </w:r>
          </w:p>
        </w:tc>
        <w:tc>
          <w:tcPr>
            <w:tcW w:w="478" w:type="pct"/>
            <w:tcBorders>
              <w:tl2br w:val="nil"/>
              <w:tr2bl w:val="nil"/>
            </w:tcBorders>
            <w:shd w:val="clear" w:color="auto" w:fill="auto"/>
            <w:noWrap w:val="0"/>
            <w:vAlign w:val="center"/>
          </w:tcPr>
          <w:p w14:paraId="170A9CA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6.5~8.5</w:t>
            </w:r>
          </w:p>
        </w:tc>
        <w:tc>
          <w:tcPr>
            <w:tcW w:w="591" w:type="pct"/>
            <w:tcBorders>
              <w:tl2br w:val="nil"/>
              <w:tr2bl w:val="nil"/>
            </w:tcBorders>
            <w:shd w:val="clear" w:color="auto" w:fill="auto"/>
            <w:noWrap w:val="0"/>
            <w:vAlign w:val="center"/>
          </w:tcPr>
          <w:p w14:paraId="5BCF798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7.6</w:t>
            </w:r>
          </w:p>
        </w:tc>
        <w:tc>
          <w:tcPr>
            <w:tcW w:w="595" w:type="pct"/>
            <w:tcBorders>
              <w:tl2br w:val="nil"/>
              <w:tr2bl w:val="nil"/>
            </w:tcBorders>
            <w:noWrap w:val="0"/>
            <w:vAlign w:val="center"/>
          </w:tcPr>
          <w:p w14:paraId="27EC21AA">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w:t>
            </w:r>
          </w:p>
        </w:tc>
        <w:tc>
          <w:tcPr>
            <w:tcW w:w="591" w:type="pct"/>
            <w:tcBorders>
              <w:tl2br w:val="nil"/>
              <w:tr2bl w:val="nil"/>
            </w:tcBorders>
            <w:noWrap w:val="0"/>
            <w:vAlign w:val="center"/>
          </w:tcPr>
          <w:p w14:paraId="147E4A7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7.3</w:t>
            </w:r>
          </w:p>
        </w:tc>
        <w:tc>
          <w:tcPr>
            <w:tcW w:w="595" w:type="pct"/>
            <w:tcBorders>
              <w:tl2br w:val="nil"/>
              <w:tr2bl w:val="nil"/>
            </w:tcBorders>
            <w:noWrap w:val="0"/>
            <w:vAlign w:val="center"/>
          </w:tcPr>
          <w:p w14:paraId="54B74A3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w:t>
            </w:r>
          </w:p>
        </w:tc>
        <w:tc>
          <w:tcPr>
            <w:tcW w:w="591" w:type="pct"/>
            <w:tcBorders>
              <w:tl2br w:val="nil"/>
              <w:tr2bl w:val="nil"/>
            </w:tcBorders>
            <w:noWrap w:val="0"/>
            <w:vAlign w:val="center"/>
          </w:tcPr>
          <w:p w14:paraId="4E15EF42">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7.4</w:t>
            </w:r>
          </w:p>
        </w:tc>
        <w:tc>
          <w:tcPr>
            <w:tcW w:w="596" w:type="pct"/>
            <w:tcBorders>
              <w:tl2br w:val="nil"/>
              <w:tr2bl w:val="nil"/>
            </w:tcBorders>
            <w:noWrap w:val="0"/>
            <w:vAlign w:val="center"/>
          </w:tcPr>
          <w:p w14:paraId="4F28478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r>
      <w:tr w14:paraId="31D899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961" w:type="pct"/>
            <w:tcBorders>
              <w:tl2br w:val="nil"/>
              <w:tr2bl w:val="nil"/>
            </w:tcBorders>
            <w:noWrap w:val="0"/>
            <w:vAlign w:val="center"/>
          </w:tcPr>
          <w:p w14:paraId="3747376C">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氨氮（mg/L）</w:t>
            </w:r>
          </w:p>
        </w:tc>
        <w:tc>
          <w:tcPr>
            <w:tcW w:w="478" w:type="pct"/>
            <w:tcBorders>
              <w:tl2br w:val="nil"/>
              <w:tr2bl w:val="nil"/>
            </w:tcBorders>
            <w:shd w:val="clear" w:color="auto" w:fill="auto"/>
            <w:noWrap w:val="0"/>
            <w:vAlign w:val="center"/>
          </w:tcPr>
          <w:p w14:paraId="1C1952B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c>
          <w:tcPr>
            <w:tcW w:w="591" w:type="pct"/>
            <w:tcBorders>
              <w:tl2br w:val="nil"/>
              <w:tr2bl w:val="nil"/>
            </w:tcBorders>
            <w:shd w:val="clear" w:color="auto" w:fill="auto"/>
            <w:noWrap w:val="0"/>
            <w:vAlign w:val="center"/>
          </w:tcPr>
          <w:p w14:paraId="38F393E7">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0.941</w:t>
            </w:r>
          </w:p>
        </w:tc>
        <w:tc>
          <w:tcPr>
            <w:tcW w:w="595" w:type="pct"/>
            <w:tcBorders>
              <w:tl2br w:val="nil"/>
              <w:tr2bl w:val="nil"/>
            </w:tcBorders>
            <w:noWrap w:val="0"/>
            <w:vAlign w:val="center"/>
          </w:tcPr>
          <w:p w14:paraId="6D90844F">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1.88</w:t>
            </w:r>
          </w:p>
        </w:tc>
        <w:tc>
          <w:tcPr>
            <w:tcW w:w="591" w:type="pct"/>
            <w:tcBorders>
              <w:tl2br w:val="nil"/>
              <w:tr2bl w:val="nil"/>
            </w:tcBorders>
            <w:noWrap w:val="0"/>
            <w:vAlign w:val="center"/>
          </w:tcPr>
          <w:p w14:paraId="1321A87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0.401</w:t>
            </w:r>
          </w:p>
        </w:tc>
        <w:tc>
          <w:tcPr>
            <w:tcW w:w="595" w:type="pct"/>
            <w:tcBorders>
              <w:tl2br w:val="nil"/>
              <w:tr2bl w:val="nil"/>
            </w:tcBorders>
            <w:noWrap w:val="0"/>
            <w:vAlign w:val="center"/>
          </w:tcPr>
          <w:p w14:paraId="513BEB5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w:t>
            </w:r>
          </w:p>
        </w:tc>
        <w:tc>
          <w:tcPr>
            <w:tcW w:w="591" w:type="pct"/>
            <w:tcBorders>
              <w:tl2br w:val="nil"/>
              <w:tr2bl w:val="nil"/>
            </w:tcBorders>
            <w:noWrap w:val="0"/>
            <w:vAlign w:val="center"/>
          </w:tcPr>
          <w:p w14:paraId="2355E1A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0.676</w:t>
            </w:r>
          </w:p>
        </w:tc>
        <w:tc>
          <w:tcPr>
            <w:tcW w:w="596" w:type="pct"/>
            <w:tcBorders>
              <w:tl2br w:val="nil"/>
              <w:tr2bl w:val="nil"/>
            </w:tcBorders>
            <w:noWrap w:val="0"/>
            <w:vAlign w:val="center"/>
          </w:tcPr>
          <w:p w14:paraId="6AB0A9A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1.35</w:t>
            </w:r>
          </w:p>
        </w:tc>
      </w:tr>
      <w:tr w14:paraId="42EFA9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6B92B562">
            <w:pPr>
              <w:widowControl/>
              <w:spacing w:line="240" w:lineRule="auto"/>
              <w:ind w:firstLine="0" w:firstLineChars="0"/>
              <w:jc w:val="center"/>
              <w:rPr>
                <w:rFonts w:hint="default" w:ascii="Times New Roman" w:hAnsi="Times New Roman" w:eastAsia="宋体" w:cs="Times New Roman"/>
                <w:color w:val="auto"/>
                <w:kern w:val="1"/>
                <w:sz w:val="21"/>
                <w:szCs w:val="21"/>
              </w:rPr>
            </w:pPr>
            <w:r>
              <w:rPr>
                <w:rFonts w:hint="default" w:ascii="Times New Roman" w:hAnsi="Times New Roman" w:eastAsia="宋体" w:cs="Times New Roman"/>
                <w:color w:val="auto"/>
                <w:sz w:val="21"/>
                <w:szCs w:val="21"/>
              </w:rPr>
              <w:t>硝酸盐</w:t>
            </w:r>
            <w:r>
              <w:rPr>
                <w:rFonts w:hint="default" w:ascii="Times New Roman" w:hAnsi="Times New Roman" w:eastAsia="宋体" w:cs="Times New Roman"/>
                <w:color w:val="auto"/>
                <w:kern w:val="1"/>
                <w:sz w:val="21"/>
                <w:szCs w:val="21"/>
              </w:rPr>
              <w:t>（以N计）</w:t>
            </w:r>
          </w:p>
          <w:p w14:paraId="163F9D88">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478" w:type="pct"/>
            <w:tcBorders>
              <w:tl2br w:val="nil"/>
              <w:tr2bl w:val="nil"/>
            </w:tcBorders>
            <w:shd w:val="clear" w:color="auto" w:fill="auto"/>
            <w:noWrap w:val="0"/>
            <w:vAlign w:val="center"/>
          </w:tcPr>
          <w:p w14:paraId="146CA31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591" w:type="pct"/>
            <w:tcBorders>
              <w:tl2br w:val="nil"/>
              <w:tr2bl w:val="nil"/>
            </w:tcBorders>
            <w:shd w:val="clear" w:color="auto" w:fill="auto"/>
            <w:noWrap w:val="0"/>
            <w:vAlign w:val="center"/>
          </w:tcPr>
          <w:p w14:paraId="3C11E4DB">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1.38</w:t>
            </w:r>
          </w:p>
        </w:tc>
        <w:tc>
          <w:tcPr>
            <w:tcW w:w="595" w:type="pct"/>
            <w:tcBorders>
              <w:tl2br w:val="nil"/>
              <w:tr2bl w:val="nil"/>
            </w:tcBorders>
            <w:noWrap w:val="0"/>
            <w:vAlign w:val="center"/>
          </w:tcPr>
          <w:p w14:paraId="33472BA4">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0.069</w:t>
            </w:r>
          </w:p>
        </w:tc>
        <w:tc>
          <w:tcPr>
            <w:tcW w:w="591" w:type="pct"/>
            <w:tcBorders>
              <w:tl2br w:val="nil"/>
              <w:tr2bl w:val="nil"/>
            </w:tcBorders>
            <w:noWrap w:val="0"/>
            <w:vAlign w:val="center"/>
          </w:tcPr>
          <w:p w14:paraId="376B14C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2.16</w:t>
            </w:r>
          </w:p>
        </w:tc>
        <w:tc>
          <w:tcPr>
            <w:tcW w:w="595" w:type="pct"/>
            <w:tcBorders>
              <w:tl2br w:val="nil"/>
              <w:tr2bl w:val="nil"/>
            </w:tcBorders>
            <w:noWrap w:val="0"/>
            <w:vAlign w:val="center"/>
          </w:tcPr>
          <w:p w14:paraId="6860CC0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0.11</w:t>
            </w:r>
          </w:p>
        </w:tc>
        <w:tc>
          <w:tcPr>
            <w:tcW w:w="591" w:type="pct"/>
            <w:tcBorders>
              <w:tl2br w:val="nil"/>
              <w:tr2bl w:val="nil"/>
            </w:tcBorders>
            <w:noWrap w:val="0"/>
            <w:vAlign w:val="center"/>
          </w:tcPr>
          <w:p w14:paraId="31AD00D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1.56</w:t>
            </w:r>
          </w:p>
        </w:tc>
        <w:tc>
          <w:tcPr>
            <w:tcW w:w="596" w:type="pct"/>
            <w:tcBorders>
              <w:tl2br w:val="nil"/>
              <w:tr2bl w:val="nil"/>
            </w:tcBorders>
            <w:noWrap w:val="0"/>
            <w:vAlign w:val="center"/>
          </w:tcPr>
          <w:p w14:paraId="413A1DF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0.078</w:t>
            </w:r>
          </w:p>
        </w:tc>
      </w:tr>
      <w:tr w14:paraId="409642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0A8048D8">
            <w:pPr>
              <w:widowControl/>
              <w:spacing w:line="240" w:lineRule="auto"/>
              <w:ind w:firstLine="0" w:firstLineChars="0"/>
              <w:jc w:val="center"/>
              <w:rPr>
                <w:rFonts w:hint="default" w:ascii="Times New Roman" w:hAnsi="Times New Roman" w:eastAsia="宋体" w:cs="Times New Roman"/>
                <w:color w:val="auto"/>
                <w:kern w:val="1"/>
                <w:sz w:val="21"/>
                <w:szCs w:val="21"/>
              </w:rPr>
            </w:pPr>
            <w:r>
              <w:rPr>
                <w:rFonts w:hint="default" w:ascii="Times New Roman" w:hAnsi="Times New Roman" w:eastAsia="宋体" w:cs="Times New Roman"/>
                <w:color w:val="auto"/>
                <w:sz w:val="21"/>
                <w:szCs w:val="21"/>
              </w:rPr>
              <w:t>亚硝酸盐</w:t>
            </w:r>
            <w:r>
              <w:rPr>
                <w:rFonts w:hint="default" w:ascii="Times New Roman" w:hAnsi="Times New Roman" w:eastAsia="宋体" w:cs="Times New Roman"/>
                <w:color w:val="auto"/>
                <w:kern w:val="1"/>
                <w:sz w:val="21"/>
                <w:szCs w:val="21"/>
              </w:rPr>
              <w:t>（以N计）</w:t>
            </w:r>
          </w:p>
          <w:p w14:paraId="59EC7F9D">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478" w:type="pct"/>
            <w:tcBorders>
              <w:tl2br w:val="nil"/>
              <w:tr2bl w:val="nil"/>
            </w:tcBorders>
            <w:shd w:val="clear" w:color="auto" w:fill="auto"/>
            <w:noWrap w:val="0"/>
            <w:vAlign w:val="center"/>
          </w:tcPr>
          <w:p w14:paraId="14115695">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76E71803">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0.721</w:t>
            </w:r>
          </w:p>
        </w:tc>
        <w:tc>
          <w:tcPr>
            <w:tcW w:w="595" w:type="pct"/>
            <w:tcBorders>
              <w:tl2br w:val="nil"/>
              <w:tr2bl w:val="nil"/>
            </w:tcBorders>
            <w:noWrap w:val="0"/>
            <w:vAlign w:val="center"/>
          </w:tcPr>
          <w:p w14:paraId="7F9D7A6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0.72</w:t>
            </w:r>
          </w:p>
        </w:tc>
        <w:tc>
          <w:tcPr>
            <w:tcW w:w="591" w:type="pct"/>
            <w:tcBorders>
              <w:tl2br w:val="nil"/>
              <w:tr2bl w:val="nil"/>
            </w:tcBorders>
            <w:noWrap w:val="0"/>
            <w:vAlign w:val="center"/>
          </w:tcPr>
          <w:p w14:paraId="71AE461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0.791</w:t>
            </w:r>
          </w:p>
        </w:tc>
        <w:tc>
          <w:tcPr>
            <w:tcW w:w="595" w:type="pct"/>
            <w:tcBorders>
              <w:tl2br w:val="nil"/>
              <w:tr2bl w:val="nil"/>
            </w:tcBorders>
            <w:noWrap w:val="0"/>
            <w:vAlign w:val="center"/>
          </w:tcPr>
          <w:p w14:paraId="73B5850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0.79</w:t>
            </w:r>
          </w:p>
        </w:tc>
        <w:tc>
          <w:tcPr>
            <w:tcW w:w="591" w:type="pct"/>
            <w:tcBorders>
              <w:tl2br w:val="nil"/>
              <w:tr2bl w:val="nil"/>
            </w:tcBorders>
            <w:noWrap w:val="0"/>
            <w:vAlign w:val="center"/>
          </w:tcPr>
          <w:p w14:paraId="677D7338">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0.663</w:t>
            </w:r>
          </w:p>
        </w:tc>
        <w:tc>
          <w:tcPr>
            <w:tcW w:w="596" w:type="pct"/>
            <w:tcBorders>
              <w:tl2br w:val="nil"/>
              <w:tr2bl w:val="nil"/>
            </w:tcBorders>
            <w:noWrap w:val="0"/>
            <w:vAlign w:val="center"/>
          </w:tcPr>
          <w:p w14:paraId="30E5CB2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0.66</w:t>
            </w:r>
          </w:p>
        </w:tc>
      </w:tr>
      <w:tr w14:paraId="5D7E82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3B52E30">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挥发酚（mg/L）</w:t>
            </w:r>
          </w:p>
        </w:tc>
        <w:tc>
          <w:tcPr>
            <w:tcW w:w="478" w:type="pct"/>
            <w:tcBorders>
              <w:tl2br w:val="nil"/>
              <w:tr2bl w:val="nil"/>
            </w:tcBorders>
            <w:shd w:val="clear" w:color="auto" w:fill="auto"/>
            <w:noWrap w:val="0"/>
            <w:vAlign w:val="center"/>
          </w:tcPr>
          <w:p w14:paraId="4760EDF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0.02</w:t>
            </w:r>
          </w:p>
        </w:tc>
        <w:tc>
          <w:tcPr>
            <w:tcW w:w="591" w:type="pct"/>
            <w:tcBorders>
              <w:tl2br w:val="nil"/>
              <w:tr2bl w:val="nil"/>
            </w:tcBorders>
            <w:shd w:val="clear" w:color="auto" w:fill="auto"/>
            <w:noWrap w:val="0"/>
            <w:vAlign w:val="center"/>
          </w:tcPr>
          <w:p w14:paraId="7886C2E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18A23CE">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C638FC6">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76834007">
            <w:pPr>
              <w:widowControl/>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FF281D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6E746475">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6ADBE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1C60D06">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氰化物（mg/L）</w:t>
            </w:r>
          </w:p>
        </w:tc>
        <w:tc>
          <w:tcPr>
            <w:tcW w:w="478" w:type="pct"/>
            <w:tcBorders>
              <w:tl2br w:val="nil"/>
              <w:tr2bl w:val="nil"/>
            </w:tcBorders>
            <w:shd w:val="clear" w:color="auto" w:fill="auto"/>
            <w:noWrap w:val="0"/>
            <w:vAlign w:val="center"/>
          </w:tcPr>
          <w:p w14:paraId="028C71E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591" w:type="pct"/>
            <w:tcBorders>
              <w:tl2br w:val="nil"/>
              <w:tr2bl w:val="nil"/>
            </w:tcBorders>
            <w:shd w:val="clear" w:color="auto" w:fill="auto"/>
            <w:noWrap w:val="0"/>
            <w:vAlign w:val="center"/>
          </w:tcPr>
          <w:p w14:paraId="79D8EB2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C9614B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6179603">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2B2D179">
            <w:pPr>
              <w:widowControl/>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185CC682">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7537DCE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08B4D4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DCA32C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六价铬（mg/L）</w:t>
            </w:r>
          </w:p>
        </w:tc>
        <w:tc>
          <w:tcPr>
            <w:tcW w:w="478" w:type="pct"/>
            <w:tcBorders>
              <w:tl2br w:val="nil"/>
              <w:tr2bl w:val="nil"/>
            </w:tcBorders>
            <w:shd w:val="clear" w:color="auto" w:fill="auto"/>
            <w:noWrap w:val="0"/>
            <w:vAlign w:val="center"/>
          </w:tcPr>
          <w:p w14:paraId="19B9E16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591" w:type="pct"/>
            <w:tcBorders>
              <w:tl2br w:val="nil"/>
              <w:tr2bl w:val="nil"/>
            </w:tcBorders>
            <w:shd w:val="clear" w:color="auto" w:fill="auto"/>
            <w:noWrap w:val="0"/>
            <w:vAlign w:val="center"/>
          </w:tcPr>
          <w:p w14:paraId="2D768060">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90ACDAF">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9CE4F49">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72925F2">
            <w:pPr>
              <w:widowControl/>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B1426F3">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51A22CD3">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771690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575DF39">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总硬度（mg/L）</w:t>
            </w:r>
          </w:p>
        </w:tc>
        <w:tc>
          <w:tcPr>
            <w:tcW w:w="478" w:type="pct"/>
            <w:tcBorders>
              <w:tl2br w:val="nil"/>
              <w:tr2bl w:val="nil"/>
            </w:tcBorders>
            <w:shd w:val="clear" w:color="auto" w:fill="auto"/>
            <w:noWrap w:val="0"/>
            <w:vAlign w:val="center"/>
          </w:tcPr>
          <w:p w14:paraId="52E73DD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450</w:t>
            </w:r>
          </w:p>
        </w:tc>
        <w:tc>
          <w:tcPr>
            <w:tcW w:w="591" w:type="pct"/>
            <w:tcBorders>
              <w:tl2br w:val="nil"/>
              <w:tr2bl w:val="nil"/>
            </w:tcBorders>
            <w:shd w:val="clear" w:color="auto" w:fill="auto"/>
            <w:noWrap w:val="0"/>
            <w:vAlign w:val="center"/>
          </w:tcPr>
          <w:p w14:paraId="54DF9867">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164</w:t>
            </w:r>
          </w:p>
        </w:tc>
        <w:tc>
          <w:tcPr>
            <w:tcW w:w="595" w:type="pct"/>
            <w:tcBorders>
              <w:tl2br w:val="nil"/>
              <w:tr2bl w:val="nil"/>
            </w:tcBorders>
            <w:noWrap w:val="0"/>
            <w:vAlign w:val="center"/>
          </w:tcPr>
          <w:p w14:paraId="7A22961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0.36</w:t>
            </w:r>
          </w:p>
        </w:tc>
        <w:tc>
          <w:tcPr>
            <w:tcW w:w="591" w:type="pct"/>
            <w:tcBorders>
              <w:tl2br w:val="nil"/>
              <w:tr2bl w:val="nil"/>
            </w:tcBorders>
            <w:noWrap w:val="0"/>
            <w:vAlign w:val="center"/>
          </w:tcPr>
          <w:p w14:paraId="45E03D3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77</w:t>
            </w:r>
          </w:p>
        </w:tc>
        <w:tc>
          <w:tcPr>
            <w:tcW w:w="595" w:type="pct"/>
            <w:tcBorders>
              <w:tl2br w:val="nil"/>
              <w:tr2bl w:val="nil"/>
            </w:tcBorders>
            <w:noWrap w:val="0"/>
            <w:vAlign w:val="center"/>
          </w:tcPr>
          <w:p w14:paraId="3796464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0.17</w:t>
            </w:r>
          </w:p>
        </w:tc>
        <w:tc>
          <w:tcPr>
            <w:tcW w:w="591" w:type="pct"/>
            <w:tcBorders>
              <w:tl2br w:val="nil"/>
              <w:tr2bl w:val="nil"/>
            </w:tcBorders>
            <w:noWrap w:val="0"/>
            <w:vAlign w:val="center"/>
          </w:tcPr>
          <w:p w14:paraId="6D2E24A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258</w:t>
            </w:r>
          </w:p>
        </w:tc>
        <w:tc>
          <w:tcPr>
            <w:tcW w:w="596" w:type="pct"/>
            <w:tcBorders>
              <w:tl2br w:val="nil"/>
              <w:tr2bl w:val="nil"/>
            </w:tcBorders>
            <w:noWrap w:val="0"/>
            <w:vAlign w:val="center"/>
          </w:tcPr>
          <w:p w14:paraId="3A1EC7C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0.57</w:t>
            </w:r>
          </w:p>
        </w:tc>
      </w:tr>
      <w:tr w14:paraId="0911AD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B7A051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溶解性总固体（mg/L）</w:t>
            </w:r>
          </w:p>
        </w:tc>
        <w:tc>
          <w:tcPr>
            <w:tcW w:w="478" w:type="pct"/>
            <w:tcBorders>
              <w:tl2br w:val="nil"/>
              <w:tr2bl w:val="nil"/>
            </w:tcBorders>
            <w:shd w:val="clear" w:color="auto" w:fill="auto"/>
            <w:noWrap w:val="0"/>
            <w:vAlign w:val="center"/>
          </w:tcPr>
          <w:p w14:paraId="66B3ABE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w:t>
            </w:r>
          </w:p>
        </w:tc>
        <w:tc>
          <w:tcPr>
            <w:tcW w:w="591" w:type="pct"/>
            <w:tcBorders>
              <w:tl2br w:val="nil"/>
              <w:tr2bl w:val="nil"/>
            </w:tcBorders>
            <w:shd w:val="clear" w:color="auto" w:fill="auto"/>
            <w:noWrap w:val="0"/>
            <w:vAlign w:val="center"/>
          </w:tcPr>
          <w:p w14:paraId="760444D9">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419</w:t>
            </w:r>
          </w:p>
        </w:tc>
        <w:tc>
          <w:tcPr>
            <w:tcW w:w="595" w:type="pct"/>
            <w:tcBorders>
              <w:tl2br w:val="nil"/>
              <w:tr2bl w:val="nil"/>
            </w:tcBorders>
            <w:noWrap w:val="0"/>
            <w:vAlign w:val="center"/>
          </w:tcPr>
          <w:p w14:paraId="09D41E45">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0.42</w:t>
            </w:r>
          </w:p>
        </w:tc>
        <w:tc>
          <w:tcPr>
            <w:tcW w:w="591" w:type="pct"/>
            <w:tcBorders>
              <w:tl2br w:val="nil"/>
              <w:tr2bl w:val="nil"/>
            </w:tcBorders>
            <w:noWrap w:val="0"/>
            <w:vAlign w:val="center"/>
          </w:tcPr>
          <w:p w14:paraId="0BAD57D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554</w:t>
            </w:r>
          </w:p>
        </w:tc>
        <w:tc>
          <w:tcPr>
            <w:tcW w:w="595" w:type="pct"/>
            <w:tcBorders>
              <w:tl2br w:val="nil"/>
              <w:tr2bl w:val="nil"/>
            </w:tcBorders>
            <w:noWrap w:val="0"/>
            <w:vAlign w:val="center"/>
          </w:tcPr>
          <w:p w14:paraId="5F6D9BB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0.55</w:t>
            </w:r>
          </w:p>
        </w:tc>
        <w:tc>
          <w:tcPr>
            <w:tcW w:w="591" w:type="pct"/>
            <w:tcBorders>
              <w:tl2br w:val="nil"/>
              <w:tr2bl w:val="nil"/>
            </w:tcBorders>
            <w:noWrap w:val="0"/>
            <w:vAlign w:val="center"/>
          </w:tcPr>
          <w:p w14:paraId="7E8B673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424</w:t>
            </w:r>
          </w:p>
        </w:tc>
        <w:tc>
          <w:tcPr>
            <w:tcW w:w="596" w:type="pct"/>
            <w:tcBorders>
              <w:tl2br w:val="nil"/>
              <w:tr2bl w:val="nil"/>
            </w:tcBorders>
            <w:noWrap w:val="0"/>
            <w:vAlign w:val="center"/>
          </w:tcPr>
          <w:p w14:paraId="6C76A3B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0.42</w:t>
            </w:r>
          </w:p>
        </w:tc>
      </w:tr>
      <w:tr w14:paraId="34EF34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5F60AA0">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耗氧量（mg/L）</w:t>
            </w:r>
          </w:p>
        </w:tc>
        <w:tc>
          <w:tcPr>
            <w:tcW w:w="478" w:type="pct"/>
            <w:tcBorders>
              <w:tl2br w:val="nil"/>
              <w:tr2bl w:val="nil"/>
            </w:tcBorders>
            <w:shd w:val="clear" w:color="auto" w:fill="auto"/>
            <w:noWrap w:val="0"/>
            <w:vAlign w:val="center"/>
          </w:tcPr>
          <w:p w14:paraId="5DAFF56A">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591" w:type="pct"/>
            <w:tcBorders>
              <w:tl2br w:val="nil"/>
              <w:tr2bl w:val="nil"/>
            </w:tcBorders>
            <w:shd w:val="clear" w:color="auto" w:fill="auto"/>
            <w:noWrap w:val="0"/>
            <w:vAlign w:val="center"/>
          </w:tcPr>
          <w:p w14:paraId="1F7E29B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w:t>
            </w:r>
          </w:p>
        </w:tc>
        <w:tc>
          <w:tcPr>
            <w:tcW w:w="595" w:type="pct"/>
            <w:tcBorders>
              <w:tl2br w:val="nil"/>
              <w:tr2bl w:val="nil"/>
            </w:tcBorders>
            <w:noWrap w:val="0"/>
            <w:vAlign w:val="center"/>
          </w:tcPr>
          <w:p w14:paraId="423FD4A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0.83</w:t>
            </w:r>
          </w:p>
        </w:tc>
        <w:tc>
          <w:tcPr>
            <w:tcW w:w="591" w:type="pct"/>
            <w:tcBorders>
              <w:tl2br w:val="nil"/>
              <w:tr2bl w:val="nil"/>
            </w:tcBorders>
            <w:noWrap w:val="0"/>
            <w:vAlign w:val="center"/>
          </w:tcPr>
          <w:p w14:paraId="56B4CF7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w:t>
            </w:r>
          </w:p>
        </w:tc>
        <w:tc>
          <w:tcPr>
            <w:tcW w:w="595" w:type="pct"/>
            <w:tcBorders>
              <w:tl2br w:val="nil"/>
              <w:tr2bl w:val="nil"/>
            </w:tcBorders>
            <w:noWrap w:val="0"/>
            <w:vAlign w:val="center"/>
          </w:tcPr>
          <w:p w14:paraId="33C3D47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0.97</w:t>
            </w:r>
          </w:p>
        </w:tc>
        <w:tc>
          <w:tcPr>
            <w:tcW w:w="591" w:type="pct"/>
            <w:tcBorders>
              <w:tl2br w:val="nil"/>
              <w:tr2bl w:val="nil"/>
            </w:tcBorders>
            <w:noWrap w:val="0"/>
            <w:vAlign w:val="center"/>
          </w:tcPr>
          <w:p w14:paraId="1DAD8E6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596" w:type="pct"/>
            <w:tcBorders>
              <w:tl2br w:val="nil"/>
              <w:tr2bl w:val="nil"/>
            </w:tcBorders>
            <w:noWrap w:val="0"/>
            <w:vAlign w:val="center"/>
          </w:tcPr>
          <w:p w14:paraId="1C6D8F2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0.93</w:t>
            </w:r>
          </w:p>
        </w:tc>
      </w:tr>
      <w:tr w14:paraId="78BE65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96B5435">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氯化物（mg/L）</w:t>
            </w:r>
          </w:p>
        </w:tc>
        <w:tc>
          <w:tcPr>
            <w:tcW w:w="478" w:type="pct"/>
            <w:tcBorders>
              <w:tl2br w:val="nil"/>
              <w:tr2bl w:val="nil"/>
            </w:tcBorders>
            <w:shd w:val="clear" w:color="auto" w:fill="auto"/>
            <w:noWrap w:val="0"/>
            <w:vAlign w:val="center"/>
          </w:tcPr>
          <w:p w14:paraId="64D358C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w:t>
            </w:r>
          </w:p>
        </w:tc>
        <w:tc>
          <w:tcPr>
            <w:tcW w:w="591" w:type="pct"/>
            <w:tcBorders>
              <w:tl2br w:val="nil"/>
              <w:tr2bl w:val="nil"/>
            </w:tcBorders>
            <w:shd w:val="clear" w:color="auto" w:fill="auto"/>
            <w:noWrap w:val="0"/>
            <w:vAlign w:val="center"/>
          </w:tcPr>
          <w:p w14:paraId="7BADD7E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51.2</w:t>
            </w:r>
          </w:p>
        </w:tc>
        <w:tc>
          <w:tcPr>
            <w:tcW w:w="595" w:type="pct"/>
            <w:tcBorders>
              <w:tl2br w:val="nil"/>
              <w:tr2bl w:val="nil"/>
            </w:tcBorders>
            <w:noWrap w:val="0"/>
            <w:vAlign w:val="center"/>
          </w:tcPr>
          <w:p w14:paraId="10CA348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0.20</w:t>
            </w:r>
          </w:p>
        </w:tc>
        <w:tc>
          <w:tcPr>
            <w:tcW w:w="591" w:type="pct"/>
            <w:tcBorders>
              <w:tl2br w:val="nil"/>
              <w:tr2bl w:val="nil"/>
            </w:tcBorders>
            <w:noWrap w:val="0"/>
            <w:vAlign w:val="center"/>
          </w:tcPr>
          <w:p w14:paraId="42705A7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95.7</w:t>
            </w:r>
          </w:p>
        </w:tc>
        <w:tc>
          <w:tcPr>
            <w:tcW w:w="595" w:type="pct"/>
            <w:tcBorders>
              <w:tl2br w:val="nil"/>
              <w:tr2bl w:val="nil"/>
            </w:tcBorders>
            <w:noWrap w:val="0"/>
            <w:vAlign w:val="center"/>
          </w:tcPr>
          <w:p w14:paraId="539F3D4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0.38</w:t>
            </w:r>
          </w:p>
        </w:tc>
        <w:tc>
          <w:tcPr>
            <w:tcW w:w="591" w:type="pct"/>
            <w:tcBorders>
              <w:tl2br w:val="nil"/>
              <w:tr2bl w:val="nil"/>
            </w:tcBorders>
            <w:noWrap w:val="0"/>
            <w:vAlign w:val="center"/>
          </w:tcPr>
          <w:p w14:paraId="2068476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55.4</w:t>
            </w:r>
          </w:p>
        </w:tc>
        <w:tc>
          <w:tcPr>
            <w:tcW w:w="596" w:type="pct"/>
            <w:tcBorders>
              <w:tl2br w:val="nil"/>
              <w:tr2bl w:val="nil"/>
            </w:tcBorders>
            <w:noWrap w:val="0"/>
            <w:vAlign w:val="center"/>
          </w:tcPr>
          <w:p w14:paraId="5CE25EE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0.22</w:t>
            </w:r>
          </w:p>
        </w:tc>
      </w:tr>
      <w:tr w14:paraId="21F037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740AC90B">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硫酸盐（mg/L）</w:t>
            </w:r>
          </w:p>
        </w:tc>
        <w:tc>
          <w:tcPr>
            <w:tcW w:w="478" w:type="pct"/>
            <w:tcBorders>
              <w:tl2br w:val="nil"/>
              <w:tr2bl w:val="nil"/>
            </w:tcBorders>
            <w:shd w:val="clear" w:color="auto" w:fill="auto"/>
            <w:noWrap w:val="0"/>
            <w:vAlign w:val="center"/>
          </w:tcPr>
          <w:p w14:paraId="6F7C591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w:t>
            </w:r>
          </w:p>
        </w:tc>
        <w:tc>
          <w:tcPr>
            <w:tcW w:w="591" w:type="pct"/>
            <w:tcBorders>
              <w:tl2br w:val="nil"/>
              <w:tr2bl w:val="nil"/>
            </w:tcBorders>
            <w:shd w:val="clear" w:color="auto" w:fill="auto"/>
            <w:noWrap w:val="0"/>
            <w:vAlign w:val="center"/>
          </w:tcPr>
          <w:p w14:paraId="324BC96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55.3</w:t>
            </w:r>
          </w:p>
        </w:tc>
        <w:tc>
          <w:tcPr>
            <w:tcW w:w="595" w:type="pct"/>
            <w:tcBorders>
              <w:tl2br w:val="nil"/>
              <w:tr2bl w:val="nil"/>
            </w:tcBorders>
            <w:noWrap w:val="0"/>
            <w:vAlign w:val="center"/>
          </w:tcPr>
          <w:p w14:paraId="33DDDE4E">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0.22</w:t>
            </w:r>
          </w:p>
        </w:tc>
        <w:tc>
          <w:tcPr>
            <w:tcW w:w="591" w:type="pct"/>
            <w:tcBorders>
              <w:tl2br w:val="nil"/>
              <w:tr2bl w:val="nil"/>
            </w:tcBorders>
            <w:noWrap w:val="0"/>
            <w:vAlign w:val="center"/>
          </w:tcPr>
          <w:p w14:paraId="123956D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214</w:t>
            </w:r>
          </w:p>
        </w:tc>
        <w:tc>
          <w:tcPr>
            <w:tcW w:w="595" w:type="pct"/>
            <w:tcBorders>
              <w:tl2br w:val="nil"/>
              <w:tr2bl w:val="nil"/>
            </w:tcBorders>
            <w:noWrap w:val="0"/>
            <w:vAlign w:val="center"/>
          </w:tcPr>
          <w:p w14:paraId="6BED9A4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0.86</w:t>
            </w:r>
          </w:p>
        </w:tc>
        <w:tc>
          <w:tcPr>
            <w:tcW w:w="591" w:type="pct"/>
            <w:tcBorders>
              <w:tl2br w:val="nil"/>
              <w:tr2bl w:val="nil"/>
            </w:tcBorders>
            <w:noWrap w:val="0"/>
            <w:vAlign w:val="center"/>
          </w:tcPr>
          <w:p w14:paraId="6B6D0F3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60.3</w:t>
            </w:r>
          </w:p>
        </w:tc>
        <w:tc>
          <w:tcPr>
            <w:tcW w:w="596" w:type="pct"/>
            <w:tcBorders>
              <w:tl2br w:val="nil"/>
              <w:tr2bl w:val="nil"/>
            </w:tcBorders>
            <w:noWrap w:val="0"/>
            <w:vAlign w:val="center"/>
          </w:tcPr>
          <w:p w14:paraId="47CAB6C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0.21</w:t>
            </w:r>
          </w:p>
        </w:tc>
      </w:tr>
      <w:tr w14:paraId="470F4A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448713EF">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氟化物（mg/L）</w:t>
            </w:r>
          </w:p>
        </w:tc>
        <w:tc>
          <w:tcPr>
            <w:tcW w:w="478" w:type="pct"/>
            <w:tcBorders>
              <w:tl2br w:val="nil"/>
              <w:tr2bl w:val="nil"/>
            </w:tcBorders>
            <w:shd w:val="clear" w:color="auto" w:fill="auto"/>
            <w:noWrap w:val="0"/>
            <w:vAlign w:val="center"/>
          </w:tcPr>
          <w:p w14:paraId="339E2677">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7AC6A38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0.98</w:t>
            </w:r>
          </w:p>
        </w:tc>
        <w:tc>
          <w:tcPr>
            <w:tcW w:w="595" w:type="pct"/>
            <w:tcBorders>
              <w:tl2br w:val="nil"/>
              <w:tr2bl w:val="nil"/>
            </w:tcBorders>
            <w:noWrap w:val="0"/>
            <w:vAlign w:val="center"/>
          </w:tcPr>
          <w:p w14:paraId="0DA4E99A">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0.98</w:t>
            </w:r>
          </w:p>
        </w:tc>
        <w:tc>
          <w:tcPr>
            <w:tcW w:w="591" w:type="pct"/>
            <w:tcBorders>
              <w:tl2br w:val="nil"/>
              <w:tr2bl w:val="nil"/>
            </w:tcBorders>
            <w:noWrap w:val="0"/>
            <w:vAlign w:val="center"/>
          </w:tcPr>
          <w:p w14:paraId="68C85A3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0.971</w:t>
            </w:r>
          </w:p>
        </w:tc>
        <w:tc>
          <w:tcPr>
            <w:tcW w:w="595" w:type="pct"/>
            <w:tcBorders>
              <w:tl2br w:val="nil"/>
              <w:tr2bl w:val="nil"/>
            </w:tcBorders>
            <w:noWrap w:val="0"/>
            <w:vAlign w:val="center"/>
          </w:tcPr>
          <w:p w14:paraId="4542BE9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0.97</w:t>
            </w:r>
          </w:p>
        </w:tc>
        <w:tc>
          <w:tcPr>
            <w:tcW w:w="591" w:type="pct"/>
            <w:tcBorders>
              <w:tl2br w:val="nil"/>
              <w:tr2bl w:val="nil"/>
            </w:tcBorders>
            <w:noWrap w:val="0"/>
            <w:vAlign w:val="center"/>
          </w:tcPr>
          <w:p w14:paraId="13F07AA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0.969</w:t>
            </w:r>
          </w:p>
        </w:tc>
        <w:tc>
          <w:tcPr>
            <w:tcW w:w="596" w:type="pct"/>
            <w:tcBorders>
              <w:tl2br w:val="nil"/>
              <w:tr2bl w:val="nil"/>
            </w:tcBorders>
            <w:noWrap w:val="0"/>
            <w:vAlign w:val="center"/>
          </w:tcPr>
          <w:p w14:paraId="2299D4AB">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0.96</w:t>
            </w:r>
          </w:p>
        </w:tc>
      </w:tr>
      <w:tr w14:paraId="17253B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381488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铜（µg/L）</w:t>
            </w:r>
          </w:p>
        </w:tc>
        <w:tc>
          <w:tcPr>
            <w:tcW w:w="478" w:type="pct"/>
            <w:tcBorders>
              <w:tl2br w:val="nil"/>
              <w:tr2bl w:val="nil"/>
            </w:tcBorders>
            <w:shd w:val="clear" w:color="auto" w:fill="auto"/>
            <w:noWrap w:val="0"/>
            <w:vAlign w:val="center"/>
          </w:tcPr>
          <w:p w14:paraId="666A9017">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49889C9F">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8C7D760">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2DAD89D">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10F6902A">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83CC76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794F9FC4">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69C56A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ADE7C2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锌（mg/L）</w:t>
            </w:r>
          </w:p>
        </w:tc>
        <w:tc>
          <w:tcPr>
            <w:tcW w:w="478" w:type="pct"/>
            <w:tcBorders>
              <w:tl2br w:val="nil"/>
              <w:tr2bl w:val="nil"/>
            </w:tcBorders>
            <w:shd w:val="clear" w:color="auto" w:fill="auto"/>
            <w:noWrap w:val="0"/>
            <w:vAlign w:val="center"/>
          </w:tcPr>
          <w:p w14:paraId="7E9D4717">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559CAE64">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E1CE674">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CC3E583">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2F2ECD54">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31B6324A">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65D7C8BC">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47AC2C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D6D4688">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铁（mg/L）</w:t>
            </w:r>
          </w:p>
        </w:tc>
        <w:tc>
          <w:tcPr>
            <w:tcW w:w="478" w:type="pct"/>
            <w:tcBorders>
              <w:tl2br w:val="nil"/>
              <w:tr2bl w:val="nil"/>
            </w:tcBorders>
            <w:shd w:val="clear" w:color="auto" w:fill="auto"/>
            <w:noWrap w:val="0"/>
            <w:vAlign w:val="center"/>
          </w:tcPr>
          <w:p w14:paraId="7436DD2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1" w:type="pct"/>
            <w:tcBorders>
              <w:tl2br w:val="nil"/>
              <w:tr2bl w:val="nil"/>
            </w:tcBorders>
            <w:shd w:val="clear" w:color="auto" w:fill="auto"/>
            <w:noWrap w:val="0"/>
            <w:vAlign w:val="center"/>
          </w:tcPr>
          <w:p w14:paraId="5247A18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388DBD3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352AEE2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4618F58">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019825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0.27</w:t>
            </w:r>
          </w:p>
        </w:tc>
        <w:tc>
          <w:tcPr>
            <w:tcW w:w="596" w:type="pct"/>
            <w:tcBorders>
              <w:tl2br w:val="nil"/>
              <w:tr2bl w:val="nil"/>
            </w:tcBorders>
            <w:noWrap w:val="0"/>
            <w:vAlign w:val="center"/>
          </w:tcPr>
          <w:p w14:paraId="15E018F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w:t>
            </w:r>
          </w:p>
        </w:tc>
      </w:tr>
      <w:tr w14:paraId="63BB8E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4AD333E3">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锰（mg/L）</w:t>
            </w:r>
          </w:p>
        </w:tc>
        <w:tc>
          <w:tcPr>
            <w:tcW w:w="478" w:type="pct"/>
            <w:tcBorders>
              <w:tl2br w:val="nil"/>
              <w:tr2bl w:val="nil"/>
            </w:tcBorders>
            <w:shd w:val="clear" w:color="auto" w:fill="auto"/>
            <w:noWrap w:val="0"/>
            <w:vAlign w:val="center"/>
          </w:tcPr>
          <w:p w14:paraId="38F347E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w:t>
            </w:r>
          </w:p>
        </w:tc>
        <w:tc>
          <w:tcPr>
            <w:tcW w:w="591" w:type="pct"/>
            <w:tcBorders>
              <w:tl2br w:val="nil"/>
              <w:tr2bl w:val="nil"/>
            </w:tcBorders>
            <w:shd w:val="clear" w:color="auto" w:fill="auto"/>
            <w:noWrap w:val="0"/>
            <w:vAlign w:val="center"/>
          </w:tcPr>
          <w:p w14:paraId="229F3996">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0.03</w:t>
            </w:r>
          </w:p>
        </w:tc>
        <w:tc>
          <w:tcPr>
            <w:tcW w:w="595" w:type="pct"/>
            <w:tcBorders>
              <w:tl2br w:val="nil"/>
              <w:tr2bl w:val="nil"/>
            </w:tcBorders>
            <w:noWrap w:val="0"/>
            <w:vAlign w:val="center"/>
          </w:tcPr>
          <w:p w14:paraId="19FC369B">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c>
          <w:tcPr>
            <w:tcW w:w="591" w:type="pct"/>
            <w:tcBorders>
              <w:tl2br w:val="nil"/>
              <w:tr2bl w:val="nil"/>
            </w:tcBorders>
            <w:noWrap w:val="0"/>
            <w:vAlign w:val="center"/>
          </w:tcPr>
          <w:p w14:paraId="26198EB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5" w:type="pct"/>
            <w:tcBorders>
              <w:tl2br w:val="nil"/>
              <w:tr2bl w:val="nil"/>
            </w:tcBorders>
            <w:noWrap w:val="0"/>
            <w:vAlign w:val="center"/>
          </w:tcPr>
          <w:p w14:paraId="63431D2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1" w:type="pct"/>
            <w:tcBorders>
              <w:tl2br w:val="nil"/>
              <w:tr2bl w:val="nil"/>
            </w:tcBorders>
            <w:noWrap w:val="0"/>
            <w:vAlign w:val="center"/>
          </w:tcPr>
          <w:p w14:paraId="11FE7F0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0.04</w:t>
            </w:r>
          </w:p>
        </w:tc>
        <w:tc>
          <w:tcPr>
            <w:tcW w:w="596" w:type="pct"/>
            <w:tcBorders>
              <w:tl2br w:val="nil"/>
              <w:tr2bl w:val="nil"/>
            </w:tcBorders>
            <w:noWrap w:val="0"/>
            <w:vAlign w:val="center"/>
          </w:tcPr>
          <w:p w14:paraId="511BA36E">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w:t>
            </w:r>
          </w:p>
        </w:tc>
      </w:tr>
      <w:tr w14:paraId="7CEFCF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6BDD6EA2">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铅（mg/L）</w:t>
            </w:r>
          </w:p>
        </w:tc>
        <w:tc>
          <w:tcPr>
            <w:tcW w:w="478" w:type="pct"/>
            <w:tcBorders>
              <w:tl2br w:val="nil"/>
              <w:tr2bl w:val="nil"/>
            </w:tcBorders>
            <w:shd w:val="clear" w:color="auto" w:fill="auto"/>
            <w:noWrap w:val="0"/>
            <w:vAlign w:val="center"/>
          </w:tcPr>
          <w:p w14:paraId="151449D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w:t>
            </w:r>
          </w:p>
        </w:tc>
        <w:tc>
          <w:tcPr>
            <w:tcW w:w="591" w:type="pct"/>
            <w:tcBorders>
              <w:tl2br w:val="nil"/>
              <w:tr2bl w:val="nil"/>
            </w:tcBorders>
            <w:shd w:val="clear" w:color="auto" w:fill="auto"/>
            <w:noWrap w:val="0"/>
            <w:vAlign w:val="center"/>
          </w:tcPr>
          <w:p w14:paraId="1C1C9819">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0.00912</w:t>
            </w:r>
          </w:p>
        </w:tc>
        <w:tc>
          <w:tcPr>
            <w:tcW w:w="595" w:type="pct"/>
            <w:tcBorders>
              <w:tl2br w:val="nil"/>
              <w:tr2bl w:val="nil"/>
            </w:tcBorders>
            <w:noWrap w:val="0"/>
            <w:vAlign w:val="center"/>
          </w:tcPr>
          <w:p w14:paraId="76239C2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0.91</w:t>
            </w:r>
          </w:p>
        </w:tc>
        <w:tc>
          <w:tcPr>
            <w:tcW w:w="591" w:type="pct"/>
            <w:tcBorders>
              <w:tl2br w:val="nil"/>
              <w:tr2bl w:val="nil"/>
            </w:tcBorders>
            <w:noWrap w:val="0"/>
            <w:vAlign w:val="center"/>
          </w:tcPr>
          <w:p w14:paraId="7D4FE66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0.00882</w:t>
            </w:r>
          </w:p>
        </w:tc>
        <w:tc>
          <w:tcPr>
            <w:tcW w:w="595" w:type="pct"/>
            <w:tcBorders>
              <w:tl2br w:val="nil"/>
              <w:tr2bl w:val="nil"/>
            </w:tcBorders>
            <w:noWrap w:val="0"/>
            <w:vAlign w:val="center"/>
          </w:tcPr>
          <w:p w14:paraId="3641F78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0.88</w:t>
            </w:r>
          </w:p>
        </w:tc>
        <w:tc>
          <w:tcPr>
            <w:tcW w:w="591" w:type="pct"/>
            <w:tcBorders>
              <w:tl2br w:val="nil"/>
              <w:tr2bl w:val="nil"/>
            </w:tcBorders>
            <w:noWrap w:val="0"/>
            <w:vAlign w:val="center"/>
          </w:tcPr>
          <w:p w14:paraId="12A28B7B">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0.00873</w:t>
            </w:r>
          </w:p>
        </w:tc>
        <w:tc>
          <w:tcPr>
            <w:tcW w:w="596" w:type="pct"/>
            <w:tcBorders>
              <w:tl2br w:val="nil"/>
              <w:tr2bl w:val="nil"/>
            </w:tcBorders>
            <w:noWrap w:val="0"/>
            <w:vAlign w:val="center"/>
          </w:tcPr>
          <w:p w14:paraId="7B764AB1">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0.87</w:t>
            </w:r>
          </w:p>
        </w:tc>
      </w:tr>
      <w:tr w14:paraId="42A20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AA6E5F8">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镉（mg/L）</w:t>
            </w:r>
          </w:p>
        </w:tc>
        <w:tc>
          <w:tcPr>
            <w:tcW w:w="478" w:type="pct"/>
            <w:tcBorders>
              <w:tl2br w:val="nil"/>
              <w:tr2bl w:val="nil"/>
            </w:tcBorders>
            <w:shd w:val="clear" w:color="auto" w:fill="auto"/>
            <w:noWrap w:val="0"/>
            <w:vAlign w:val="center"/>
          </w:tcPr>
          <w:p w14:paraId="5F2DC95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0.005</w:t>
            </w:r>
          </w:p>
        </w:tc>
        <w:tc>
          <w:tcPr>
            <w:tcW w:w="591" w:type="pct"/>
            <w:tcBorders>
              <w:tl2br w:val="nil"/>
              <w:tr2bl w:val="nil"/>
            </w:tcBorders>
            <w:shd w:val="clear" w:color="auto" w:fill="auto"/>
            <w:noWrap w:val="0"/>
            <w:vAlign w:val="center"/>
          </w:tcPr>
          <w:p w14:paraId="41C014F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0.00317</w:t>
            </w:r>
          </w:p>
        </w:tc>
        <w:tc>
          <w:tcPr>
            <w:tcW w:w="595" w:type="pct"/>
            <w:tcBorders>
              <w:tl2br w:val="nil"/>
              <w:tr2bl w:val="nil"/>
            </w:tcBorders>
            <w:noWrap w:val="0"/>
            <w:vAlign w:val="center"/>
          </w:tcPr>
          <w:p w14:paraId="171645C5">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0.63</w:t>
            </w:r>
          </w:p>
        </w:tc>
        <w:tc>
          <w:tcPr>
            <w:tcW w:w="591" w:type="pct"/>
            <w:tcBorders>
              <w:tl2br w:val="nil"/>
              <w:tr2bl w:val="nil"/>
            </w:tcBorders>
            <w:noWrap w:val="0"/>
            <w:vAlign w:val="center"/>
          </w:tcPr>
          <w:p w14:paraId="1DFD627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0.00311</w:t>
            </w:r>
          </w:p>
        </w:tc>
        <w:tc>
          <w:tcPr>
            <w:tcW w:w="595" w:type="pct"/>
            <w:tcBorders>
              <w:tl2br w:val="nil"/>
              <w:tr2bl w:val="nil"/>
            </w:tcBorders>
            <w:noWrap w:val="0"/>
            <w:vAlign w:val="center"/>
          </w:tcPr>
          <w:p w14:paraId="4CE9B8F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0.62</w:t>
            </w:r>
          </w:p>
        </w:tc>
        <w:tc>
          <w:tcPr>
            <w:tcW w:w="591" w:type="pct"/>
            <w:tcBorders>
              <w:tl2br w:val="nil"/>
              <w:tr2bl w:val="nil"/>
            </w:tcBorders>
            <w:noWrap w:val="0"/>
            <w:vAlign w:val="center"/>
          </w:tcPr>
          <w:p w14:paraId="0BAB77E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0.00356</w:t>
            </w:r>
          </w:p>
        </w:tc>
        <w:tc>
          <w:tcPr>
            <w:tcW w:w="596" w:type="pct"/>
            <w:tcBorders>
              <w:tl2br w:val="nil"/>
              <w:tr2bl w:val="nil"/>
            </w:tcBorders>
            <w:noWrap w:val="0"/>
            <w:vAlign w:val="center"/>
          </w:tcPr>
          <w:p w14:paraId="2BB550BC">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0.71</w:t>
            </w:r>
          </w:p>
        </w:tc>
      </w:tr>
      <w:tr w14:paraId="6DF753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369F316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砷（mg/L）</w:t>
            </w:r>
          </w:p>
        </w:tc>
        <w:tc>
          <w:tcPr>
            <w:tcW w:w="478" w:type="pct"/>
            <w:tcBorders>
              <w:tl2br w:val="nil"/>
              <w:tr2bl w:val="nil"/>
            </w:tcBorders>
            <w:shd w:val="clear" w:color="auto" w:fill="auto"/>
            <w:noWrap w:val="0"/>
            <w:vAlign w:val="center"/>
          </w:tcPr>
          <w:p w14:paraId="7530D2D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w:t>
            </w:r>
          </w:p>
        </w:tc>
        <w:tc>
          <w:tcPr>
            <w:tcW w:w="591" w:type="pct"/>
            <w:tcBorders>
              <w:tl2br w:val="nil"/>
              <w:tr2bl w:val="nil"/>
            </w:tcBorders>
            <w:shd w:val="clear" w:color="auto" w:fill="auto"/>
            <w:noWrap w:val="0"/>
            <w:vAlign w:val="center"/>
          </w:tcPr>
          <w:p w14:paraId="17CA4A4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0.00136</w:t>
            </w:r>
          </w:p>
        </w:tc>
        <w:tc>
          <w:tcPr>
            <w:tcW w:w="595" w:type="pct"/>
            <w:tcBorders>
              <w:tl2br w:val="nil"/>
              <w:tr2bl w:val="nil"/>
            </w:tcBorders>
            <w:noWrap w:val="0"/>
            <w:vAlign w:val="center"/>
          </w:tcPr>
          <w:p w14:paraId="59CC4807">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0.14</w:t>
            </w:r>
          </w:p>
        </w:tc>
        <w:tc>
          <w:tcPr>
            <w:tcW w:w="591" w:type="pct"/>
            <w:tcBorders>
              <w:tl2br w:val="nil"/>
              <w:tr2bl w:val="nil"/>
            </w:tcBorders>
            <w:noWrap w:val="0"/>
            <w:vAlign w:val="center"/>
          </w:tcPr>
          <w:p w14:paraId="0CECF80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0.00134</w:t>
            </w:r>
          </w:p>
        </w:tc>
        <w:tc>
          <w:tcPr>
            <w:tcW w:w="595" w:type="pct"/>
            <w:tcBorders>
              <w:tl2br w:val="nil"/>
              <w:tr2bl w:val="nil"/>
            </w:tcBorders>
            <w:noWrap w:val="0"/>
            <w:vAlign w:val="center"/>
          </w:tcPr>
          <w:p w14:paraId="24AA7A7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0.13</w:t>
            </w:r>
          </w:p>
        </w:tc>
        <w:tc>
          <w:tcPr>
            <w:tcW w:w="591" w:type="pct"/>
            <w:tcBorders>
              <w:tl2br w:val="nil"/>
              <w:tr2bl w:val="nil"/>
            </w:tcBorders>
            <w:noWrap w:val="0"/>
            <w:vAlign w:val="center"/>
          </w:tcPr>
          <w:p w14:paraId="5F4008E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0.000333</w:t>
            </w:r>
          </w:p>
        </w:tc>
        <w:tc>
          <w:tcPr>
            <w:tcW w:w="596" w:type="pct"/>
            <w:tcBorders>
              <w:tl2br w:val="nil"/>
              <w:tr2bl w:val="nil"/>
            </w:tcBorders>
            <w:noWrap w:val="0"/>
            <w:vAlign w:val="center"/>
          </w:tcPr>
          <w:p w14:paraId="3816455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0.03</w:t>
            </w:r>
          </w:p>
        </w:tc>
      </w:tr>
      <w:tr w14:paraId="723A17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E711187">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汞（mg/L）</w:t>
            </w:r>
          </w:p>
        </w:tc>
        <w:tc>
          <w:tcPr>
            <w:tcW w:w="478" w:type="pct"/>
            <w:tcBorders>
              <w:tl2br w:val="nil"/>
              <w:tr2bl w:val="nil"/>
            </w:tcBorders>
            <w:shd w:val="clear" w:color="auto" w:fill="auto"/>
            <w:noWrap w:val="0"/>
            <w:vAlign w:val="center"/>
          </w:tcPr>
          <w:p w14:paraId="6ED9C1C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0.001</w:t>
            </w:r>
          </w:p>
        </w:tc>
        <w:tc>
          <w:tcPr>
            <w:tcW w:w="591" w:type="pct"/>
            <w:tcBorders>
              <w:tl2br w:val="nil"/>
              <w:tr2bl w:val="nil"/>
            </w:tcBorders>
            <w:shd w:val="clear" w:color="auto" w:fill="auto"/>
            <w:noWrap w:val="0"/>
            <w:vAlign w:val="center"/>
          </w:tcPr>
          <w:p w14:paraId="4DC5A92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3523D74">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E1DAE2E">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879603D">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32A228AE">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4E55AE01">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4544DA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68FD4182">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总大肠菌群（MPN/100mL）</w:t>
            </w:r>
          </w:p>
        </w:tc>
        <w:tc>
          <w:tcPr>
            <w:tcW w:w="478" w:type="pct"/>
            <w:tcBorders>
              <w:tl2br w:val="nil"/>
              <w:tr2bl w:val="nil"/>
            </w:tcBorders>
            <w:shd w:val="clear" w:color="auto" w:fill="auto"/>
            <w:noWrap w:val="0"/>
            <w:vAlign w:val="center"/>
          </w:tcPr>
          <w:p w14:paraId="581A86D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591" w:type="pct"/>
            <w:tcBorders>
              <w:tl2br w:val="nil"/>
              <w:tr2bl w:val="nil"/>
            </w:tcBorders>
            <w:shd w:val="clear" w:color="auto" w:fill="auto"/>
            <w:noWrap w:val="0"/>
            <w:vAlign w:val="center"/>
          </w:tcPr>
          <w:p w14:paraId="5013314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326729A3">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688F46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700940EF">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9E6BB89">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7A613059">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3BA43C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03CD27B">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菌落总数（CFU/mL）</w:t>
            </w:r>
          </w:p>
        </w:tc>
        <w:tc>
          <w:tcPr>
            <w:tcW w:w="478" w:type="pct"/>
            <w:tcBorders>
              <w:tl2br w:val="nil"/>
              <w:tr2bl w:val="nil"/>
            </w:tcBorders>
            <w:shd w:val="clear" w:color="auto" w:fill="auto"/>
            <w:noWrap w:val="0"/>
            <w:vAlign w:val="center"/>
          </w:tcPr>
          <w:p w14:paraId="3919599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591" w:type="pct"/>
            <w:tcBorders>
              <w:tl2br w:val="nil"/>
              <w:tr2bl w:val="nil"/>
            </w:tcBorders>
            <w:shd w:val="clear" w:color="auto" w:fill="auto"/>
            <w:noWrap w:val="0"/>
            <w:vAlign w:val="center"/>
          </w:tcPr>
          <w:p w14:paraId="1433F7EB">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2826D21B">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91145D0">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2F6DDE80">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6AAA202">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0596C543">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3DDDA7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8B32DB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钾（mg/L）</w:t>
            </w:r>
          </w:p>
        </w:tc>
        <w:tc>
          <w:tcPr>
            <w:tcW w:w="478" w:type="pct"/>
            <w:tcBorders>
              <w:tl2br w:val="nil"/>
              <w:tr2bl w:val="nil"/>
            </w:tcBorders>
            <w:shd w:val="clear" w:color="auto" w:fill="auto"/>
            <w:noWrap w:val="0"/>
            <w:vAlign w:val="center"/>
          </w:tcPr>
          <w:p w14:paraId="7385BAC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5A51CDD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14.5</w:t>
            </w:r>
          </w:p>
        </w:tc>
        <w:tc>
          <w:tcPr>
            <w:tcW w:w="595" w:type="pct"/>
            <w:tcBorders>
              <w:tl2br w:val="nil"/>
              <w:tr2bl w:val="nil"/>
            </w:tcBorders>
            <w:noWrap w:val="0"/>
            <w:vAlign w:val="center"/>
          </w:tcPr>
          <w:p w14:paraId="6676EA77">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10355B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3.66</w:t>
            </w:r>
          </w:p>
        </w:tc>
        <w:tc>
          <w:tcPr>
            <w:tcW w:w="595" w:type="pct"/>
            <w:tcBorders>
              <w:tl2br w:val="nil"/>
              <w:tr2bl w:val="nil"/>
            </w:tcBorders>
            <w:noWrap w:val="0"/>
            <w:vAlign w:val="center"/>
          </w:tcPr>
          <w:p w14:paraId="66A460EF">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959AD9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7.95</w:t>
            </w:r>
          </w:p>
        </w:tc>
        <w:tc>
          <w:tcPr>
            <w:tcW w:w="596" w:type="pct"/>
            <w:tcBorders>
              <w:tl2br w:val="nil"/>
              <w:tr2bl w:val="nil"/>
            </w:tcBorders>
            <w:noWrap w:val="0"/>
            <w:vAlign w:val="center"/>
          </w:tcPr>
          <w:p w14:paraId="74161621">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534870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7E1671E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钠（mg/L）</w:t>
            </w:r>
          </w:p>
        </w:tc>
        <w:tc>
          <w:tcPr>
            <w:tcW w:w="478" w:type="pct"/>
            <w:tcBorders>
              <w:tl2br w:val="nil"/>
              <w:tr2bl w:val="nil"/>
            </w:tcBorders>
            <w:shd w:val="clear" w:color="auto" w:fill="auto"/>
            <w:noWrap w:val="0"/>
            <w:vAlign w:val="center"/>
          </w:tcPr>
          <w:p w14:paraId="1C08B6E0">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1F584EEA">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163</w:t>
            </w:r>
          </w:p>
        </w:tc>
        <w:tc>
          <w:tcPr>
            <w:tcW w:w="595" w:type="pct"/>
            <w:tcBorders>
              <w:tl2br w:val="nil"/>
              <w:tr2bl w:val="nil"/>
            </w:tcBorders>
            <w:noWrap w:val="0"/>
            <w:vAlign w:val="center"/>
          </w:tcPr>
          <w:p w14:paraId="470AE019">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FC7177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51.8</w:t>
            </w:r>
          </w:p>
        </w:tc>
        <w:tc>
          <w:tcPr>
            <w:tcW w:w="595" w:type="pct"/>
            <w:tcBorders>
              <w:tl2br w:val="nil"/>
              <w:tr2bl w:val="nil"/>
            </w:tcBorders>
            <w:noWrap w:val="0"/>
            <w:vAlign w:val="center"/>
          </w:tcPr>
          <w:p w14:paraId="472AEB56">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EC9C42B">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157</w:t>
            </w:r>
          </w:p>
        </w:tc>
        <w:tc>
          <w:tcPr>
            <w:tcW w:w="596" w:type="pct"/>
            <w:tcBorders>
              <w:tl2br w:val="nil"/>
              <w:tr2bl w:val="nil"/>
            </w:tcBorders>
            <w:noWrap w:val="0"/>
            <w:vAlign w:val="center"/>
          </w:tcPr>
          <w:p w14:paraId="7A38490E">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3473B5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BB7C9E1">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钙（mg/L）</w:t>
            </w:r>
          </w:p>
        </w:tc>
        <w:tc>
          <w:tcPr>
            <w:tcW w:w="478" w:type="pct"/>
            <w:tcBorders>
              <w:tl2br w:val="nil"/>
              <w:tr2bl w:val="nil"/>
            </w:tcBorders>
            <w:shd w:val="clear" w:color="auto" w:fill="auto"/>
            <w:noWrap w:val="0"/>
            <w:vAlign w:val="center"/>
          </w:tcPr>
          <w:p w14:paraId="6942DDA3">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134733B4">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11.6</w:t>
            </w:r>
          </w:p>
        </w:tc>
        <w:tc>
          <w:tcPr>
            <w:tcW w:w="595" w:type="pct"/>
            <w:tcBorders>
              <w:tl2br w:val="nil"/>
              <w:tr2bl w:val="nil"/>
            </w:tcBorders>
            <w:noWrap w:val="0"/>
            <w:vAlign w:val="center"/>
          </w:tcPr>
          <w:p w14:paraId="1A7E7A82">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9A6789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w:t>
            </w:r>
          </w:p>
        </w:tc>
        <w:tc>
          <w:tcPr>
            <w:tcW w:w="595" w:type="pct"/>
            <w:tcBorders>
              <w:tl2br w:val="nil"/>
              <w:tr2bl w:val="nil"/>
            </w:tcBorders>
            <w:noWrap w:val="0"/>
            <w:vAlign w:val="center"/>
          </w:tcPr>
          <w:p w14:paraId="08660302">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4A3F01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0.81</w:t>
            </w:r>
          </w:p>
        </w:tc>
        <w:tc>
          <w:tcPr>
            <w:tcW w:w="596" w:type="pct"/>
            <w:tcBorders>
              <w:tl2br w:val="nil"/>
              <w:tr2bl w:val="nil"/>
            </w:tcBorders>
            <w:noWrap w:val="0"/>
            <w:vAlign w:val="center"/>
          </w:tcPr>
          <w:p w14:paraId="63DF8B07">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742948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1133AED">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镁（mg/L）</w:t>
            </w:r>
          </w:p>
        </w:tc>
        <w:tc>
          <w:tcPr>
            <w:tcW w:w="478" w:type="pct"/>
            <w:tcBorders>
              <w:tl2br w:val="nil"/>
              <w:tr2bl w:val="nil"/>
            </w:tcBorders>
            <w:shd w:val="clear" w:color="auto" w:fill="auto"/>
            <w:noWrap w:val="0"/>
            <w:vAlign w:val="center"/>
          </w:tcPr>
          <w:p w14:paraId="66DFE6B8">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1490FAF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25.3</w:t>
            </w:r>
          </w:p>
        </w:tc>
        <w:tc>
          <w:tcPr>
            <w:tcW w:w="595" w:type="pct"/>
            <w:tcBorders>
              <w:tl2br w:val="nil"/>
              <w:tr2bl w:val="nil"/>
            </w:tcBorders>
            <w:noWrap w:val="0"/>
            <w:vAlign w:val="center"/>
          </w:tcPr>
          <w:p w14:paraId="516CB7F5">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B410EB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38.6</w:t>
            </w:r>
          </w:p>
        </w:tc>
        <w:tc>
          <w:tcPr>
            <w:tcW w:w="595" w:type="pct"/>
            <w:tcBorders>
              <w:tl2br w:val="nil"/>
              <w:tr2bl w:val="nil"/>
            </w:tcBorders>
            <w:noWrap w:val="0"/>
            <w:vAlign w:val="center"/>
          </w:tcPr>
          <w:p w14:paraId="3040FAD4">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06DC47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31.4</w:t>
            </w:r>
          </w:p>
        </w:tc>
        <w:tc>
          <w:tcPr>
            <w:tcW w:w="596" w:type="pct"/>
            <w:tcBorders>
              <w:tl2br w:val="nil"/>
              <w:tr2bl w:val="nil"/>
            </w:tcBorders>
            <w:noWrap w:val="0"/>
            <w:vAlign w:val="center"/>
          </w:tcPr>
          <w:p w14:paraId="2D1F4F27">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6803E0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C65FD90">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硫化物（mg/L）</w:t>
            </w:r>
          </w:p>
        </w:tc>
        <w:tc>
          <w:tcPr>
            <w:tcW w:w="478" w:type="pct"/>
            <w:tcBorders>
              <w:tl2br w:val="nil"/>
              <w:tr2bl w:val="nil"/>
            </w:tcBorders>
            <w:shd w:val="clear" w:color="auto" w:fill="auto"/>
            <w:noWrap w:val="0"/>
            <w:vAlign w:val="center"/>
          </w:tcPr>
          <w:p w14:paraId="7CFD1A0E">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66F43BE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61C86EF7">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FF22A4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155CC118">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810136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5C624C22">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7D11CE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85D0A09">
            <w:pPr>
              <w:spacing w:line="240" w:lineRule="auto"/>
              <w:ind w:firstLine="0" w:firstLineChars="0"/>
              <w:jc w:val="center"/>
              <w:rPr>
                <w:rFonts w:hint="default" w:ascii="Times New Roman" w:hAnsi="Times New Roman" w:eastAsia="宋体" w:cs="Times New Roman"/>
                <w:color w:val="auto"/>
                <w:sz w:val="21"/>
                <w:szCs w:val="21"/>
              </w:rPr>
            </w:pPr>
            <w:bookmarkStart w:id="342" w:name="_Hlk128500480"/>
            <w:r>
              <w:rPr>
                <w:rFonts w:hint="default" w:ascii="Times New Roman" w:hAnsi="Times New Roman" w:eastAsia="宋体" w:cs="Times New Roman"/>
                <w:color w:val="auto"/>
                <w:sz w:val="21"/>
                <w:szCs w:val="21"/>
              </w:rPr>
              <w:t>碳酸根（mg/L）</w:t>
            </w:r>
          </w:p>
        </w:tc>
        <w:tc>
          <w:tcPr>
            <w:tcW w:w="478" w:type="pct"/>
            <w:tcBorders>
              <w:tl2br w:val="nil"/>
              <w:tr2bl w:val="nil"/>
            </w:tcBorders>
            <w:shd w:val="clear" w:color="auto" w:fill="auto"/>
            <w:noWrap w:val="0"/>
            <w:vAlign w:val="center"/>
          </w:tcPr>
          <w:p w14:paraId="1ED4A6A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74F0057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F954CC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42B5CFE">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4FEF5AD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BC64055">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2E1CC26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50DBD5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3C7EB23">
            <w:pPr>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碳酸氢根（mg/L）</w:t>
            </w:r>
          </w:p>
        </w:tc>
        <w:tc>
          <w:tcPr>
            <w:tcW w:w="478" w:type="pct"/>
            <w:tcBorders>
              <w:tl2br w:val="nil"/>
              <w:tr2bl w:val="nil"/>
            </w:tcBorders>
            <w:shd w:val="clear" w:color="auto" w:fill="auto"/>
            <w:noWrap w:val="0"/>
            <w:vAlign w:val="center"/>
          </w:tcPr>
          <w:p w14:paraId="64ED63C3">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7EDA3D50">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474</w:t>
            </w:r>
          </w:p>
        </w:tc>
        <w:tc>
          <w:tcPr>
            <w:tcW w:w="595" w:type="pct"/>
            <w:tcBorders>
              <w:tl2br w:val="nil"/>
              <w:tr2bl w:val="nil"/>
            </w:tcBorders>
            <w:noWrap w:val="0"/>
            <w:vAlign w:val="center"/>
          </w:tcPr>
          <w:p w14:paraId="2EF8E7BB">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110725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639</w:t>
            </w:r>
          </w:p>
        </w:tc>
        <w:tc>
          <w:tcPr>
            <w:tcW w:w="595" w:type="pct"/>
            <w:tcBorders>
              <w:tl2br w:val="nil"/>
              <w:tr2bl w:val="nil"/>
            </w:tcBorders>
            <w:noWrap w:val="0"/>
            <w:vAlign w:val="center"/>
          </w:tcPr>
          <w:p w14:paraId="2AF6DC2C">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4F3A992">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345</w:t>
            </w:r>
          </w:p>
        </w:tc>
        <w:tc>
          <w:tcPr>
            <w:tcW w:w="596" w:type="pct"/>
            <w:tcBorders>
              <w:tl2br w:val="nil"/>
              <w:tr2bl w:val="nil"/>
            </w:tcBorders>
            <w:noWrap w:val="0"/>
            <w:vAlign w:val="center"/>
          </w:tcPr>
          <w:p w14:paraId="65607504">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bookmarkEnd w:id="342"/>
    </w:tbl>
    <w:p w14:paraId="7B1DEBA4">
      <w:pPr>
        <w:jc w:val="left"/>
        <w:rPr>
          <w:rFonts w:hint="eastAsia" w:ascii="Times New Roman" w:hAnsi="Times New Roman" w:cs="Times New Roman"/>
          <w:b w:val="0"/>
          <w:bCs w:val="0"/>
          <w:color w:val="auto"/>
          <w:sz w:val="24"/>
          <w:szCs w:val="32"/>
          <w:lang w:val="en-US" w:eastAsia="zh-CN"/>
        </w:rPr>
      </w:pPr>
    </w:p>
    <w:p w14:paraId="17399436">
      <w:pPr>
        <w:spacing w:line="360" w:lineRule="auto"/>
        <w:ind w:firstLine="480" w:firstLineChars="200"/>
        <w:jc w:val="left"/>
        <w:rPr>
          <w:color w:val="auto"/>
        </w:rPr>
      </w:pPr>
      <w:r>
        <w:rPr>
          <w:rFonts w:hint="default" w:ascii="Times New Roman" w:hAnsi="Times New Roman" w:cs="Times New Roman"/>
          <w:b w:val="0"/>
          <w:bCs w:val="0"/>
          <w:color w:val="auto"/>
          <w:sz w:val="24"/>
          <w:szCs w:val="32"/>
          <w:lang w:val="en-US" w:eastAsia="zh-CN"/>
        </w:rPr>
        <w:t>根据上表可知，项目所在区域各监测监测因子存在个别超标现象，氨氮超标可能是由于背景浓度超标造成的；其余因子符合《地下水质量标准》（GB/T 14848-2017）中Ⅲ类标准，地下水水质情况一般。</w:t>
      </w:r>
      <w:r>
        <w:rPr>
          <w:color w:val="auto"/>
        </w:rPr>
        <mc:AlternateContent>
          <mc:Choice Requires="wps">
            <w:drawing>
              <wp:anchor distT="0" distB="0" distL="114300" distR="114300" simplePos="0" relativeHeight="251662336" behindDoc="0" locked="0" layoutInCell="1" allowOverlap="1">
                <wp:simplePos x="0" y="0"/>
                <wp:positionH relativeFrom="column">
                  <wp:posOffset>7181215</wp:posOffset>
                </wp:positionH>
                <wp:positionV relativeFrom="paragraph">
                  <wp:posOffset>3931285</wp:posOffset>
                </wp:positionV>
                <wp:extent cx="762000" cy="447675"/>
                <wp:effectExtent l="0" t="0" r="0" b="9525"/>
                <wp:wrapNone/>
                <wp:docPr id="106" name="文本框 106"/>
                <wp:cNvGraphicFramePr/>
                <a:graphic xmlns:a="http://schemas.openxmlformats.org/drawingml/2006/main">
                  <a:graphicData uri="http://schemas.microsoft.com/office/word/2010/wordprocessingShape">
                    <wps:wsp>
                      <wps:cNvSpPr txBox="1"/>
                      <wps:spPr>
                        <a:xfrm>
                          <a:off x="8079740" y="4681855"/>
                          <a:ext cx="762000" cy="4476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58B5D4">
                            <w:pPr>
                              <w:rPr>
                                <w:rFonts w:hint="eastAsia" w:ascii="仿宋" w:hAnsi="仿宋" w:eastAsia="仿宋" w:cs="仿宋"/>
                                <w:color w:val="FFFF00"/>
                              </w:rPr>
                            </w:pPr>
                            <w:r>
                              <w:rPr>
                                <w:rFonts w:hint="eastAsia" w:ascii="仿宋" w:hAnsi="仿宋" w:eastAsia="仿宋" w:cs="仿宋"/>
                                <w:color w:val="FFFF00"/>
                              </w:rPr>
                              <w:t>小湖村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5.45pt;margin-top:309.55pt;height:35.25pt;width:60pt;z-index:251662336;mso-width-relative:page;mso-height-relative:page;" filled="f" stroked="f" coordsize="21600,21600" o:gfxdata="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7iNtI2wAAAA0BAAAPAAAAAAAA&#10;AAEAIAAAACIAAABkcnMvZG93bnJldi54bWxQSwECFAAUAAAACACHTuJAYO/AvUgCAAB1BAAADgAA&#10;AAAAAAABACAAAAAqAQAAZHJzL2Uyb0RvYy54bWxQSwUGAAAAAAYABgBZAQAA5AUAAAAA&#10;">
                <v:fill on="f" focussize="0,0"/>
                <v:stroke on="f" weight="0.5pt"/>
                <v:imagedata o:title=""/>
                <o:lock v:ext="edit" aspectratio="f"/>
                <v:textbox>
                  <w:txbxContent>
                    <w:p w14:paraId="0058B5D4">
                      <w:pPr>
                        <w:rPr>
                          <w:rFonts w:hint="eastAsia" w:ascii="仿宋" w:hAnsi="仿宋" w:eastAsia="仿宋" w:cs="仿宋"/>
                          <w:color w:val="FFFF00"/>
                        </w:rPr>
                      </w:pPr>
                      <w:r>
                        <w:rPr>
                          <w:rFonts w:hint="eastAsia" w:ascii="仿宋" w:hAnsi="仿宋" w:eastAsia="仿宋" w:cs="仿宋"/>
                          <w:color w:val="FFFF00"/>
                        </w:rPr>
                        <w:t>小湖村</w:t>
                      </w:r>
                    </w:p>
                  </w:txbxContent>
                </v:textbox>
              </v:shape>
            </w:pict>
          </mc:Fallback>
        </mc:AlternateContent>
      </w:r>
    </w:p>
    <w:p w14:paraId="0448E2AB">
      <w:pPr>
        <w:spacing w:line="360" w:lineRule="auto"/>
        <w:outlineLvl w:val="2"/>
        <w:rPr>
          <w:b/>
          <w:bCs/>
          <w:color w:val="auto"/>
          <w:sz w:val="24"/>
        </w:rPr>
      </w:pPr>
      <w:r>
        <w:rPr>
          <w:b/>
          <w:bCs/>
          <w:color w:val="auto"/>
          <w:sz w:val="24"/>
        </w:rPr>
        <w:t>4.3.4声环境现状监测与评价</w:t>
      </w:r>
    </w:p>
    <w:p w14:paraId="7B2C78FC">
      <w:pPr>
        <w:spacing w:line="360" w:lineRule="auto"/>
        <w:ind w:firstLine="480" w:firstLineChars="200"/>
        <w:rPr>
          <w:color w:val="auto"/>
          <w:sz w:val="24"/>
        </w:rPr>
      </w:pPr>
      <w:r>
        <w:rPr>
          <w:color w:val="auto"/>
          <w:sz w:val="24"/>
        </w:rPr>
        <w:t>本次后评价声环境现状评价引用</w:t>
      </w:r>
      <w:r>
        <w:rPr>
          <w:rFonts w:hint="eastAsia"/>
          <w:color w:val="auto"/>
          <w:sz w:val="24"/>
        </w:rPr>
        <w:t>公司例行监测报告</w:t>
      </w:r>
      <w:r>
        <w:rPr>
          <w:color w:val="auto"/>
          <w:sz w:val="24"/>
        </w:rPr>
        <w:t>。</w:t>
      </w:r>
    </w:p>
    <w:p w14:paraId="742A4498">
      <w:pPr>
        <w:spacing w:line="360" w:lineRule="auto"/>
        <w:ind w:firstLine="480" w:firstLineChars="200"/>
        <w:rPr>
          <w:color w:val="auto"/>
          <w:sz w:val="24"/>
        </w:rPr>
      </w:pPr>
      <w:bookmarkStart w:id="343" w:name="_Toc32631"/>
      <w:bookmarkStart w:id="344" w:name="_Toc29862"/>
      <w:r>
        <w:rPr>
          <w:color w:val="auto"/>
          <w:sz w:val="24"/>
        </w:rPr>
        <w:t>1、监测时间</w:t>
      </w:r>
      <w:bookmarkEnd w:id="343"/>
      <w:bookmarkEnd w:id="344"/>
    </w:p>
    <w:p w14:paraId="14966E89">
      <w:pPr>
        <w:spacing w:line="360" w:lineRule="auto"/>
        <w:ind w:firstLine="480" w:firstLineChars="200"/>
        <w:rPr>
          <w:color w:val="auto"/>
          <w:sz w:val="24"/>
        </w:rPr>
      </w:pPr>
      <w:r>
        <w:rPr>
          <w:rFonts w:hint="default" w:ascii="Times New Roman" w:hAnsi="Times New Roman" w:cs="Times New Roman"/>
          <w:b w:val="0"/>
          <w:bCs w:val="0"/>
          <w:color w:val="auto"/>
          <w:sz w:val="24"/>
          <w:lang w:val="en-US" w:eastAsia="zh-CN"/>
        </w:rPr>
        <w:t>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27</w:t>
      </w:r>
      <w:r>
        <w:rPr>
          <w:rFonts w:hint="default" w:ascii="Times New Roman" w:hAnsi="Times New Roman" w:cs="Times New Roman"/>
          <w:b w:val="0"/>
          <w:bCs w:val="0"/>
          <w:color w:val="auto"/>
          <w:sz w:val="24"/>
          <w:lang w:val="en-US" w:eastAsia="zh-CN"/>
        </w:rPr>
        <w:t>日</w:t>
      </w:r>
      <w:r>
        <w:rPr>
          <w:color w:val="auto"/>
          <w:sz w:val="24"/>
        </w:rPr>
        <w:t>，</w:t>
      </w:r>
      <w:r>
        <w:rPr>
          <w:rFonts w:hint="eastAsia"/>
          <w:color w:val="auto"/>
          <w:sz w:val="24"/>
          <w:lang w:val="en-US" w:eastAsia="zh-CN"/>
        </w:rPr>
        <w:t>对厂界</w:t>
      </w:r>
      <w:r>
        <w:rPr>
          <w:rFonts w:hint="eastAsia" w:ascii="Times New Roman" w:hAnsi="Times New Roman" w:cs="Times New Roman"/>
          <w:b w:val="0"/>
          <w:bCs w:val="0"/>
          <w:color w:val="auto"/>
          <w:sz w:val="24"/>
          <w:szCs w:val="32"/>
          <w:lang w:val="en-US" w:eastAsia="zh-CN"/>
        </w:rPr>
        <w:t>昼间噪声</w:t>
      </w:r>
      <w:r>
        <w:rPr>
          <w:rFonts w:hint="default" w:ascii="Times New Roman" w:hAnsi="Times New Roman" w:cs="Times New Roman"/>
          <w:b w:val="0"/>
          <w:bCs w:val="0"/>
          <w:color w:val="auto"/>
          <w:sz w:val="24"/>
          <w:szCs w:val="32"/>
        </w:rPr>
        <w:t>进行</w:t>
      </w:r>
      <w:r>
        <w:rPr>
          <w:rFonts w:hint="eastAsia" w:ascii="Times New Roman" w:hAnsi="Times New Roman" w:cs="Times New Roman"/>
          <w:b w:val="0"/>
          <w:bCs w:val="0"/>
          <w:color w:val="auto"/>
          <w:sz w:val="24"/>
          <w:szCs w:val="32"/>
          <w:lang w:val="en-US" w:eastAsia="zh-CN"/>
        </w:rPr>
        <w:t>监测</w:t>
      </w:r>
      <w:r>
        <w:rPr>
          <w:color w:val="auto"/>
          <w:sz w:val="24"/>
        </w:rPr>
        <w:t>。</w:t>
      </w:r>
    </w:p>
    <w:p w14:paraId="6A1B4639">
      <w:pPr>
        <w:spacing w:line="360" w:lineRule="auto"/>
        <w:ind w:firstLine="480" w:firstLineChars="200"/>
        <w:rPr>
          <w:color w:val="auto"/>
          <w:sz w:val="24"/>
        </w:rPr>
      </w:pPr>
      <w:bookmarkStart w:id="345" w:name="_Toc2813"/>
      <w:bookmarkStart w:id="346" w:name="_Toc12"/>
      <w:r>
        <w:rPr>
          <w:color w:val="auto"/>
          <w:sz w:val="24"/>
        </w:rPr>
        <w:t>2、监测方法</w:t>
      </w:r>
      <w:bookmarkEnd w:id="345"/>
      <w:bookmarkEnd w:id="346"/>
    </w:p>
    <w:p w14:paraId="3361EB59">
      <w:pPr>
        <w:spacing w:line="360" w:lineRule="auto"/>
        <w:ind w:firstLine="480" w:firstLineChars="200"/>
        <w:rPr>
          <w:color w:val="auto"/>
          <w:sz w:val="24"/>
        </w:rPr>
      </w:pPr>
      <w:r>
        <w:rPr>
          <w:color w:val="auto"/>
          <w:sz w:val="24"/>
        </w:rPr>
        <w:t>依据《声环境质量标准》（GB3096-2008）有关规定，对厂界噪声水平现状进行了现场监测。</w:t>
      </w:r>
    </w:p>
    <w:p w14:paraId="4E8E8BB9">
      <w:pPr>
        <w:spacing w:line="360" w:lineRule="auto"/>
        <w:ind w:firstLine="480" w:firstLineChars="200"/>
        <w:rPr>
          <w:color w:val="auto"/>
          <w:sz w:val="24"/>
        </w:rPr>
      </w:pPr>
      <w:bookmarkStart w:id="347" w:name="_Toc20759"/>
      <w:bookmarkStart w:id="348" w:name="_Toc28751"/>
      <w:r>
        <w:rPr>
          <w:color w:val="auto"/>
          <w:sz w:val="24"/>
        </w:rPr>
        <w:t>3、监测点位</w:t>
      </w:r>
      <w:bookmarkEnd w:id="347"/>
      <w:bookmarkEnd w:id="348"/>
    </w:p>
    <w:p w14:paraId="4D93229B">
      <w:pPr>
        <w:spacing w:line="360" w:lineRule="auto"/>
        <w:ind w:firstLine="480" w:firstLineChars="200"/>
        <w:rPr>
          <w:color w:val="auto"/>
          <w:sz w:val="24"/>
        </w:rPr>
      </w:pPr>
      <w:r>
        <w:rPr>
          <w:color w:val="auto"/>
          <w:sz w:val="24"/>
        </w:rPr>
        <w:t>厂界四周。</w:t>
      </w:r>
    </w:p>
    <w:p w14:paraId="20A36B74">
      <w:pPr>
        <w:spacing w:line="360" w:lineRule="auto"/>
        <w:ind w:firstLine="480" w:firstLineChars="200"/>
        <w:rPr>
          <w:color w:val="auto"/>
          <w:sz w:val="24"/>
        </w:rPr>
      </w:pPr>
      <w:bookmarkStart w:id="349" w:name="_Toc171"/>
      <w:bookmarkStart w:id="350" w:name="_Toc22106"/>
      <w:r>
        <w:rPr>
          <w:color w:val="auto"/>
          <w:sz w:val="24"/>
        </w:rPr>
        <w:t>4、监测结果</w:t>
      </w:r>
      <w:bookmarkEnd w:id="349"/>
      <w:bookmarkEnd w:id="350"/>
    </w:p>
    <w:p w14:paraId="385DFE22">
      <w:pPr>
        <w:spacing w:line="360" w:lineRule="auto"/>
        <w:ind w:firstLine="480" w:firstLineChars="200"/>
        <w:rPr>
          <w:color w:val="auto"/>
          <w:sz w:val="24"/>
        </w:rPr>
      </w:pPr>
      <w:r>
        <w:rPr>
          <w:color w:val="auto"/>
          <w:sz w:val="24"/>
        </w:rPr>
        <w:t>厂界噪声监测结果见</w:t>
      </w:r>
      <w:r>
        <w:rPr>
          <w:rFonts w:hint="eastAsia"/>
          <w:color w:val="auto"/>
          <w:sz w:val="24"/>
        </w:rPr>
        <w:t>下表：</w:t>
      </w:r>
    </w:p>
    <w:p w14:paraId="08EB32A6">
      <w:pPr>
        <w:spacing w:line="360" w:lineRule="auto"/>
        <w:jc w:val="center"/>
        <w:rPr>
          <w:color w:val="auto"/>
          <w:sz w:val="24"/>
        </w:rPr>
      </w:pPr>
      <w:r>
        <w:rPr>
          <w:b/>
          <w:bCs/>
          <w:color w:val="auto"/>
          <w:sz w:val="24"/>
        </w:rPr>
        <w:t>表4-1</w:t>
      </w:r>
      <w:r>
        <w:rPr>
          <w:rFonts w:hint="eastAsia"/>
          <w:b/>
          <w:bCs/>
          <w:color w:val="auto"/>
          <w:sz w:val="24"/>
          <w:lang w:val="en-US" w:eastAsia="zh-CN"/>
        </w:rPr>
        <w:t>1</w:t>
      </w:r>
      <w:r>
        <w:rPr>
          <w:b/>
          <w:bCs/>
          <w:color w:val="auto"/>
          <w:sz w:val="24"/>
        </w:rPr>
        <w:t xml:space="preserve"> 厂界及环境噪声现状监测结果</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618"/>
        <w:gridCol w:w="1622"/>
        <w:gridCol w:w="3259"/>
        <w:gridCol w:w="3259"/>
      </w:tblGrid>
      <w:tr w14:paraId="7D7CD6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restart"/>
            <w:tcBorders>
              <w:tl2br w:val="nil"/>
              <w:tr2bl w:val="nil"/>
            </w:tcBorders>
            <w:noWrap/>
            <w:vAlign w:val="center"/>
          </w:tcPr>
          <w:p w14:paraId="336E2A71">
            <w:pPr>
              <w:widowControl/>
              <w:jc w:val="center"/>
              <w:textAlignment w:val="center"/>
              <w:rPr>
                <w:b/>
                <w:bCs/>
                <w:color w:val="auto"/>
                <w:szCs w:val="21"/>
              </w:rPr>
            </w:pPr>
            <w:r>
              <w:rPr>
                <w:b/>
                <w:bCs/>
                <w:color w:val="auto"/>
                <w:kern w:val="0"/>
                <w:szCs w:val="21"/>
                <w:lang w:bidi="ar"/>
              </w:rPr>
              <w:t>测点位置</w:t>
            </w:r>
          </w:p>
        </w:tc>
        <w:tc>
          <w:tcPr>
            <w:tcW w:w="831" w:type="pct"/>
            <w:vMerge w:val="restart"/>
            <w:tcBorders>
              <w:tl2br w:val="nil"/>
              <w:tr2bl w:val="nil"/>
            </w:tcBorders>
            <w:noWrap/>
            <w:vAlign w:val="center"/>
          </w:tcPr>
          <w:p w14:paraId="7DCF6BE5">
            <w:pPr>
              <w:widowControl/>
              <w:jc w:val="center"/>
              <w:textAlignment w:val="center"/>
              <w:rPr>
                <w:b/>
                <w:bCs/>
                <w:color w:val="auto"/>
                <w:szCs w:val="21"/>
              </w:rPr>
            </w:pPr>
            <w:r>
              <w:rPr>
                <w:b/>
                <w:bCs/>
                <w:color w:val="auto"/>
                <w:kern w:val="0"/>
                <w:szCs w:val="21"/>
                <w:lang w:bidi="ar"/>
              </w:rPr>
              <w:t>主要声源</w:t>
            </w:r>
          </w:p>
        </w:tc>
        <w:tc>
          <w:tcPr>
            <w:tcW w:w="3338" w:type="pct"/>
            <w:gridSpan w:val="2"/>
            <w:tcBorders>
              <w:tl2br w:val="nil"/>
              <w:tr2bl w:val="nil"/>
            </w:tcBorders>
            <w:noWrap/>
            <w:vAlign w:val="center"/>
          </w:tcPr>
          <w:p w14:paraId="672C336A">
            <w:pPr>
              <w:widowControl/>
              <w:jc w:val="center"/>
              <w:textAlignment w:val="center"/>
              <w:rPr>
                <w:rFonts w:hint="default" w:eastAsia="宋体"/>
                <w:b/>
                <w:bCs/>
                <w:color w:val="auto"/>
                <w:szCs w:val="21"/>
                <w:lang w:val="en-US" w:eastAsia="zh-CN"/>
              </w:rPr>
            </w:pPr>
            <w:r>
              <w:rPr>
                <w:b/>
                <w:bCs/>
                <w:color w:val="auto"/>
                <w:kern w:val="0"/>
                <w:szCs w:val="21"/>
                <w:lang w:bidi="ar"/>
              </w:rPr>
              <w:t>2024/0</w:t>
            </w:r>
            <w:r>
              <w:rPr>
                <w:rFonts w:hint="eastAsia"/>
                <w:b/>
                <w:bCs/>
                <w:color w:val="auto"/>
                <w:kern w:val="0"/>
                <w:szCs w:val="21"/>
                <w:lang w:val="en-US" w:eastAsia="zh-CN" w:bidi="ar"/>
              </w:rPr>
              <w:t>8</w:t>
            </w:r>
            <w:r>
              <w:rPr>
                <w:b/>
                <w:bCs/>
                <w:color w:val="auto"/>
                <w:kern w:val="0"/>
                <w:szCs w:val="21"/>
                <w:lang w:bidi="ar"/>
              </w:rPr>
              <w:t>/</w:t>
            </w:r>
            <w:r>
              <w:rPr>
                <w:rFonts w:hint="eastAsia"/>
                <w:b/>
                <w:bCs/>
                <w:color w:val="auto"/>
                <w:kern w:val="0"/>
                <w:szCs w:val="21"/>
                <w:lang w:val="en-US" w:eastAsia="zh-CN" w:bidi="ar"/>
              </w:rPr>
              <w:t>27</w:t>
            </w:r>
          </w:p>
        </w:tc>
      </w:tr>
      <w:tr w14:paraId="4BF60F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continue"/>
            <w:tcBorders>
              <w:tl2br w:val="nil"/>
              <w:tr2bl w:val="nil"/>
            </w:tcBorders>
            <w:noWrap/>
            <w:vAlign w:val="center"/>
          </w:tcPr>
          <w:p w14:paraId="1DFF8E82">
            <w:pPr>
              <w:jc w:val="center"/>
              <w:rPr>
                <w:b/>
                <w:bCs/>
                <w:color w:val="auto"/>
                <w:szCs w:val="21"/>
              </w:rPr>
            </w:pPr>
          </w:p>
        </w:tc>
        <w:tc>
          <w:tcPr>
            <w:tcW w:w="831" w:type="pct"/>
            <w:vMerge w:val="continue"/>
            <w:tcBorders>
              <w:tl2br w:val="nil"/>
              <w:tr2bl w:val="nil"/>
            </w:tcBorders>
            <w:noWrap/>
            <w:vAlign w:val="center"/>
          </w:tcPr>
          <w:p w14:paraId="401F3983">
            <w:pPr>
              <w:jc w:val="center"/>
              <w:rPr>
                <w:b/>
                <w:bCs/>
                <w:color w:val="auto"/>
                <w:szCs w:val="21"/>
              </w:rPr>
            </w:pPr>
          </w:p>
        </w:tc>
        <w:tc>
          <w:tcPr>
            <w:tcW w:w="1669" w:type="pct"/>
            <w:tcBorders>
              <w:tl2br w:val="nil"/>
              <w:tr2bl w:val="nil"/>
            </w:tcBorders>
            <w:noWrap/>
            <w:vAlign w:val="center"/>
          </w:tcPr>
          <w:p w14:paraId="24FE5DBE">
            <w:pPr>
              <w:widowControl/>
              <w:jc w:val="center"/>
              <w:textAlignment w:val="center"/>
              <w:rPr>
                <w:b/>
                <w:bCs/>
                <w:color w:val="auto"/>
                <w:szCs w:val="21"/>
              </w:rPr>
            </w:pPr>
            <w:r>
              <w:rPr>
                <w:b/>
                <w:bCs/>
                <w:color w:val="auto"/>
                <w:kern w:val="0"/>
                <w:szCs w:val="21"/>
                <w:lang w:bidi="ar"/>
              </w:rPr>
              <w:t>测量时间</w:t>
            </w:r>
          </w:p>
        </w:tc>
        <w:tc>
          <w:tcPr>
            <w:tcW w:w="1669" w:type="pct"/>
            <w:tcBorders>
              <w:tl2br w:val="nil"/>
              <w:tr2bl w:val="nil"/>
            </w:tcBorders>
            <w:noWrap/>
            <w:vAlign w:val="center"/>
          </w:tcPr>
          <w:p w14:paraId="4B253C07">
            <w:pPr>
              <w:widowControl/>
              <w:jc w:val="center"/>
              <w:textAlignment w:val="center"/>
              <w:rPr>
                <w:b/>
                <w:bCs/>
                <w:color w:val="auto"/>
                <w:szCs w:val="21"/>
              </w:rPr>
            </w:pPr>
            <w:r>
              <w:rPr>
                <w:b/>
                <w:bCs/>
                <w:color w:val="auto"/>
                <w:kern w:val="0"/>
                <w:szCs w:val="21"/>
                <w:lang w:bidi="ar"/>
              </w:rPr>
              <w:t>结果</w:t>
            </w:r>
          </w:p>
        </w:tc>
      </w:tr>
      <w:tr w14:paraId="3FD01C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7F886CFE">
            <w:pPr>
              <w:widowControl/>
              <w:jc w:val="center"/>
              <w:textAlignment w:val="center"/>
              <w:rPr>
                <w:color w:val="auto"/>
                <w:szCs w:val="21"/>
              </w:rPr>
            </w:pPr>
            <w:r>
              <w:rPr>
                <w:color w:val="auto"/>
                <w:kern w:val="0"/>
                <w:szCs w:val="21"/>
                <w:lang w:bidi="ar"/>
              </w:rPr>
              <w:t>东厂界处</w:t>
            </w:r>
          </w:p>
        </w:tc>
        <w:tc>
          <w:tcPr>
            <w:tcW w:w="831" w:type="pct"/>
            <w:vMerge w:val="restart"/>
            <w:tcBorders>
              <w:tl2br w:val="nil"/>
              <w:tr2bl w:val="nil"/>
            </w:tcBorders>
            <w:noWrap/>
            <w:vAlign w:val="center"/>
          </w:tcPr>
          <w:p w14:paraId="523B335D">
            <w:pPr>
              <w:widowControl/>
              <w:jc w:val="center"/>
              <w:textAlignment w:val="center"/>
              <w:rPr>
                <w:color w:val="auto"/>
                <w:szCs w:val="21"/>
              </w:rPr>
            </w:pPr>
            <w:r>
              <w:rPr>
                <w:color w:val="auto"/>
                <w:kern w:val="0"/>
                <w:szCs w:val="21"/>
                <w:lang w:bidi="ar"/>
              </w:rPr>
              <w:t>厂界噪声</w:t>
            </w:r>
          </w:p>
        </w:tc>
        <w:tc>
          <w:tcPr>
            <w:tcW w:w="1669" w:type="pct"/>
            <w:tcBorders>
              <w:tl2br w:val="nil"/>
              <w:tr2bl w:val="nil"/>
            </w:tcBorders>
            <w:noWrap/>
            <w:vAlign w:val="center"/>
          </w:tcPr>
          <w:p w14:paraId="725ED028">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10</w:t>
            </w:r>
            <w:r>
              <w:rPr>
                <w:color w:val="auto"/>
                <w:kern w:val="0"/>
                <w:szCs w:val="21"/>
                <w:lang w:bidi="ar"/>
              </w:rPr>
              <w:t>:</w:t>
            </w:r>
            <w:r>
              <w:rPr>
                <w:rFonts w:hint="eastAsia"/>
                <w:color w:val="auto"/>
                <w:kern w:val="0"/>
                <w:szCs w:val="21"/>
                <w:lang w:val="en-US" w:eastAsia="zh-CN" w:bidi="ar"/>
              </w:rPr>
              <w:t>52</w:t>
            </w:r>
          </w:p>
        </w:tc>
        <w:tc>
          <w:tcPr>
            <w:tcW w:w="1669" w:type="pct"/>
            <w:tcBorders>
              <w:tl2br w:val="nil"/>
              <w:tr2bl w:val="nil"/>
            </w:tcBorders>
            <w:noWrap/>
            <w:vAlign w:val="center"/>
          </w:tcPr>
          <w:p w14:paraId="76541748">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58.3</w:t>
            </w:r>
          </w:p>
        </w:tc>
      </w:tr>
      <w:tr w14:paraId="7B1A56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685311F">
            <w:pPr>
              <w:widowControl/>
              <w:jc w:val="center"/>
              <w:textAlignment w:val="center"/>
              <w:rPr>
                <w:color w:val="auto"/>
                <w:szCs w:val="21"/>
              </w:rPr>
            </w:pPr>
            <w:r>
              <w:rPr>
                <w:color w:val="auto"/>
                <w:kern w:val="0"/>
                <w:szCs w:val="21"/>
                <w:lang w:bidi="ar"/>
              </w:rPr>
              <w:t>南厂界处</w:t>
            </w:r>
          </w:p>
        </w:tc>
        <w:tc>
          <w:tcPr>
            <w:tcW w:w="831" w:type="pct"/>
            <w:vMerge w:val="continue"/>
            <w:tcBorders>
              <w:tl2br w:val="nil"/>
              <w:tr2bl w:val="nil"/>
            </w:tcBorders>
            <w:noWrap/>
            <w:vAlign w:val="center"/>
          </w:tcPr>
          <w:p w14:paraId="0516F9F9">
            <w:pPr>
              <w:jc w:val="center"/>
              <w:rPr>
                <w:color w:val="auto"/>
                <w:szCs w:val="21"/>
              </w:rPr>
            </w:pPr>
          </w:p>
        </w:tc>
        <w:tc>
          <w:tcPr>
            <w:tcW w:w="1669" w:type="pct"/>
            <w:tcBorders>
              <w:tl2br w:val="nil"/>
              <w:tr2bl w:val="nil"/>
            </w:tcBorders>
            <w:noWrap/>
            <w:vAlign w:val="center"/>
          </w:tcPr>
          <w:p w14:paraId="2A9AC088">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23</w:t>
            </w:r>
          </w:p>
        </w:tc>
        <w:tc>
          <w:tcPr>
            <w:tcW w:w="1669" w:type="pct"/>
            <w:tcBorders>
              <w:tl2br w:val="nil"/>
              <w:tr2bl w:val="nil"/>
            </w:tcBorders>
            <w:noWrap/>
            <w:vAlign w:val="center"/>
          </w:tcPr>
          <w:p w14:paraId="13D3FFAF">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55.8</w:t>
            </w:r>
          </w:p>
        </w:tc>
      </w:tr>
      <w:tr w14:paraId="7C1EB70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462E4053">
            <w:pPr>
              <w:widowControl/>
              <w:jc w:val="center"/>
              <w:textAlignment w:val="center"/>
              <w:rPr>
                <w:color w:val="auto"/>
                <w:szCs w:val="21"/>
              </w:rPr>
            </w:pPr>
            <w:r>
              <w:rPr>
                <w:color w:val="auto"/>
                <w:kern w:val="0"/>
                <w:szCs w:val="21"/>
                <w:lang w:bidi="ar"/>
              </w:rPr>
              <w:t>西厂界处</w:t>
            </w:r>
          </w:p>
        </w:tc>
        <w:tc>
          <w:tcPr>
            <w:tcW w:w="831" w:type="pct"/>
            <w:vMerge w:val="continue"/>
            <w:tcBorders>
              <w:tl2br w:val="nil"/>
              <w:tr2bl w:val="nil"/>
            </w:tcBorders>
            <w:noWrap/>
            <w:vAlign w:val="center"/>
          </w:tcPr>
          <w:p w14:paraId="75E90218">
            <w:pPr>
              <w:jc w:val="center"/>
              <w:rPr>
                <w:color w:val="auto"/>
                <w:szCs w:val="21"/>
              </w:rPr>
            </w:pPr>
          </w:p>
        </w:tc>
        <w:tc>
          <w:tcPr>
            <w:tcW w:w="1669" w:type="pct"/>
            <w:tcBorders>
              <w:tl2br w:val="nil"/>
              <w:tr2bl w:val="nil"/>
            </w:tcBorders>
            <w:noWrap/>
            <w:vAlign w:val="center"/>
          </w:tcPr>
          <w:p w14:paraId="552F89C5">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36</w:t>
            </w:r>
          </w:p>
        </w:tc>
        <w:tc>
          <w:tcPr>
            <w:tcW w:w="1669" w:type="pct"/>
            <w:tcBorders>
              <w:tl2br w:val="nil"/>
              <w:tr2bl w:val="nil"/>
            </w:tcBorders>
            <w:noWrap/>
            <w:vAlign w:val="center"/>
          </w:tcPr>
          <w:p w14:paraId="6F80C029">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54.4</w:t>
            </w:r>
          </w:p>
        </w:tc>
      </w:tr>
      <w:tr w14:paraId="125EC5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00786295">
            <w:pPr>
              <w:widowControl/>
              <w:jc w:val="center"/>
              <w:textAlignment w:val="center"/>
              <w:rPr>
                <w:color w:val="auto"/>
                <w:szCs w:val="21"/>
              </w:rPr>
            </w:pPr>
            <w:r>
              <w:rPr>
                <w:color w:val="auto"/>
                <w:kern w:val="0"/>
                <w:szCs w:val="21"/>
                <w:lang w:bidi="ar"/>
              </w:rPr>
              <w:t>北厂界处</w:t>
            </w:r>
          </w:p>
        </w:tc>
        <w:tc>
          <w:tcPr>
            <w:tcW w:w="831" w:type="pct"/>
            <w:vMerge w:val="continue"/>
            <w:tcBorders>
              <w:tl2br w:val="nil"/>
              <w:tr2bl w:val="nil"/>
            </w:tcBorders>
            <w:noWrap/>
            <w:vAlign w:val="center"/>
          </w:tcPr>
          <w:p w14:paraId="22798F3C">
            <w:pPr>
              <w:jc w:val="center"/>
              <w:rPr>
                <w:color w:val="auto"/>
                <w:szCs w:val="21"/>
              </w:rPr>
            </w:pPr>
          </w:p>
        </w:tc>
        <w:tc>
          <w:tcPr>
            <w:tcW w:w="1669" w:type="pct"/>
            <w:tcBorders>
              <w:tl2br w:val="nil"/>
              <w:tr2bl w:val="nil"/>
            </w:tcBorders>
            <w:noWrap/>
            <w:vAlign w:val="center"/>
          </w:tcPr>
          <w:p w14:paraId="0CE44C75">
            <w:pPr>
              <w:widowControl/>
              <w:jc w:val="center"/>
              <w:textAlignment w:val="center"/>
              <w:rPr>
                <w:rFonts w:hint="eastAsia"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:0</w:t>
            </w:r>
            <w:r>
              <w:rPr>
                <w:rFonts w:hint="eastAsia"/>
                <w:color w:val="auto"/>
                <w:kern w:val="0"/>
                <w:szCs w:val="21"/>
                <w:lang w:val="en-US" w:eastAsia="zh-CN" w:bidi="ar"/>
              </w:rPr>
              <w:t>9</w:t>
            </w:r>
          </w:p>
        </w:tc>
        <w:tc>
          <w:tcPr>
            <w:tcW w:w="1669" w:type="pct"/>
            <w:tcBorders>
              <w:tl2br w:val="nil"/>
              <w:tr2bl w:val="nil"/>
            </w:tcBorders>
            <w:noWrap/>
            <w:vAlign w:val="center"/>
          </w:tcPr>
          <w:p w14:paraId="7BC8EF82">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54.9</w:t>
            </w:r>
          </w:p>
        </w:tc>
      </w:tr>
    </w:tbl>
    <w:p w14:paraId="2FF8977E">
      <w:pPr>
        <w:spacing w:line="360" w:lineRule="auto"/>
        <w:ind w:firstLine="480" w:firstLineChars="200"/>
        <w:rPr>
          <w:color w:val="auto"/>
          <w:sz w:val="24"/>
        </w:rPr>
      </w:pPr>
      <w:r>
        <w:rPr>
          <w:rFonts w:hint="eastAsia"/>
          <w:color w:val="auto"/>
          <w:sz w:val="24"/>
        </w:rPr>
        <w:t>由上表可知，</w:t>
      </w:r>
      <w:r>
        <w:rPr>
          <w:color w:val="auto"/>
          <w:sz w:val="24"/>
        </w:rPr>
        <w:t>厂界四周</w:t>
      </w:r>
      <w:r>
        <w:rPr>
          <w:rFonts w:hint="eastAsia"/>
          <w:color w:val="auto"/>
          <w:sz w:val="24"/>
        </w:rPr>
        <w:t>昼夜</w:t>
      </w:r>
      <w:r>
        <w:rPr>
          <w:color w:val="auto"/>
          <w:sz w:val="24"/>
        </w:rPr>
        <w:t>噪声均符合《声环境质量标准》（GB3096-2008）中3类标准要求。</w:t>
      </w:r>
    </w:p>
    <w:p w14:paraId="6ED8951D">
      <w:pPr>
        <w:spacing w:line="360" w:lineRule="auto"/>
        <w:outlineLvl w:val="2"/>
        <w:rPr>
          <w:b/>
          <w:bCs/>
          <w:color w:val="auto"/>
          <w:sz w:val="24"/>
        </w:rPr>
      </w:pPr>
      <w:r>
        <w:rPr>
          <w:b/>
          <w:bCs/>
          <w:color w:val="auto"/>
          <w:sz w:val="24"/>
        </w:rPr>
        <w:t>4.3.5土壤环境现状监测与评价</w:t>
      </w:r>
    </w:p>
    <w:p w14:paraId="05DD594C">
      <w:pPr>
        <w:spacing w:line="360" w:lineRule="auto"/>
        <w:ind w:firstLine="480" w:firstLineChars="200"/>
        <w:rPr>
          <w:color w:val="auto"/>
          <w:sz w:val="24"/>
          <w:szCs w:val="32"/>
        </w:rPr>
      </w:pPr>
      <w:r>
        <w:rPr>
          <w:color w:val="auto"/>
          <w:sz w:val="24"/>
          <w:szCs w:val="32"/>
        </w:rPr>
        <w:t>本次后环评</w:t>
      </w:r>
      <w:r>
        <w:rPr>
          <w:rFonts w:hint="eastAsia"/>
          <w:color w:val="auto"/>
          <w:sz w:val="24"/>
          <w:szCs w:val="32"/>
          <w:lang w:val="en-US" w:eastAsia="zh-CN"/>
        </w:rPr>
        <w:t>委托合肥圆规监测技术有限公司于2026年3月14日</w:t>
      </w:r>
      <w:r>
        <w:rPr>
          <w:color w:val="auto"/>
          <w:sz w:val="24"/>
          <w:szCs w:val="32"/>
        </w:rPr>
        <w:t>对</w:t>
      </w:r>
      <w:r>
        <w:rPr>
          <w:rFonts w:hint="eastAsia"/>
          <w:color w:val="auto"/>
          <w:sz w:val="24"/>
          <w:szCs w:val="32"/>
          <w:lang w:val="en-US" w:eastAsia="zh-CN"/>
        </w:rPr>
        <w:t>项目</w:t>
      </w:r>
      <w:r>
        <w:rPr>
          <w:color w:val="auto"/>
          <w:sz w:val="24"/>
          <w:szCs w:val="32"/>
        </w:rPr>
        <w:t>所在地土壤进行了取样监测。</w:t>
      </w:r>
    </w:p>
    <w:p w14:paraId="17B7717C">
      <w:pPr>
        <w:spacing w:line="360" w:lineRule="auto"/>
        <w:ind w:firstLine="480" w:firstLineChars="200"/>
        <w:rPr>
          <w:color w:val="auto"/>
          <w:sz w:val="24"/>
          <w:szCs w:val="32"/>
        </w:rPr>
      </w:pPr>
      <w:bookmarkStart w:id="351" w:name="_Toc7696"/>
      <w:bookmarkStart w:id="352" w:name="_Toc8023"/>
      <w:r>
        <w:rPr>
          <w:color w:val="auto"/>
          <w:sz w:val="24"/>
          <w:szCs w:val="32"/>
        </w:rPr>
        <w:t>1、监测点位</w:t>
      </w:r>
      <w:bookmarkEnd w:id="351"/>
      <w:bookmarkEnd w:id="352"/>
    </w:p>
    <w:p w14:paraId="7389505A">
      <w:pPr>
        <w:spacing w:line="360" w:lineRule="auto"/>
        <w:ind w:firstLine="480" w:firstLineChars="200"/>
        <w:rPr>
          <w:color w:val="auto"/>
          <w:sz w:val="24"/>
          <w:szCs w:val="24"/>
        </w:rPr>
      </w:pPr>
      <w:r>
        <w:rPr>
          <w:rFonts w:hint="eastAsia"/>
          <w:color w:val="auto"/>
          <w:sz w:val="24"/>
          <w:szCs w:val="24"/>
          <w:lang w:val="en-US" w:eastAsia="zh-CN"/>
        </w:rPr>
        <w:t>本次共布设三个监测点位，分别为</w:t>
      </w:r>
      <w:r>
        <w:rPr>
          <w:rFonts w:hint="eastAsia" w:ascii="Times New Roman" w:hAnsi="Times New Roman" w:cs="Times New Roman"/>
          <w:color w:val="auto"/>
          <w:sz w:val="24"/>
          <w:szCs w:val="24"/>
          <w:lang w:val="en-US" w:eastAsia="zh-CN"/>
        </w:rPr>
        <w:t>成品库</w:t>
      </w:r>
      <w:r>
        <w:rPr>
          <w:rFonts w:hint="default" w:ascii="Times New Roman" w:hAnsi="Times New Roman" w:cs="Times New Roman"/>
          <w:color w:val="auto"/>
          <w:sz w:val="24"/>
          <w:szCs w:val="24"/>
          <w:lang w:val="en-US" w:eastAsia="zh-CN"/>
        </w:rPr>
        <w:t>（T1）</w:t>
      </w:r>
      <w:r>
        <w:rPr>
          <w:rFonts w:hint="eastAsia" w:ascii="Times New Roman" w:hAnsi="Times New Roman" w:cs="Times New Roman"/>
          <w:color w:val="auto"/>
          <w:sz w:val="24"/>
          <w:szCs w:val="24"/>
          <w:lang w:val="en-US" w:eastAsia="zh-CN"/>
        </w:rPr>
        <w:t>、生产车间（T2）、原料库（T3），具体监测点位布设情况见表4-12及图4-4</w:t>
      </w:r>
      <w:r>
        <w:rPr>
          <w:color w:val="auto"/>
          <w:sz w:val="24"/>
          <w:szCs w:val="24"/>
        </w:rPr>
        <w:t>。</w:t>
      </w:r>
    </w:p>
    <w:p w14:paraId="344B2DCC">
      <w:pPr>
        <w:spacing w:line="360" w:lineRule="auto"/>
        <w:jc w:val="center"/>
        <w:rPr>
          <w:rFonts w:hint="default" w:eastAsia="宋体"/>
          <w:b/>
          <w:bCs/>
          <w:color w:val="auto"/>
          <w:sz w:val="24"/>
          <w:szCs w:val="32"/>
          <w:lang w:val="en-US" w:eastAsia="zh-CN"/>
        </w:rPr>
      </w:pPr>
      <w:bookmarkStart w:id="353" w:name="_Toc18235"/>
      <w:bookmarkStart w:id="354" w:name="_Toc23089"/>
      <w:r>
        <w:rPr>
          <w:rFonts w:hint="eastAsia"/>
          <w:b/>
          <w:bCs/>
          <w:color w:val="auto"/>
          <w:sz w:val="24"/>
          <w:szCs w:val="32"/>
          <w:lang w:val="en-US" w:eastAsia="zh-CN"/>
        </w:rPr>
        <w:t>表4-12 厂区土壤环境质量监测点位一览表</w:t>
      </w:r>
    </w:p>
    <w:tbl>
      <w:tblPr>
        <w:tblStyle w:val="32"/>
        <w:tblW w:w="497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43"/>
        <w:gridCol w:w="3914"/>
        <w:gridCol w:w="2334"/>
        <w:gridCol w:w="1625"/>
        <w:gridCol w:w="1288"/>
      </w:tblGrid>
      <w:tr w14:paraId="23EE75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375" w:type="pct"/>
            <w:tcBorders>
              <w:tl2br w:val="nil"/>
              <w:tr2bl w:val="nil"/>
            </w:tcBorders>
            <w:vAlign w:val="center"/>
          </w:tcPr>
          <w:p w14:paraId="3D96A209">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序号</w:t>
            </w:r>
          </w:p>
        </w:tc>
        <w:tc>
          <w:tcPr>
            <w:tcW w:w="1975" w:type="pct"/>
            <w:tcBorders>
              <w:tl2br w:val="nil"/>
              <w:tr2bl w:val="nil"/>
            </w:tcBorders>
            <w:vAlign w:val="center"/>
          </w:tcPr>
          <w:p w14:paraId="064305B0">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监测点位</w:t>
            </w:r>
          </w:p>
        </w:tc>
        <w:tc>
          <w:tcPr>
            <w:tcW w:w="1178" w:type="pct"/>
            <w:tcBorders>
              <w:tl2br w:val="nil"/>
              <w:tr2bl w:val="nil"/>
            </w:tcBorders>
            <w:vAlign w:val="center"/>
          </w:tcPr>
          <w:p w14:paraId="0CDE0E03">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监测因子</w:t>
            </w:r>
          </w:p>
        </w:tc>
        <w:tc>
          <w:tcPr>
            <w:tcW w:w="820" w:type="pct"/>
            <w:tcBorders>
              <w:tl2br w:val="nil"/>
              <w:tr2bl w:val="nil"/>
            </w:tcBorders>
            <w:vAlign w:val="center"/>
          </w:tcPr>
          <w:p w14:paraId="7EE43E6C">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监测点类别</w:t>
            </w:r>
          </w:p>
        </w:tc>
        <w:tc>
          <w:tcPr>
            <w:tcW w:w="650" w:type="pct"/>
            <w:tcBorders>
              <w:tl2br w:val="nil"/>
              <w:tr2bl w:val="nil"/>
            </w:tcBorders>
            <w:vAlign w:val="center"/>
          </w:tcPr>
          <w:p w14:paraId="14C2BA5B">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备注</w:t>
            </w:r>
          </w:p>
        </w:tc>
      </w:tr>
      <w:tr w14:paraId="32CC69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375" w:type="pct"/>
            <w:tcBorders>
              <w:tl2br w:val="nil"/>
              <w:tr2bl w:val="nil"/>
            </w:tcBorders>
            <w:vAlign w:val="center"/>
          </w:tcPr>
          <w:p w14:paraId="0F7CB225">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c>
          <w:tcPr>
            <w:tcW w:w="1975" w:type="pct"/>
            <w:tcBorders>
              <w:tl2br w:val="nil"/>
              <w:tr2bl w:val="nil"/>
            </w:tcBorders>
            <w:vAlign w:val="center"/>
          </w:tcPr>
          <w:p w14:paraId="1D9957DD">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成品库（T1）</w:t>
            </w:r>
          </w:p>
          <w:p w14:paraId="087CD951">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E:116.712127589，N:33.894830347</w:t>
            </w:r>
          </w:p>
        </w:tc>
        <w:tc>
          <w:tcPr>
            <w:tcW w:w="1178" w:type="pct"/>
            <w:vMerge w:val="restart"/>
            <w:tcBorders>
              <w:tl2br w:val="nil"/>
              <w:tr2bl w:val="nil"/>
            </w:tcBorders>
            <w:vAlign w:val="center"/>
          </w:tcPr>
          <w:p w14:paraId="1ED5BC83">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pH+45项基本因子</w:t>
            </w:r>
          </w:p>
        </w:tc>
        <w:tc>
          <w:tcPr>
            <w:tcW w:w="820" w:type="pct"/>
            <w:tcBorders>
              <w:tl2br w:val="nil"/>
              <w:tr2bl w:val="nil"/>
            </w:tcBorders>
            <w:vAlign w:val="center"/>
          </w:tcPr>
          <w:p w14:paraId="501154DC">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b w:val="0"/>
                <w:bCs w:val="0"/>
                <w:color w:val="auto"/>
                <w:kern w:val="2"/>
                <w:sz w:val="21"/>
                <w:szCs w:val="21"/>
                <w:vertAlign w:val="baseline"/>
                <w:lang w:val="en-US" w:eastAsia="zh-CN" w:bidi="ar-SA"/>
              </w:rPr>
              <w:t>表层样</w:t>
            </w:r>
          </w:p>
        </w:tc>
        <w:tc>
          <w:tcPr>
            <w:tcW w:w="650" w:type="pct"/>
            <w:tcBorders>
              <w:tl2br w:val="nil"/>
              <w:tr2bl w:val="nil"/>
            </w:tcBorders>
            <w:vAlign w:val="center"/>
          </w:tcPr>
          <w:p w14:paraId="2281F5C6">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w:t>
            </w:r>
          </w:p>
        </w:tc>
      </w:tr>
      <w:tr w14:paraId="40E018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75" w:type="pct"/>
            <w:tcBorders>
              <w:tl2br w:val="nil"/>
              <w:tr2bl w:val="nil"/>
            </w:tcBorders>
            <w:vAlign w:val="center"/>
          </w:tcPr>
          <w:p w14:paraId="758B3ED2">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975" w:type="pct"/>
            <w:tcBorders>
              <w:tl2br w:val="nil"/>
              <w:tr2bl w:val="nil"/>
            </w:tcBorders>
            <w:vAlign w:val="center"/>
          </w:tcPr>
          <w:p w14:paraId="338634BE">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生产车间（T2）</w:t>
            </w:r>
          </w:p>
          <w:p w14:paraId="1ECE9394">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E:116.712857150，N:33.894787431</w:t>
            </w:r>
          </w:p>
        </w:tc>
        <w:tc>
          <w:tcPr>
            <w:tcW w:w="1178" w:type="pct"/>
            <w:vMerge w:val="continue"/>
            <w:tcBorders>
              <w:tl2br w:val="nil"/>
              <w:tr2bl w:val="nil"/>
            </w:tcBorders>
            <w:vAlign w:val="center"/>
          </w:tcPr>
          <w:p w14:paraId="6E453FDC">
            <w:pPr>
              <w:widowControl w:val="0"/>
              <w:jc w:val="center"/>
              <w:rPr>
                <w:rFonts w:hint="default" w:ascii="Times New Roman" w:hAnsi="Times New Roman" w:cs="Times New Roman"/>
                <w:color w:val="auto"/>
                <w:sz w:val="21"/>
                <w:szCs w:val="21"/>
                <w:lang w:val="en-US" w:eastAsia="zh-CN"/>
              </w:rPr>
            </w:pPr>
          </w:p>
        </w:tc>
        <w:tc>
          <w:tcPr>
            <w:tcW w:w="820" w:type="pct"/>
            <w:tcBorders>
              <w:tl2br w:val="nil"/>
              <w:tr2bl w:val="nil"/>
            </w:tcBorders>
            <w:vAlign w:val="center"/>
          </w:tcPr>
          <w:p w14:paraId="25A3EB5B">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b w:val="0"/>
                <w:bCs w:val="0"/>
                <w:color w:val="auto"/>
                <w:kern w:val="2"/>
                <w:sz w:val="21"/>
                <w:szCs w:val="21"/>
                <w:vertAlign w:val="baseline"/>
                <w:lang w:val="en-US" w:eastAsia="zh-CN" w:bidi="ar-SA"/>
              </w:rPr>
              <w:t>表层样</w:t>
            </w:r>
          </w:p>
        </w:tc>
        <w:tc>
          <w:tcPr>
            <w:tcW w:w="650" w:type="pct"/>
            <w:tcBorders>
              <w:tl2br w:val="nil"/>
              <w:tr2bl w:val="nil"/>
            </w:tcBorders>
            <w:vAlign w:val="center"/>
          </w:tcPr>
          <w:p w14:paraId="68484FE1">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w:t>
            </w:r>
          </w:p>
        </w:tc>
      </w:tr>
      <w:tr w14:paraId="7DE9E4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75" w:type="pct"/>
            <w:tcBorders>
              <w:tl2br w:val="nil"/>
              <w:tr2bl w:val="nil"/>
            </w:tcBorders>
            <w:shd w:val="clear" w:color="auto" w:fill="auto"/>
            <w:vAlign w:val="center"/>
          </w:tcPr>
          <w:p w14:paraId="25255B4E">
            <w:pPr>
              <w:widowControl w:val="0"/>
              <w:jc w:val="center"/>
              <w:rPr>
                <w:rFonts w:hint="default" w:ascii="Times New Roman" w:hAnsi="Times New Roman" w:eastAsia="宋体" w:cs="Times New Roman"/>
                <w:snapToGrid w:val="0"/>
                <w:color w:val="auto"/>
                <w:kern w:val="0"/>
                <w:sz w:val="21"/>
                <w:szCs w:val="21"/>
                <w:lang w:val="en-US" w:eastAsia="zh-CN" w:bidi="ar-SA"/>
              </w:rPr>
            </w:pPr>
            <w:r>
              <w:rPr>
                <w:rFonts w:hint="default" w:ascii="Times New Roman" w:hAnsi="Times New Roman" w:cs="Times New Roman"/>
                <w:color w:val="auto"/>
                <w:sz w:val="21"/>
                <w:szCs w:val="21"/>
                <w:lang w:val="en-US" w:eastAsia="zh-CN"/>
              </w:rPr>
              <w:t>3</w:t>
            </w:r>
          </w:p>
        </w:tc>
        <w:tc>
          <w:tcPr>
            <w:tcW w:w="1975" w:type="pct"/>
            <w:tcBorders>
              <w:tl2br w:val="nil"/>
              <w:tr2bl w:val="nil"/>
            </w:tcBorders>
            <w:shd w:val="clear" w:color="auto" w:fill="auto"/>
            <w:vAlign w:val="center"/>
          </w:tcPr>
          <w:p w14:paraId="1F785A13">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原料库（T3）</w:t>
            </w:r>
          </w:p>
          <w:p w14:paraId="394C5035">
            <w:pPr>
              <w:widowControl w:val="0"/>
              <w:jc w:val="center"/>
              <w:rPr>
                <w:rFonts w:hint="default" w:ascii="Times New Roman" w:hAnsi="Times New Roman" w:eastAsia="宋体" w:cs="Times New Roman"/>
                <w:snapToGrid w:val="0"/>
                <w:color w:val="auto"/>
                <w:kern w:val="0"/>
                <w:sz w:val="21"/>
                <w:szCs w:val="21"/>
                <w:lang w:val="en-US" w:eastAsia="zh-CN" w:bidi="ar-SA"/>
              </w:rPr>
            </w:pPr>
            <w:r>
              <w:rPr>
                <w:rFonts w:hint="default" w:ascii="Times New Roman" w:hAnsi="Times New Roman" w:cs="Times New Roman"/>
                <w:color w:val="auto"/>
                <w:sz w:val="21"/>
                <w:szCs w:val="21"/>
                <w:lang w:val="en-US" w:eastAsia="zh-CN"/>
              </w:rPr>
              <w:t>E:116.713699364</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N:33.894749880</w:t>
            </w:r>
          </w:p>
        </w:tc>
        <w:tc>
          <w:tcPr>
            <w:tcW w:w="1178" w:type="pct"/>
            <w:vMerge w:val="continue"/>
            <w:tcBorders>
              <w:tl2br w:val="nil"/>
              <w:tr2bl w:val="nil"/>
            </w:tcBorders>
            <w:vAlign w:val="center"/>
          </w:tcPr>
          <w:p w14:paraId="3BFFE964">
            <w:pPr>
              <w:widowControl w:val="0"/>
              <w:jc w:val="center"/>
              <w:rPr>
                <w:rFonts w:hint="default" w:ascii="Times New Roman" w:hAnsi="Times New Roman" w:cs="Times New Roman"/>
                <w:color w:val="auto"/>
                <w:sz w:val="21"/>
                <w:szCs w:val="21"/>
                <w:lang w:val="en-US" w:eastAsia="zh-CN"/>
              </w:rPr>
            </w:pPr>
          </w:p>
        </w:tc>
        <w:tc>
          <w:tcPr>
            <w:tcW w:w="820" w:type="pct"/>
            <w:tcBorders>
              <w:tl2br w:val="nil"/>
              <w:tr2bl w:val="nil"/>
            </w:tcBorders>
            <w:vAlign w:val="center"/>
          </w:tcPr>
          <w:p w14:paraId="6ECCABDF">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表层样</w:t>
            </w:r>
          </w:p>
        </w:tc>
        <w:tc>
          <w:tcPr>
            <w:tcW w:w="650" w:type="pct"/>
            <w:tcBorders>
              <w:tl2br w:val="nil"/>
              <w:tr2bl w:val="nil"/>
            </w:tcBorders>
            <w:vAlign w:val="center"/>
          </w:tcPr>
          <w:p w14:paraId="770079B8">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w:t>
            </w:r>
          </w:p>
        </w:tc>
      </w:tr>
    </w:tbl>
    <w:p w14:paraId="45CB0424">
      <w:pPr>
        <w:spacing w:line="360" w:lineRule="auto"/>
        <w:rPr>
          <w:color w:val="auto"/>
          <w:sz w:val="24"/>
          <w:szCs w:val="32"/>
        </w:rPr>
      </w:pPr>
    </w:p>
    <w:p w14:paraId="621AAFB6">
      <w:pPr>
        <w:spacing w:line="360" w:lineRule="auto"/>
        <w:rPr>
          <w:rFonts w:hint="eastAsia" w:eastAsia="宋体"/>
          <w:color w:val="auto"/>
          <w:sz w:val="24"/>
          <w:szCs w:val="32"/>
          <w:lang w:eastAsia="zh-CN"/>
        </w:rPr>
      </w:pPr>
      <w:r>
        <w:rPr>
          <w:color w:val="auto"/>
          <w:sz w:val="24"/>
        </w:rPr>
        <mc:AlternateContent>
          <mc:Choice Requires="wps">
            <w:drawing>
              <wp:anchor distT="0" distB="0" distL="114300" distR="114300" simplePos="0" relativeHeight="251815936" behindDoc="0" locked="0" layoutInCell="1" allowOverlap="1">
                <wp:simplePos x="0" y="0"/>
                <wp:positionH relativeFrom="column">
                  <wp:posOffset>211455</wp:posOffset>
                </wp:positionH>
                <wp:positionV relativeFrom="paragraph">
                  <wp:posOffset>4563110</wp:posOffset>
                </wp:positionV>
                <wp:extent cx="163195" cy="161925"/>
                <wp:effectExtent l="4445" t="4445" r="22860" b="5080"/>
                <wp:wrapNone/>
                <wp:docPr id="184" name="椭圆 184"/>
                <wp:cNvGraphicFramePr/>
                <a:graphic xmlns:a="http://schemas.openxmlformats.org/drawingml/2006/main">
                  <a:graphicData uri="http://schemas.microsoft.com/office/word/2010/wordprocessingShape">
                    <wps:wsp>
                      <wps:cNvSpPr/>
                      <wps:spPr>
                        <a:xfrm>
                          <a:off x="0" y="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65pt;margin-top:359.3pt;height:12.75pt;width:12.85pt;z-index:251815936;v-text-anchor:middle;mso-width-relative:page;mso-height-relative:page;" fillcolor="#FFFF00" filled="t" stroked="t" coordsize="21600,21600" o:gfxdata="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MwG/Z1wAAAAkBAAAPAAAAAAAAAAEAIAAAACIA&#10;AABkcnMvZG93bnJldi54bWxQSwECFAAUAAAACACHTuJATdMwfHwCAAAEBQAADgAAAAAAAAABACAA&#10;AAAmAQAAZHJzL2Uyb0RvYy54bWxQSwUGAAAAAAYABgBZAQAAFAYAAAAA&#1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814912" behindDoc="0" locked="0" layoutInCell="1" allowOverlap="1">
                <wp:simplePos x="0" y="0"/>
                <wp:positionH relativeFrom="column">
                  <wp:posOffset>167005</wp:posOffset>
                </wp:positionH>
                <wp:positionV relativeFrom="paragraph">
                  <wp:posOffset>4293870</wp:posOffset>
                </wp:positionV>
                <wp:extent cx="265430" cy="163195"/>
                <wp:effectExtent l="6350" t="6350" r="13970" b="20955"/>
                <wp:wrapNone/>
                <wp:docPr id="183" name="矩形 183"/>
                <wp:cNvGraphicFramePr/>
                <a:graphic xmlns:a="http://schemas.openxmlformats.org/drawingml/2006/main">
                  <a:graphicData uri="http://schemas.microsoft.com/office/word/2010/wordprocessingShape">
                    <wps:wsp>
                      <wps:cNvSpPr/>
                      <wps:spPr>
                        <a:xfrm>
                          <a:off x="852805" y="5208270"/>
                          <a:ext cx="265430" cy="163195"/>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15pt;margin-top:338.1pt;height:12.85pt;width:20.9pt;z-index:251814912;v-text-anchor:middle;mso-width-relative:page;mso-height-relative:page;" filled="f" stroked="t" coordsize="21600,21600" o:gfxdata="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ic0Q/WAAAACQEAAA8AAAAAAAAAAQAgAAAAIgAAAGRycy9kb3ducmV2LnhtbFBL&#10;AQIUABQAAAAIAIdO4kDWHrM3agIAAMIEAAAOAAAAAAAAAAEAIAAAACUBAABkcnMvZTJvRG9jLnht&#10;bFBLBQYAAAAABgAGAFkBAAABBgAAAAA=&#10;">
                <v:fill on="f" focussize="0,0"/>
                <v:stroke weight="1pt" color="#FF0000 [2404]" joinstyle="round"/>
                <v:imagedata o:title=""/>
                <o:lock v:ext="edit" aspectratio="f"/>
              </v:rect>
            </w:pict>
          </mc:Fallback>
        </mc:AlternateContent>
      </w:r>
      <w:r>
        <w:rPr>
          <w:color w:val="auto"/>
          <w:sz w:val="21"/>
        </w:rPr>
        <mc:AlternateContent>
          <mc:Choice Requires="wps">
            <w:drawing>
              <wp:anchor distT="0" distB="0" distL="114300" distR="114300" simplePos="0" relativeHeight="251813888" behindDoc="0" locked="0" layoutInCell="1" allowOverlap="1">
                <wp:simplePos x="0" y="0"/>
                <wp:positionH relativeFrom="column">
                  <wp:posOffset>58420</wp:posOffset>
                </wp:positionH>
                <wp:positionV relativeFrom="paragraph">
                  <wp:posOffset>3871595</wp:posOffset>
                </wp:positionV>
                <wp:extent cx="1163320" cy="932180"/>
                <wp:effectExtent l="4445" t="4445" r="13335" b="15875"/>
                <wp:wrapNone/>
                <wp:docPr id="182" name="文本框 182"/>
                <wp:cNvGraphicFramePr/>
                <a:graphic xmlns:a="http://schemas.openxmlformats.org/drawingml/2006/main">
                  <a:graphicData uri="http://schemas.microsoft.com/office/word/2010/wordprocessingShape">
                    <wps:wsp>
                      <wps:cNvSpPr txBox="1"/>
                      <wps:spPr>
                        <a:xfrm>
                          <a:off x="744220" y="5010785"/>
                          <a:ext cx="1163320" cy="9321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6CBF9DA">
                            <w:pPr>
                              <w:spacing w:line="360" w:lineRule="auto"/>
                              <w:jc w:val="center"/>
                              <w:rPr>
                                <w:rFonts w:hint="eastAsia"/>
                                <w:b/>
                                <w:bCs/>
                                <w:lang w:val="en-US" w:eastAsia="zh-CN"/>
                              </w:rPr>
                            </w:pPr>
                            <w:r>
                              <w:rPr>
                                <w:rFonts w:hint="eastAsia"/>
                                <w:b/>
                                <w:bCs/>
                                <w:lang w:val="en-US" w:eastAsia="zh-CN"/>
                              </w:rPr>
                              <w:t>图例</w:t>
                            </w:r>
                          </w:p>
                          <w:p w14:paraId="432EEF24">
                            <w:pPr>
                              <w:spacing w:line="360" w:lineRule="auto"/>
                              <w:jc w:val="right"/>
                              <w:rPr>
                                <w:rFonts w:hint="eastAsia"/>
                                <w:b w:val="0"/>
                                <w:bCs w:val="0"/>
                                <w:lang w:val="en-US" w:eastAsia="zh-CN"/>
                              </w:rPr>
                            </w:pPr>
                            <w:r>
                              <w:rPr>
                                <w:rFonts w:hint="eastAsia"/>
                                <w:b w:val="0"/>
                                <w:bCs w:val="0"/>
                                <w:lang w:val="en-US" w:eastAsia="zh-CN"/>
                              </w:rPr>
                              <w:t>项目厂址</w:t>
                            </w:r>
                          </w:p>
                          <w:p w14:paraId="7122D2DA">
                            <w:pPr>
                              <w:spacing w:line="360" w:lineRule="auto"/>
                              <w:jc w:val="right"/>
                              <w:rPr>
                                <w:rFonts w:hint="default"/>
                                <w:b/>
                                <w:bCs/>
                                <w:lang w:val="en-US" w:eastAsia="zh-CN"/>
                              </w:rPr>
                            </w:pPr>
                            <w:r>
                              <w:rPr>
                                <w:rFonts w:hint="eastAsia"/>
                                <w:b w:val="0"/>
                                <w:bCs w:val="0"/>
                                <w:lang w:val="en-US" w:eastAsia="zh-CN"/>
                              </w:rPr>
                              <w:t>监测点位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pt;margin-top:304.85pt;height:73.4pt;width:91.6pt;z-index:251813888;mso-width-relative:page;mso-height-relative:page;" fillcolor="#FFFFFF [3201]" filled="t" stroked="t" coordsize="21600,21600" o:gfxdata="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tL0ji1gAAAAkBAAAPAAAAAAAAAAEAIAAAACIAAABkcnMvZG93bnJldi54bWxQSwECFAAU&#10;AAAACACHTuJAtZ9I8WUCAADGBAAADgAAAAAAAAABACAAAAAlAQAAZHJzL2Uyb0RvYy54bWxQSwUG&#10;AAAAAAYABgBZAQAA/AUAAAAA&#10;">
                <v:fill on="t" focussize="0,0"/>
                <v:stroke weight="0.5pt" color="#000000 [3204]" joinstyle="round"/>
                <v:imagedata o:title=""/>
                <o:lock v:ext="edit" aspectratio="f"/>
                <v:textbox>
                  <w:txbxContent>
                    <w:p w14:paraId="46CBF9DA">
                      <w:pPr>
                        <w:spacing w:line="360" w:lineRule="auto"/>
                        <w:jc w:val="center"/>
                        <w:rPr>
                          <w:rFonts w:hint="eastAsia"/>
                          <w:b/>
                          <w:bCs/>
                          <w:lang w:val="en-US" w:eastAsia="zh-CN"/>
                        </w:rPr>
                      </w:pPr>
                      <w:r>
                        <w:rPr>
                          <w:rFonts w:hint="eastAsia"/>
                          <w:b/>
                          <w:bCs/>
                          <w:lang w:val="en-US" w:eastAsia="zh-CN"/>
                        </w:rPr>
                        <w:t>图例</w:t>
                      </w:r>
                    </w:p>
                    <w:p w14:paraId="432EEF24">
                      <w:pPr>
                        <w:spacing w:line="360" w:lineRule="auto"/>
                        <w:jc w:val="right"/>
                        <w:rPr>
                          <w:rFonts w:hint="eastAsia"/>
                          <w:b w:val="0"/>
                          <w:bCs w:val="0"/>
                          <w:lang w:val="en-US" w:eastAsia="zh-CN"/>
                        </w:rPr>
                      </w:pPr>
                      <w:r>
                        <w:rPr>
                          <w:rFonts w:hint="eastAsia"/>
                          <w:b w:val="0"/>
                          <w:bCs w:val="0"/>
                          <w:lang w:val="en-US" w:eastAsia="zh-CN"/>
                        </w:rPr>
                        <w:t>项目厂址</w:t>
                      </w:r>
                    </w:p>
                    <w:p w14:paraId="7122D2DA">
                      <w:pPr>
                        <w:spacing w:line="360" w:lineRule="auto"/>
                        <w:jc w:val="right"/>
                        <w:rPr>
                          <w:rFonts w:hint="default"/>
                          <w:b/>
                          <w:bCs/>
                          <w:lang w:val="en-US" w:eastAsia="zh-CN"/>
                        </w:rPr>
                      </w:pPr>
                      <w:r>
                        <w:rPr>
                          <w:rFonts w:hint="eastAsia"/>
                          <w:b w:val="0"/>
                          <w:bCs w:val="0"/>
                          <w:lang w:val="en-US" w:eastAsia="zh-CN"/>
                        </w:rPr>
                        <w:t>监测点位</w:t>
                      </w:r>
                    </w:p>
                  </w:txbxContent>
                </v:textbox>
              </v:shape>
            </w:pict>
          </mc:Fallback>
        </mc:AlternateContent>
      </w:r>
      <w:r>
        <w:rPr>
          <w:color w:val="auto"/>
        </w:rPr>
        <w:drawing>
          <wp:anchor distT="0" distB="0" distL="114300" distR="114300" simplePos="0" relativeHeight="251812864" behindDoc="0" locked="0" layoutInCell="1" allowOverlap="1">
            <wp:simplePos x="0" y="0"/>
            <wp:positionH relativeFrom="column">
              <wp:posOffset>5420360</wp:posOffset>
            </wp:positionH>
            <wp:positionV relativeFrom="paragraph">
              <wp:posOffset>31115</wp:posOffset>
            </wp:positionV>
            <wp:extent cx="758190" cy="1022985"/>
            <wp:effectExtent l="0" t="0" r="3810" b="5715"/>
            <wp:wrapNone/>
            <wp:docPr id="175" name="图片 175"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风向标"/>
                    <pic:cNvPicPr>
                      <a:picLocks noChangeAspect="1"/>
                    </pic:cNvPicPr>
                  </pic:nvPicPr>
                  <pic:blipFill>
                    <a:blip r:embed="rId18"/>
                    <a:srcRect l="8090" t="1916" r="5231" b="6034"/>
                    <a:stretch>
                      <a:fillRect/>
                    </a:stretch>
                  </pic:blipFill>
                  <pic:spPr>
                    <a:xfrm>
                      <a:off x="0" y="0"/>
                      <a:ext cx="758190" cy="1022985"/>
                    </a:xfrm>
                    <a:prstGeom prst="rect">
                      <a:avLst/>
                    </a:prstGeom>
                  </pic:spPr>
                </pic:pic>
              </a:graphicData>
            </a:graphic>
          </wp:anchor>
        </w:drawing>
      </w:r>
      <w:r>
        <w:rPr>
          <w:color w:val="auto"/>
          <w:sz w:val="24"/>
        </w:rPr>
        <mc:AlternateContent>
          <mc:Choice Requires="wps">
            <w:drawing>
              <wp:anchor distT="0" distB="0" distL="114300" distR="114300" simplePos="0" relativeHeight="251811840" behindDoc="0" locked="0" layoutInCell="1" allowOverlap="1">
                <wp:simplePos x="0" y="0"/>
                <wp:positionH relativeFrom="column">
                  <wp:posOffset>3690620</wp:posOffset>
                </wp:positionH>
                <wp:positionV relativeFrom="paragraph">
                  <wp:posOffset>2618740</wp:posOffset>
                </wp:positionV>
                <wp:extent cx="1026160" cy="25908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026160"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1B3C0F">
                            <w:pPr>
                              <w:rPr>
                                <w:rFonts w:hint="default" w:eastAsia="宋体"/>
                                <w:b/>
                                <w:bCs/>
                                <w:color w:val="FFFF00"/>
                                <w:lang w:val="en-US" w:eastAsia="zh-CN"/>
                              </w:rPr>
                            </w:pPr>
                            <w:r>
                              <w:rPr>
                                <w:rFonts w:hint="eastAsia"/>
                                <w:b/>
                                <w:bCs/>
                                <w:color w:val="FFFF00"/>
                                <w:lang w:val="en-US" w:eastAsia="zh-CN"/>
                              </w:rPr>
                              <w:t>T3原料库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0.6pt;margin-top:206.2pt;height:20.4pt;width:80.8pt;z-index:251811840;mso-width-relative:page;mso-height-relative:page;" filled="f" stroked="f" coordsize="21600,21600" o:gfxdata="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&#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0HJ/tsAAAALAQAADwAAAAAAAAABACAAAAAiAAAA&#10;ZHJzL2Rvd25yZXYueG1sUEsBAhQAFAAAAAgAh07iQCoY4JQ9AgAAagQAAA4AAAAAAAAAAQAgAAAA&#10;KgEAAGRycy9lMm9Eb2MueG1sUEsFBgAAAAAGAAYAWQEAANkFAAAAAA==&#10;">
                <v:fill on="f" focussize="0,0"/>
                <v:stroke on="f" weight="0.5pt"/>
                <v:imagedata o:title=""/>
                <o:lock v:ext="edit" aspectratio="f"/>
                <v:textbox>
                  <w:txbxContent>
                    <w:p w14:paraId="551B3C0F">
                      <w:pPr>
                        <w:rPr>
                          <w:rFonts w:hint="default" w:eastAsia="宋体"/>
                          <w:b/>
                          <w:bCs/>
                          <w:color w:val="FFFF00"/>
                          <w:lang w:val="en-US" w:eastAsia="zh-CN"/>
                        </w:rPr>
                      </w:pPr>
                      <w:r>
                        <w:rPr>
                          <w:rFonts w:hint="eastAsia"/>
                          <w:b/>
                          <w:bCs/>
                          <w:color w:val="FFFF00"/>
                          <w:lang w:val="en-US" w:eastAsia="zh-CN"/>
                        </w:rPr>
                        <w:t>T3原料库</w:t>
                      </w:r>
                    </w:p>
                  </w:txbxContent>
                </v:textbox>
              </v:shape>
            </w:pict>
          </mc:Fallback>
        </mc:AlternateContent>
      </w:r>
      <w:r>
        <w:rPr>
          <w:color w:val="auto"/>
          <w:sz w:val="24"/>
        </w:rPr>
        <mc:AlternateContent>
          <mc:Choice Requires="wps">
            <w:drawing>
              <wp:anchor distT="0" distB="0" distL="114300" distR="114300" simplePos="0" relativeHeight="251810816" behindDoc="0" locked="0" layoutInCell="1" allowOverlap="1">
                <wp:simplePos x="0" y="0"/>
                <wp:positionH relativeFrom="column">
                  <wp:posOffset>3102610</wp:posOffset>
                </wp:positionH>
                <wp:positionV relativeFrom="paragraph">
                  <wp:posOffset>2901950</wp:posOffset>
                </wp:positionV>
                <wp:extent cx="1026160" cy="259080"/>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1026160"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FDE3EA">
                            <w:pPr>
                              <w:rPr>
                                <w:rFonts w:hint="default" w:eastAsia="宋体"/>
                                <w:b/>
                                <w:bCs/>
                                <w:color w:val="FFFF00"/>
                                <w:lang w:val="en-US" w:eastAsia="zh-CN"/>
                              </w:rPr>
                            </w:pPr>
                            <w:r>
                              <w:rPr>
                                <w:rFonts w:hint="eastAsia"/>
                                <w:b/>
                                <w:bCs/>
                                <w:color w:val="FFFF00"/>
                                <w:lang w:val="en-US" w:eastAsia="zh-CN"/>
                              </w:rPr>
                              <w:t>T2生产车间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3pt;margin-top:228.5pt;height:20.4pt;width:80.8pt;z-index:251810816;mso-width-relative:page;mso-height-relative:page;" filled="f" stroked="f" coordsize="21600,21600" o:gfxdata="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&#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jnIUZtwAAAALAQAADwAAAAAAAAABACAAAAAiAAAA&#10;ZHJzL2Rvd25yZXYueG1sUEsBAhQAFAAAAAgAh07iQE/R7mk8AgAAagQAAA4AAAAAAAAAAQAgAAAA&#10;KwEAAGRycy9lMm9Eb2MueG1sUEsFBgAAAAAGAAYAWQEAANkFAAAAAA==&#10;">
                <v:fill on="f" focussize="0,0"/>
                <v:stroke on="f" weight="0.5pt"/>
                <v:imagedata o:title=""/>
                <o:lock v:ext="edit" aspectratio="f"/>
                <v:textbox>
                  <w:txbxContent>
                    <w:p w14:paraId="34FDE3EA">
                      <w:pPr>
                        <w:rPr>
                          <w:rFonts w:hint="default" w:eastAsia="宋体"/>
                          <w:b/>
                          <w:bCs/>
                          <w:color w:val="FFFF00"/>
                          <w:lang w:val="en-US" w:eastAsia="zh-CN"/>
                        </w:rPr>
                      </w:pPr>
                      <w:r>
                        <w:rPr>
                          <w:rFonts w:hint="eastAsia"/>
                          <w:b/>
                          <w:bCs/>
                          <w:color w:val="FFFF00"/>
                          <w:lang w:val="en-US" w:eastAsia="zh-CN"/>
                        </w:rPr>
                        <w:t>T2生产车间</w:t>
                      </w:r>
                    </w:p>
                  </w:txbxContent>
                </v:textbox>
              </v:shape>
            </w:pict>
          </mc:Fallback>
        </mc:AlternateContent>
      </w:r>
      <w:r>
        <w:rPr>
          <w:color w:val="auto"/>
          <w:sz w:val="24"/>
        </w:rPr>
        <mc:AlternateContent>
          <mc:Choice Requires="wps">
            <w:drawing>
              <wp:anchor distT="0" distB="0" distL="114300" distR="114300" simplePos="0" relativeHeight="251807744" behindDoc="0" locked="0" layoutInCell="1" allowOverlap="1">
                <wp:simplePos x="0" y="0"/>
                <wp:positionH relativeFrom="column">
                  <wp:posOffset>3007995</wp:posOffset>
                </wp:positionH>
                <wp:positionV relativeFrom="paragraph">
                  <wp:posOffset>2902585</wp:posOffset>
                </wp:positionV>
                <wp:extent cx="163195" cy="161925"/>
                <wp:effectExtent l="4445" t="4445" r="22860" b="5080"/>
                <wp:wrapNone/>
                <wp:docPr id="65" name="椭圆 65"/>
                <wp:cNvGraphicFramePr/>
                <a:graphic xmlns:a="http://schemas.openxmlformats.org/drawingml/2006/main">
                  <a:graphicData uri="http://schemas.microsoft.com/office/word/2010/wordprocessingShape">
                    <wps:wsp>
                      <wps:cNvSpPr/>
                      <wps:spPr>
                        <a:xfrm>
                          <a:off x="0" y="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36.85pt;margin-top:228.55pt;height:12.75pt;width:12.85pt;z-index:251807744;v-text-anchor:middle;mso-width-relative:page;mso-height-relative:page;" fillcolor="#FFFF00" filled="t" stroked="t" coordsize="21600,21600" o:gfxdata="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IU+hKDZAAAACwEAAA8AAAAAAAAAAQAgAAAA&#10;IgAAAGRycy9kb3ducmV2LnhtbFBLAQIUABQAAAAIAIdO4kDcNf3YfAIAAAIFAAAOAAAAAAAAAAEA&#10;IAAAACgBAABkcnMvZTJvRG9jLnhtbFBLBQYAAAAABgAGAFkBAAAW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809792" behindDoc="0" locked="0" layoutInCell="1" allowOverlap="1">
                <wp:simplePos x="0" y="0"/>
                <wp:positionH relativeFrom="column">
                  <wp:posOffset>2473960</wp:posOffset>
                </wp:positionH>
                <wp:positionV relativeFrom="paragraph">
                  <wp:posOffset>2532380</wp:posOffset>
                </wp:positionV>
                <wp:extent cx="869950" cy="259080"/>
                <wp:effectExtent l="0" t="0" r="0" b="0"/>
                <wp:wrapNone/>
                <wp:docPr id="104" name="文本框 104"/>
                <wp:cNvGraphicFramePr/>
                <a:graphic xmlns:a="http://schemas.openxmlformats.org/drawingml/2006/main">
                  <a:graphicData uri="http://schemas.microsoft.com/office/word/2010/wordprocessingShape">
                    <wps:wsp>
                      <wps:cNvSpPr txBox="1"/>
                      <wps:spPr>
                        <a:xfrm>
                          <a:off x="3390900" y="3576320"/>
                          <a:ext cx="869950"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809D30">
                            <w:pPr>
                              <w:rPr>
                                <w:rFonts w:hint="default" w:eastAsia="宋体"/>
                                <w:b/>
                                <w:bCs/>
                                <w:color w:val="FFFF00"/>
                                <w:lang w:val="en-US" w:eastAsia="zh-CN"/>
                              </w:rPr>
                            </w:pPr>
                            <w:r>
                              <w:rPr>
                                <w:rFonts w:hint="eastAsia"/>
                                <w:b/>
                                <w:bCs/>
                                <w:color w:val="FFFF00"/>
                                <w:lang w:val="en-US" w:eastAsia="zh-CN"/>
                              </w:rPr>
                              <w:t>T1成品库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8pt;margin-top:199.4pt;height:20.4pt;width:68.5pt;z-index:251809792;mso-width-relative:page;mso-height-relative:page;" filled="f" stroked="f" coordsize="21600,21600" o:gfxdata="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sX8kF9sAAAALAQAADwAAAAAAAAAB&#10;ACAAAAAiAAAAZHJzL2Rvd25yZXYueG1sUEsBAhQAFAAAAAgAh07iQB8/XphGAgAAdQQAAA4AAAAA&#10;AAAAAQAgAAAAKgEAAGRycy9lMm9Eb2MueG1sUEsFBgAAAAAGAAYAWQEAAOIFAAAAAA==&#10;">
                <v:fill on="f" focussize="0,0"/>
                <v:stroke on="f" weight="0.5pt"/>
                <v:imagedata o:title=""/>
                <o:lock v:ext="edit" aspectratio="f"/>
                <v:textbox>
                  <w:txbxContent>
                    <w:p w14:paraId="4D809D30">
                      <w:pPr>
                        <w:rPr>
                          <w:rFonts w:hint="default" w:eastAsia="宋体"/>
                          <w:b/>
                          <w:bCs/>
                          <w:color w:val="FFFF00"/>
                          <w:lang w:val="en-US" w:eastAsia="zh-CN"/>
                        </w:rPr>
                      </w:pPr>
                      <w:r>
                        <w:rPr>
                          <w:rFonts w:hint="eastAsia"/>
                          <w:b/>
                          <w:bCs/>
                          <w:color w:val="FFFF00"/>
                          <w:lang w:val="en-US" w:eastAsia="zh-CN"/>
                        </w:rPr>
                        <w:t>T1成品库</w:t>
                      </w:r>
                    </w:p>
                  </w:txbxContent>
                </v:textbox>
              </v:shape>
            </w:pict>
          </mc:Fallback>
        </mc:AlternateContent>
      </w:r>
      <w:r>
        <w:rPr>
          <w:color w:val="auto"/>
          <w:sz w:val="24"/>
        </w:rPr>
        <mc:AlternateContent>
          <mc:Choice Requires="wps">
            <w:drawing>
              <wp:anchor distT="0" distB="0" distL="114300" distR="114300" simplePos="0" relativeHeight="251806720" behindDoc="0" locked="0" layoutInCell="1" allowOverlap="1">
                <wp:simplePos x="0" y="0"/>
                <wp:positionH relativeFrom="column">
                  <wp:posOffset>2413000</wp:posOffset>
                </wp:positionH>
                <wp:positionV relativeFrom="paragraph">
                  <wp:posOffset>2492375</wp:posOffset>
                </wp:positionV>
                <wp:extent cx="163195" cy="161925"/>
                <wp:effectExtent l="4445" t="4445" r="22860" b="5080"/>
                <wp:wrapNone/>
                <wp:docPr id="64" name="椭圆 64"/>
                <wp:cNvGraphicFramePr/>
                <a:graphic xmlns:a="http://schemas.openxmlformats.org/drawingml/2006/main">
                  <a:graphicData uri="http://schemas.microsoft.com/office/word/2010/wordprocessingShape">
                    <wps:wsp>
                      <wps:cNvSpPr/>
                      <wps:spPr>
                        <a:xfrm>
                          <a:off x="2914650" y="336550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0pt;margin-top:196.25pt;height:12.75pt;width:12.85pt;z-index:251806720;v-text-anchor:middle;mso-width-relative:page;mso-height-relative:page;" fillcolor="#FFFF00" filled="t" stroked="t" coordsize="21600,21600" o:gfxdata="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rZsAW2QAAAAsBAAAPAAAA&#10;AAAAAAEAIAAAACIAAABkcnMvZG93bnJldi54bWxQSwECFAAUAAAACACHTuJAmqjZtoYCAAAOBQAA&#10;DgAAAAAAAAABACAAAAAoAQAAZHJzL2Uyb0RvYy54bWxQSwUGAAAAAAYABgBZAQAAIAY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808768" behindDoc="0" locked="0" layoutInCell="1" allowOverlap="1">
                <wp:simplePos x="0" y="0"/>
                <wp:positionH relativeFrom="column">
                  <wp:posOffset>3599815</wp:posOffset>
                </wp:positionH>
                <wp:positionV relativeFrom="paragraph">
                  <wp:posOffset>2590165</wp:posOffset>
                </wp:positionV>
                <wp:extent cx="163195" cy="161925"/>
                <wp:effectExtent l="4445" t="4445" r="22860" b="5080"/>
                <wp:wrapNone/>
                <wp:docPr id="74" name="椭圆 74"/>
                <wp:cNvGraphicFramePr/>
                <a:graphic xmlns:a="http://schemas.openxmlformats.org/drawingml/2006/main">
                  <a:graphicData uri="http://schemas.microsoft.com/office/word/2010/wordprocessingShape">
                    <wps:wsp>
                      <wps:cNvSpPr/>
                      <wps:spPr>
                        <a:xfrm>
                          <a:off x="0" y="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83.45pt;margin-top:203.95pt;height:12.75pt;width:12.85pt;z-index:251808768;v-text-anchor:middle;mso-width-relative:page;mso-height-relative:page;" fillcolor="#FFFF00" filled="t" stroked="t" coordsize="21600,21600" o:gfxdata="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7W9qzaAAAACwEAAA8AAAAAAAAAAQAgAAAA&#10;IgAAAGRycy9kb3ducmV2LnhtbFBLAQIUABQAAAAIAIdO4kA0WDHoewIAAAIFAAAOAAAAAAAAAAEA&#10;IAAAACkBAABkcnMvZTJvRG9jLnhtbFBLBQYAAAAABgAGAFkBAAAWBgAAAAA=&#10;">
                <v:fill on="t" focussize="0,0"/>
                <v:stroke weight="0.25pt" color="#376092 [2404]" joinstyle="round"/>
                <v:imagedata o:title=""/>
                <o:lock v:ext="edit" aspectratio="f"/>
              </v:shape>
            </w:pict>
          </mc:Fallback>
        </mc:AlternateContent>
      </w:r>
      <w:r>
        <w:rPr>
          <w:rFonts w:hint="eastAsia" w:eastAsia="宋体"/>
          <w:color w:val="auto"/>
          <w:sz w:val="24"/>
          <w:szCs w:val="32"/>
          <w:lang w:eastAsia="zh-CN"/>
        </w:rPr>
        <w:drawing>
          <wp:inline distT="0" distB="0" distL="114300" distR="114300">
            <wp:extent cx="6184900" cy="5087620"/>
            <wp:effectExtent l="0" t="0" r="6350" b="17780"/>
            <wp:docPr id="55" name="图片 5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
                    <pic:cNvPicPr>
                      <a:picLocks noChangeAspect="1"/>
                    </pic:cNvPicPr>
                  </pic:nvPicPr>
                  <pic:blipFill>
                    <a:blip r:embed="rId42"/>
                    <a:stretch>
                      <a:fillRect/>
                    </a:stretch>
                  </pic:blipFill>
                  <pic:spPr>
                    <a:xfrm>
                      <a:off x="0" y="0"/>
                      <a:ext cx="6184900" cy="5087620"/>
                    </a:xfrm>
                    <a:prstGeom prst="rect">
                      <a:avLst/>
                    </a:prstGeom>
                  </pic:spPr>
                </pic:pic>
              </a:graphicData>
            </a:graphic>
          </wp:inline>
        </w:drawing>
      </w:r>
    </w:p>
    <w:p w14:paraId="7A42AC50">
      <w:pPr>
        <w:spacing w:line="360" w:lineRule="auto"/>
        <w:jc w:val="center"/>
        <w:rPr>
          <w:rFonts w:hint="default" w:eastAsia="宋体"/>
          <w:color w:val="auto"/>
          <w:sz w:val="24"/>
          <w:szCs w:val="32"/>
          <w:lang w:val="en-US" w:eastAsia="zh-CN"/>
        </w:rPr>
      </w:pPr>
      <w:r>
        <w:rPr>
          <w:rFonts w:hint="eastAsia"/>
          <w:b/>
          <w:bCs/>
          <w:color w:val="auto"/>
          <w:sz w:val="24"/>
          <w:szCs w:val="32"/>
          <w:lang w:val="en-US" w:eastAsia="zh-CN"/>
        </w:rPr>
        <w:t>图4-4 厂区土壤环境质量监测点位示意图</w:t>
      </w:r>
    </w:p>
    <w:p w14:paraId="75DC7046">
      <w:pPr>
        <w:spacing w:line="360" w:lineRule="auto"/>
        <w:ind w:firstLine="480" w:firstLineChars="200"/>
        <w:rPr>
          <w:color w:val="auto"/>
          <w:sz w:val="24"/>
          <w:szCs w:val="32"/>
        </w:rPr>
      </w:pPr>
      <w:r>
        <w:rPr>
          <w:color w:val="auto"/>
          <w:sz w:val="24"/>
          <w:szCs w:val="32"/>
        </w:rPr>
        <w:t>2、监测时间及频率</w:t>
      </w:r>
      <w:bookmarkEnd w:id="353"/>
      <w:bookmarkEnd w:id="354"/>
    </w:p>
    <w:p w14:paraId="24CC16B5">
      <w:pPr>
        <w:spacing w:line="360" w:lineRule="auto"/>
        <w:ind w:firstLine="480" w:firstLineChars="200"/>
        <w:rPr>
          <w:color w:val="auto"/>
          <w:sz w:val="24"/>
          <w:szCs w:val="32"/>
        </w:rPr>
      </w:pPr>
      <w:r>
        <w:rPr>
          <w:color w:val="auto"/>
          <w:sz w:val="24"/>
          <w:szCs w:val="32"/>
        </w:rPr>
        <w:t>监测时间为</w:t>
      </w:r>
      <w:r>
        <w:rPr>
          <w:rFonts w:hint="eastAsia"/>
          <w:color w:val="auto"/>
          <w:sz w:val="24"/>
          <w:szCs w:val="32"/>
          <w:lang w:val="en-US" w:eastAsia="zh-CN"/>
        </w:rPr>
        <w:t>2026年3月14日，监测1次</w:t>
      </w:r>
      <w:r>
        <w:rPr>
          <w:color w:val="auto"/>
          <w:sz w:val="24"/>
          <w:szCs w:val="32"/>
        </w:rPr>
        <w:t>。</w:t>
      </w:r>
    </w:p>
    <w:p w14:paraId="448FD92C">
      <w:pPr>
        <w:spacing w:line="360" w:lineRule="auto"/>
        <w:ind w:firstLine="480" w:firstLineChars="200"/>
        <w:rPr>
          <w:color w:val="auto"/>
          <w:sz w:val="24"/>
          <w:szCs w:val="32"/>
        </w:rPr>
      </w:pPr>
      <w:bookmarkStart w:id="355" w:name="_Toc28867"/>
      <w:bookmarkStart w:id="356" w:name="_Toc17396"/>
      <w:r>
        <w:rPr>
          <w:color w:val="auto"/>
          <w:sz w:val="24"/>
          <w:szCs w:val="32"/>
        </w:rPr>
        <w:t>3、监测项目</w:t>
      </w:r>
      <w:bookmarkEnd w:id="355"/>
      <w:bookmarkEnd w:id="356"/>
    </w:p>
    <w:p w14:paraId="5D8B4865">
      <w:pPr>
        <w:spacing w:line="360" w:lineRule="auto"/>
        <w:ind w:firstLine="480" w:firstLineChars="200"/>
        <w:rPr>
          <w:color w:val="auto"/>
          <w:sz w:val="24"/>
          <w:szCs w:val="32"/>
        </w:rPr>
      </w:pPr>
      <w:r>
        <w:rPr>
          <w:color w:val="auto"/>
          <w:sz w:val="24"/>
          <w:szCs w:val="32"/>
        </w:rPr>
        <w:t>基本因子：</w:t>
      </w:r>
      <w:r>
        <w:rPr>
          <w:rFonts w:hint="eastAsia"/>
          <w:color w:val="auto"/>
          <w:sz w:val="24"/>
          <w:szCs w:val="32"/>
          <w:lang w:val="en-US" w:eastAsia="zh-CN"/>
        </w:rPr>
        <w:t>pH、</w:t>
      </w:r>
      <w:r>
        <w:rPr>
          <w:color w:val="auto"/>
          <w:sz w:val="24"/>
          <w:szCs w:val="32"/>
        </w:rPr>
        <w:t>砷、镉、铬、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茆并[1，2,3-cd]芘、萘共45项。</w:t>
      </w:r>
    </w:p>
    <w:p w14:paraId="1DAC9F40">
      <w:pPr>
        <w:spacing w:line="360" w:lineRule="auto"/>
        <w:ind w:firstLine="480" w:firstLineChars="200"/>
        <w:rPr>
          <w:color w:val="auto"/>
          <w:sz w:val="24"/>
          <w:szCs w:val="32"/>
        </w:rPr>
      </w:pPr>
      <w:bookmarkStart w:id="357" w:name="_Toc21481"/>
      <w:bookmarkStart w:id="358" w:name="_Toc24061"/>
      <w:r>
        <w:rPr>
          <w:color w:val="auto"/>
          <w:sz w:val="24"/>
          <w:szCs w:val="32"/>
        </w:rPr>
        <w:t>4、监测结果</w:t>
      </w:r>
      <w:bookmarkEnd w:id="357"/>
      <w:bookmarkEnd w:id="358"/>
    </w:p>
    <w:p w14:paraId="026609FC">
      <w:pPr>
        <w:spacing w:line="360" w:lineRule="auto"/>
        <w:ind w:firstLine="480" w:firstLineChars="200"/>
        <w:rPr>
          <w:color w:val="auto"/>
        </w:rPr>
        <w:sectPr>
          <w:headerReference r:id="rId13" w:type="default"/>
          <w:footerReference r:id="rId14" w:type="default"/>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color w:val="auto"/>
          <w:sz w:val="24"/>
          <w:szCs w:val="32"/>
        </w:rPr>
        <w:t>项目土壤环境监测结果见下表：</w:t>
      </w:r>
    </w:p>
    <w:p w14:paraId="1F99B0B6">
      <w:pPr>
        <w:spacing w:line="360" w:lineRule="auto"/>
        <w:jc w:val="center"/>
        <w:rPr>
          <w:b/>
          <w:bCs/>
          <w:color w:val="auto"/>
          <w:sz w:val="24"/>
          <w:szCs w:val="32"/>
        </w:rPr>
      </w:pPr>
      <w:r>
        <w:rPr>
          <w:b/>
          <w:bCs/>
          <w:color w:val="auto"/>
          <w:sz w:val="24"/>
          <w:szCs w:val="32"/>
        </w:rPr>
        <w:t>表4-1</w:t>
      </w:r>
      <w:r>
        <w:rPr>
          <w:rFonts w:hint="eastAsia"/>
          <w:b/>
          <w:bCs/>
          <w:color w:val="auto"/>
          <w:sz w:val="24"/>
          <w:szCs w:val="32"/>
          <w:lang w:val="en-US" w:eastAsia="zh-CN"/>
        </w:rPr>
        <w:t>3</w:t>
      </w:r>
      <w:r>
        <w:rPr>
          <w:b/>
          <w:bCs/>
          <w:color w:val="auto"/>
          <w:sz w:val="24"/>
          <w:szCs w:val="32"/>
        </w:rPr>
        <w:t xml:space="preserve"> 土壤监测结果统计表  单位：mg/kg</w:t>
      </w:r>
    </w:p>
    <w:tbl>
      <w:tblPr>
        <w:tblStyle w:val="31"/>
        <w:tblW w:w="4989"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1405"/>
        <w:gridCol w:w="753"/>
        <w:gridCol w:w="1558"/>
        <w:gridCol w:w="1558"/>
        <w:gridCol w:w="1559"/>
        <w:gridCol w:w="924"/>
        <w:gridCol w:w="1161"/>
        <w:gridCol w:w="1022"/>
      </w:tblGrid>
      <w:tr w14:paraId="2F97C32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55" w:hRule="atLeast"/>
          <w:jc w:val="center"/>
        </w:trPr>
        <w:tc>
          <w:tcPr>
            <w:tcW w:w="707" w:type="pct"/>
            <w:vMerge w:val="restart"/>
            <w:tcBorders>
              <w:tl2br w:val="nil"/>
              <w:tr2bl w:val="nil"/>
            </w:tcBorders>
            <w:vAlign w:val="center"/>
          </w:tcPr>
          <w:p w14:paraId="38E20BCB">
            <w:pPr>
              <w:spacing w:line="240" w:lineRule="auto"/>
              <w:jc w:val="center"/>
              <w:rPr>
                <w:b/>
                <w:color w:val="auto"/>
                <w:sz w:val="21"/>
                <w:szCs w:val="21"/>
              </w:rPr>
            </w:pPr>
            <w:r>
              <w:rPr>
                <w:b/>
                <w:color w:val="auto"/>
                <w:sz w:val="21"/>
                <w:szCs w:val="21"/>
              </w:rPr>
              <w:t>监测因子</w:t>
            </w:r>
          </w:p>
        </w:tc>
        <w:tc>
          <w:tcPr>
            <w:tcW w:w="378" w:type="pct"/>
            <w:vMerge w:val="restart"/>
            <w:tcBorders>
              <w:tl2br w:val="nil"/>
              <w:tr2bl w:val="nil"/>
            </w:tcBorders>
            <w:vAlign w:val="center"/>
          </w:tcPr>
          <w:p w14:paraId="4C5CB04D">
            <w:pPr>
              <w:spacing w:line="240" w:lineRule="auto"/>
              <w:jc w:val="center"/>
              <w:rPr>
                <w:rFonts w:hint="default" w:eastAsia="宋体"/>
                <w:b/>
                <w:color w:val="auto"/>
                <w:sz w:val="21"/>
                <w:szCs w:val="21"/>
                <w:lang w:val="en-US" w:eastAsia="zh-CN"/>
              </w:rPr>
            </w:pPr>
            <w:r>
              <w:rPr>
                <w:b/>
                <w:color w:val="auto"/>
                <w:sz w:val="21"/>
                <w:szCs w:val="21"/>
              </w:rPr>
              <w:t>单位</w:t>
            </w:r>
          </w:p>
        </w:tc>
        <w:tc>
          <w:tcPr>
            <w:tcW w:w="3913" w:type="pct"/>
            <w:gridSpan w:val="6"/>
            <w:tcBorders>
              <w:tl2br w:val="nil"/>
              <w:tr2bl w:val="nil"/>
            </w:tcBorders>
            <w:vAlign w:val="center"/>
          </w:tcPr>
          <w:p w14:paraId="735AD5E4">
            <w:pPr>
              <w:spacing w:line="240" w:lineRule="auto"/>
              <w:jc w:val="center"/>
              <w:rPr>
                <w:b/>
                <w:color w:val="auto"/>
                <w:sz w:val="21"/>
                <w:szCs w:val="21"/>
              </w:rPr>
            </w:pPr>
            <w:r>
              <w:rPr>
                <w:b/>
                <w:color w:val="auto"/>
                <w:sz w:val="21"/>
                <w:szCs w:val="21"/>
              </w:rPr>
              <w:t>检测结果</w:t>
            </w:r>
          </w:p>
        </w:tc>
      </w:tr>
      <w:tr w14:paraId="7FFFA29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3" w:hRule="atLeast"/>
          <w:jc w:val="center"/>
        </w:trPr>
        <w:tc>
          <w:tcPr>
            <w:tcW w:w="707" w:type="pct"/>
            <w:vMerge w:val="continue"/>
            <w:tcBorders>
              <w:tl2br w:val="nil"/>
              <w:tr2bl w:val="nil"/>
            </w:tcBorders>
            <w:vAlign w:val="center"/>
          </w:tcPr>
          <w:p w14:paraId="4BA7579A">
            <w:pPr>
              <w:spacing w:line="240" w:lineRule="auto"/>
              <w:jc w:val="center"/>
              <w:rPr>
                <w:color w:val="auto"/>
                <w:sz w:val="21"/>
                <w:szCs w:val="21"/>
              </w:rPr>
            </w:pPr>
          </w:p>
        </w:tc>
        <w:tc>
          <w:tcPr>
            <w:tcW w:w="378" w:type="pct"/>
            <w:vMerge w:val="continue"/>
            <w:tcBorders>
              <w:tl2br w:val="nil"/>
              <w:tr2bl w:val="nil"/>
            </w:tcBorders>
            <w:vAlign w:val="center"/>
          </w:tcPr>
          <w:p w14:paraId="57EB8F83">
            <w:pPr>
              <w:spacing w:line="240" w:lineRule="auto"/>
              <w:jc w:val="center"/>
              <w:rPr>
                <w:color w:val="auto"/>
                <w:sz w:val="21"/>
                <w:szCs w:val="21"/>
              </w:rPr>
            </w:pPr>
          </w:p>
        </w:tc>
        <w:tc>
          <w:tcPr>
            <w:tcW w:w="3913" w:type="pct"/>
            <w:gridSpan w:val="6"/>
            <w:tcBorders>
              <w:tl2br w:val="nil"/>
              <w:tr2bl w:val="nil"/>
            </w:tcBorders>
            <w:vAlign w:val="center"/>
          </w:tcPr>
          <w:p w14:paraId="0B76743C">
            <w:pPr>
              <w:spacing w:line="240" w:lineRule="auto"/>
              <w:jc w:val="center"/>
              <w:rPr>
                <w:rFonts w:hint="eastAsia"/>
                <w:color w:val="auto"/>
                <w:sz w:val="21"/>
                <w:szCs w:val="21"/>
                <w:lang w:val="en-US" w:eastAsia="zh-CN"/>
              </w:rPr>
            </w:pPr>
            <w:r>
              <w:rPr>
                <w:rFonts w:hint="eastAsia"/>
                <w:color w:val="auto"/>
                <w:sz w:val="21"/>
                <w:szCs w:val="21"/>
                <w:lang w:val="en-US" w:eastAsia="zh-CN"/>
              </w:rPr>
              <w:t>执行《土壤环境质量 建设用地土壤污染风险管控标准（试行）》第二类用地筛选值</w:t>
            </w:r>
          </w:p>
        </w:tc>
      </w:tr>
      <w:tr w14:paraId="4D3929E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vMerge w:val="continue"/>
            <w:tcBorders>
              <w:tl2br w:val="nil"/>
              <w:tr2bl w:val="nil"/>
            </w:tcBorders>
            <w:vAlign w:val="center"/>
          </w:tcPr>
          <w:p w14:paraId="3595DE9D">
            <w:pPr>
              <w:spacing w:line="240" w:lineRule="auto"/>
              <w:jc w:val="center"/>
              <w:rPr>
                <w:color w:val="auto"/>
                <w:sz w:val="21"/>
                <w:szCs w:val="21"/>
              </w:rPr>
            </w:pPr>
          </w:p>
        </w:tc>
        <w:tc>
          <w:tcPr>
            <w:tcW w:w="378" w:type="pct"/>
            <w:vMerge w:val="continue"/>
            <w:tcBorders>
              <w:tl2br w:val="nil"/>
              <w:tr2bl w:val="nil"/>
            </w:tcBorders>
            <w:vAlign w:val="center"/>
          </w:tcPr>
          <w:p w14:paraId="77BF2F0E">
            <w:pPr>
              <w:spacing w:line="240" w:lineRule="auto"/>
              <w:jc w:val="center"/>
              <w:rPr>
                <w:color w:val="auto"/>
                <w:sz w:val="21"/>
                <w:szCs w:val="21"/>
              </w:rPr>
            </w:pPr>
          </w:p>
        </w:tc>
        <w:tc>
          <w:tcPr>
            <w:tcW w:w="784" w:type="pct"/>
            <w:tcBorders>
              <w:tl2br w:val="nil"/>
              <w:tr2bl w:val="nil"/>
            </w:tcBorders>
            <w:vAlign w:val="center"/>
          </w:tcPr>
          <w:p w14:paraId="2760BBF3">
            <w:pPr>
              <w:spacing w:line="240" w:lineRule="auto"/>
              <w:jc w:val="center"/>
              <w:rPr>
                <w:rFonts w:hint="default"/>
                <w:color w:val="auto"/>
                <w:sz w:val="21"/>
                <w:szCs w:val="21"/>
                <w:lang w:val="en-US"/>
              </w:rPr>
            </w:pPr>
            <w:r>
              <w:rPr>
                <w:color w:val="auto"/>
                <w:sz w:val="21"/>
                <w:szCs w:val="21"/>
              </w:rPr>
              <w:t>T</w:t>
            </w:r>
            <w:r>
              <w:rPr>
                <w:rFonts w:hint="eastAsia"/>
                <w:color w:val="auto"/>
                <w:sz w:val="21"/>
                <w:szCs w:val="21"/>
                <w:lang w:val="en-US" w:eastAsia="zh-CN"/>
              </w:rPr>
              <w:t>1成品库</w:t>
            </w:r>
          </w:p>
        </w:tc>
        <w:tc>
          <w:tcPr>
            <w:tcW w:w="784" w:type="pct"/>
            <w:tcBorders>
              <w:tl2br w:val="nil"/>
              <w:tr2bl w:val="nil"/>
            </w:tcBorders>
            <w:vAlign w:val="center"/>
          </w:tcPr>
          <w:p w14:paraId="211CCE3F">
            <w:pPr>
              <w:spacing w:line="240" w:lineRule="auto"/>
              <w:jc w:val="center"/>
              <w:rPr>
                <w:rFonts w:hint="default"/>
                <w:color w:val="auto"/>
                <w:sz w:val="21"/>
                <w:szCs w:val="21"/>
                <w:lang w:val="en-US"/>
              </w:rPr>
            </w:pPr>
            <w:r>
              <w:rPr>
                <w:color w:val="auto"/>
                <w:sz w:val="21"/>
                <w:szCs w:val="21"/>
              </w:rPr>
              <w:t>T</w:t>
            </w:r>
            <w:r>
              <w:rPr>
                <w:rFonts w:hint="eastAsia"/>
                <w:color w:val="auto"/>
                <w:sz w:val="21"/>
                <w:szCs w:val="21"/>
                <w:lang w:val="en-US" w:eastAsia="zh-CN"/>
              </w:rPr>
              <w:t>2生产车间</w:t>
            </w:r>
          </w:p>
        </w:tc>
        <w:tc>
          <w:tcPr>
            <w:tcW w:w="784" w:type="pct"/>
            <w:tcBorders>
              <w:tl2br w:val="nil"/>
              <w:tr2bl w:val="nil"/>
            </w:tcBorders>
            <w:vAlign w:val="center"/>
          </w:tcPr>
          <w:p w14:paraId="6C6D74F5">
            <w:pPr>
              <w:spacing w:line="240" w:lineRule="auto"/>
              <w:jc w:val="center"/>
              <w:rPr>
                <w:rFonts w:hint="default"/>
                <w:color w:val="auto"/>
                <w:sz w:val="21"/>
                <w:szCs w:val="21"/>
                <w:lang w:val="en-US" w:eastAsia="zh-CN"/>
              </w:rPr>
            </w:pPr>
            <w:r>
              <w:rPr>
                <w:color w:val="auto"/>
                <w:sz w:val="21"/>
                <w:szCs w:val="21"/>
              </w:rPr>
              <w:t>T</w:t>
            </w:r>
            <w:r>
              <w:rPr>
                <w:rFonts w:hint="eastAsia"/>
                <w:color w:val="auto"/>
                <w:sz w:val="21"/>
                <w:szCs w:val="21"/>
                <w:lang w:val="en-US" w:eastAsia="zh-CN"/>
              </w:rPr>
              <w:t>3原料库</w:t>
            </w:r>
          </w:p>
        </w:tc>
        <w:tc>
          <w:tcPr>
            <w:tcW w:w="465" w:type="pct"/>
            <w:tcBorders>
              <w:tl2br w:val="nil"/>
              <w:tr2bl w:val="nil"/>
            </w:tcBorders>
            <w:vAlign w:val="center"/>
          </w:tcPr>
          <w:p w14:paraId="19068045">
            <w:pPr>
              <w:spacing w:line="240" w:lineRule="auto"/>
              <w:jc w:val="center"/>
              <w:rPr>
                <w:rFonts w:hint="default"/>
                <w:color w:val="auto"/>
                <w:sz w:val="21"/>
                <w:szCs w:val="21"/>
                <w:lang w:val="en-US" w:eastAsia="zh-CN"/>
              </w:rPr>
            </w:pPr>
            <w:r>
              <w:rPr>
                <w:rFonts w:hint="eastAsia"/>
                <w:color w:val="auto"/>
                <w:sz w:val="21"/>
                <w:szCs w:val="21"/>
                <w:lang w:val="en-US" w:eastAsia="zh-CN"/>
              </w:rPr>
              <w:t>标准限值</w:t>
            </w:r>
          </w:p>
        </w:tc>
        <w:tc>
          <w:tcPr>
            <w:tcW w:w="584" w:type="pct"/>
            <w:tcBorders>
              <w:tl2br w:val="nil"/>
              <w:tr2bl w:val="nil"/>
            </w:tcBorders>
            <w:vAlign w:val="center"/>
          </w:tcPr>
          <w:p w14:paraId="5046DEE0">
            <w:pPr>
              <w:spacing w:line="240" w:lineRule="auto"/>
              <w:jc w:val="center"/>
              <w:rPr>
                <w:rFonts w:hint="default"/>
                <w:color w:val="auto"/>
                <w:sz w:val="21"/>
                <w:szCs w:val="21"/>
                <w:lang w:val="en-US" w:eastAsia="zh-CN"/>
              </w:rPr>
            </w:pPr>
            <w:r>
              <w:rPr>
                <w:rFonts w:hint="eastAsia"/>
                <w:color w:val="auto"/>
                <w:sz w:val="21"/>
                <w:szCs w:val="21"/>
                <w:lang w:val="en-US" w:eastAsia="zh-CN"/>
              </w:rPr>
              <w:t>最大单因子指数</w:t>
            </w:r>
          </w:p>
        </w:tc>
        <w:tc>
          <w:tcPr>
            <w:tcW w:w="509" w:type="pct"/>
            <w:tcBorders>
              <w:tl2br w:val="nil"/>
              <w:tr2bl w:val="nil"/>
            </w:tcBorders>
            <w:vAlign w:val="center"/>
          </w:tcPr>
          <w:p w14:paraId="406B80D3">
            <w:pPr>
              <w:spacing w:line="240" w:lineRule="auto"/>
              <w:jc w:val="center"/>
              <w:rPr>
                <w:rFonts w:hint="default"/>
                <w:color w:val="auto"/>
                <w:sz w:val="21"/>
                <w:szCs w:val="21"/>
                <w:lang w:val="en-US" w:eastAsia="zh-CN"/>
              </w:rPr>
            </w:pPr>
            <w:r>
              <w:rPr>
                <w:rFonts w:hint="eastAsia"/>
                <w:color w:val="auto"/>
                <w:sz w:val="21"/>
                <w:szCs w:val="21"/>
                <w:lang w:val="en-US" w:eastAsia="zh-CN"/>
              </w:rPr>
              <w:t>是否达标</w:t>
            </w:r>
          </w:p>
        </w:tc>
      </w:tr>
      <w:tr w14:paraId="137A6C6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2419E82">
            <w:pPr>
              <w:spacing w:line="240" w:lineRule="auto"/>
              <w:jc w:val="center"/>
              <w:rPr>
                <w:color w:val="auto"/>
                <w:sz w:val="21"/>
                <w:szCs w:val="21"/>
              </w:rPr>
            </w:pPr>
            <w:r>
              <w:rPr>
                <w:color w:val="auto"/>
                <w:sz w:val="21"/>
                <w:szCs w:val="21"/>
              </w:rPr>
              <w:t>pH</w:t>
            </w:r>
          </w:p>
        </w:tc>
        <w:tc>
          <w:tcPr>
            <w:tcW w:w="378" w:type="pct"/>
            <w:tcBorders>
              <w:tl2br w:val="nil"/>
              <w:tr2bl w:val="nil"/>
            </w:tcBorders>
            <w:vAlign w:val="center"/>
          </w:tcPr>
          <w:p w14:paraId="576E5CFD">
            <w:pPr>
              <w:spacing w:line="240" w:lineRule="auto"/>
              <w:jc w:val="center"/>
              <w:rPr>
                <w:rFonts w:hint="eastAsia" w:eastAsia="宋体"/>
                <w:color w:val="auto"/>
                <w:sz w:val="21"/>
                <w:szCs w:val="21"/>
                <w:lang w:val="en-US" w:eastAsia="zh-CN"/>
              </w:rPr>
            </w:pPr>
            <w:r>
              <w:rPr>
                <w:color w:val="auto"/>
                <w:sz w:val="21"/>
                <w:szCs w:val="21"/>
              </w:rPr>
              <w:t>无量纲</w:t>
            </w:r>
          </w:p>
        </w:tc>
        <w:tc>
          <w:tcPr>
            <w:tcW w:w="784" w:type="pct"/>
            <w:tcBorders>
              <w:tl2br w:val="nil"/>
              <w:tr2bl w:val="nil"/>
            </w:tcBorders>
            <w:vAlign w:val="center"/>
          </w:tcPr>
          <w:p w14:paraId="39B8D0B6">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8.31</w:t>
            </w:r>
          </w:p>
        </w:tc>
        <w:tc>
          <w:tcPr>
            <w:tcW w:w="784" w:type="pct"/>
            <w:tcBorders>
              <w:tl2br w:val="nil"/>
              <w:tr2bl w:val="nil"/>
            </w:tcBorders>
            <w:vAlign w:val="center"/>
          </w:tcPr>
          <w:p w14:paraId="5F74BC27">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8.55</w:t>
            </w:r>
          </w:p>
        </w:tc>
        <w:tc>
          <w:tcPr>
            <w:tcW w:w="784" w:type="pct"/>
            <w:tcBorders>
              <w:tl2br w:val="nil"/>
              <w:tr2bl w:val="nil"/>
            </w:tcBorders>
            <w:vAlign w:val="center"/>
          </w:tcPr>
          <w:p w14:paraId="04C4E0D9">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8.37</w:t>
            </w:r>
          </w:p>
        </w:tc>
        <w:tc>
          <w:tcPr>
            <w:tcW w:w="465" w:type="pct"/>
            <w:tcBorders>
              <w:tl2br w:val="nil"/>
              <w:tr2bl w:val="nil"/>
            </w:tcBorders>
            <w:vAlign w:val="center"/>
          </w:tcPr>
          <w:p w14:paraId="0C848B92">
            <w:pPr>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584" w:type="pct"/>
            <w:tcBorders>
              <w:tl2br w:val="nil"/>
              <w:tr2bl w:val="nil"/>
            </w:tcBorders>
            <w:vAlign w:val="center"/>
          </w:tcPr>
          <w:p w14:paraId="70EFEEEF">
            <w:pPr>
              <w:spacing w:line="240" w:lineRule="auto"/>
              <w:jc w:val="center"/>
              <w:rPr>
                <w:rFonts w:hint="eastAsia"/>
                <w:color w:val="auto"/>
                <w:sz w:val="21"/>
                <w:szCs w:val="21"/>
                <w:lang w:val="en-US" w:eastAsia="zh-CN"/>
              </w:rPr>
            </w:pPr>
            <w:r>
              <w:rPr>
                <w:rFonts w:hint="eastAsia"/>
                <w:color w:val="auto"/>
                <w:sz w:val="21"/>
                <w:szCs w:val="21"/>
                <w:lang w:val="en-US" w:eastAsia="zh-CN"/>
              </w:rPr>
              <w:t>/</w:t>
            </w:r>
          </w:p>
        </w:tc>
        <w:tc>
          <w:tcPr>
            <w:tcW w:w="509" w:type="pct"/>
            <w:tcBorders>
              <w:tl2br w:val="nil"/>
              <w:tr2bl w:val="nil"/>
            </w:tcBorders>
            <w:vAlign w:val="center"/>
          </w:tcPr>
          <w:p w14:paraId="1D6B1445">
            <w:pPr>
              <w:spacing w:line="240" w:lineRule="auto"/>
              <w:jc w:val="center"/>
              <w:rPr>
                <w:rFonts w:hint="eastAsia"/>
                <w:color w:val="auto"/>
                <w:sz w:val="21"/>
                <w:szCs w:val="21"/>
                <w:lang w:val="en-US" w:eastAsia="zh-CN"/>
              </w:rPr>
            </w:pPr>
            <w:r>
              <w:rPr>
                <w:rFonts w:hint="eastAsia"/>
                <w:color w:val="auto"/>
                <w:sz w:val="21"/>
                <w:szCs w:val="21"/>
                <w:lang w:val="en-US" w:eastAsia="zh-CN"/>
              </w:rPr>
              <w:t>/</w:t>
            </w:r>
          </w:p>
        </w:tc>
      </w:tr>
      <w:tr w14:paraId="696D34C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C6967C2">
            <w:pPr>
              <w:spacing w:line="240" w:lineRule="auto"/>
              <w:jc w:val="center"/>
              <w:rPr>
                <w:color w:val="auto"/>
                <w:sz w:val="21"/>
                <w:szCs w:val="21"/>
              </w:rPr>
            </w:pPr>
            <w:r>
              <w:rPr>
                <w:color w:val="auto"/>
                <w:sz w:val="21"/>
                <w:szCs w:val="21"/>
              </w:rPr>
              <w:t>铜</w:t>
            </w:r>
          </w:p>
        </w:tc>
        <w:tc>
          <w:tcPr>
            <w:tcW w:w="378" w:type="pct"/>
            <w:tcBorders>
              <w:tl2br w:val="nil"/>
              <w:tr2bl w:val="nil"/>
            </w:tcBorders>
            <w:vAlign w:val="center"/>
          </w:tcPr>
          <w:p w14:paraId="387D94B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413A704">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36</w:t>
            </w:r>
          </w:p>
        </w:tc>
        <w:tc>
          <w:tcPr>
            <w:tcW w:w="784" w:type="pct"/>
            <w:tcBorders>
              <w:tl2br w:val="nil"/>
              <w:tr2bl w:val="nil"/>
            </w:tcBorders>
            <w:vAlign w:val="center"/>
          </w:tcPr>
          <w:p w14:paraId="4AECDB67">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24</w:t>
            </w:r>
          </w:p>
        </w:tc>
        <w:tc>
          <w:tcPr>
            <w:tcW w:w="784" w:type="pct"/>
            <w:tcBorders>
              <w:tl2br w:val="nil"/>
              <w:tr2bl w:val="nil"/>
            </w:tcBorders>
            <w:vAlign w:val="center"/>
          </w:tcPr>
          <w:p w14:paraId="375AB2D7">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45</w:t>
            </w:r>
          </w:p>
        </w:tc>
        <w:tc>
          <w:tcPr>
            <w:tcW w:w="465" w:type="pct"/>
            <w:tcBorders>
              <w:tl2br w:val="nil"/>
              <w:tr2bl w:val="nil"/>
            </w:tcBorders>
            <w:vAlign w:val="center"/>
          </w:tcPr>
          <w:p w14:paraId="650EA78E">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18000</w:t>
            </w:r>
          </w:p>
        </w:tc>
        <w:tc>
          <w:tcPr>
            <w:tcW w:w="584" w:type="pct"/>
            <w:tcBorders>
              <w:tl2br w:val="nil"/>
              <w:tr2bl w:val="nil"/>
            </w:tcBorders>
            <w:vAlign w:val="center"/>
          </w:tcPr>
          <w:p w14:paraId="422343C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0.002</w:t>
            </w:r>
          </w:p>
        </w:tc>
        <w:tc>
          <w:tcPr>
            <w:tcW w:w="509" w:type="pct"/>
            <w:tcBorders>
              <w:tl2br w:val="nil"/>
              <w:tr2bl w:val="nil"/>
            </w:tcBorders>
            <w:vAlign w:val="center"/>
          </w:tcPr>
          <w:p w14:paraId="67CEA93A">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01A84CC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4164A5E">
            <w:pPr>
              <w:spacing w:line="240" w:lineRule="auto"/>
              <w:jc w:val="center"/>
              <w:rPr>
                <w:color w:val="auto"/>
                <w:sz w:val="21"/>
                <w:szCs w:val="21"/>
              </w:rPr>
            </w:pPr>
            <w:r>
              <w:rPr>
                <w:color w:val="auto"/>
                <w:sz w:val="21"/>
                <w:szCs w:val="21"/>
              </w:rPr>
              <w:t>镍</w:t>
            </w:r>
          </w:p>
        </w:tc>
        <w:tc>
          <w:tcPr>
            <w:tcW w:w="378" w:type="pct"/>
            <w:tcBorders>
              <w:tl2br w:val="nil"/>
              <w:tr2bl w:val="nil"/>
            </w:tcBorders>
            <w:vAlign w:val="center"/>
          </w:tcPr>
          <w:p w14:paraId="63F2A900">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46415EC">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60</w:t>
            </w:r>
          </w:p>
        </w:tc>
        <w:tc>
          <w:tcPr>
            <w:tcW w:w="784" w:type="pct"/>
            <w:tcBorders>
              <w:tl2br w:val="nil"/>
              <w:tr2bl w:val="nil"/>
            </w:tcBorders>
            <w:vAlign w:val="center"/>
          </w:tcPr>
          <w:p w14:paraId="355E24FC">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41</w:t>
            </w:r>
          </w:p>
        </w:tc>
        <w:tc>
          <w:tcPr>
            <w:tcW w:w="784" w:type="pct"/>
            <w:tcBorders>
              <w:tl2br w:val="nil"/>
              <w:tr2bl w:val="nil"/>
            </w:tcBorders>
            <w:vAlign w:val="center"/>
          </w:tcPr>
          <w:p w14:paraId="2D75962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55</w:t>
            </w:r>
          </w:p>
        </w:tc>
        <w:tc>
          <w:tcPr>
            <w:tcW w:w="465" w:type="pct"/>
            <w:tcBorders>
              <w:tl2br w:val="nil"/>
              <w:tr2bl w:val="nil"/>
            </w:tcBorders>
            <w:vAlign w:val="center"/>
          </w:tcPr>
          <w:p w14:paraId="06E67EE7">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900</w:t>
            </w:r>
          </w:p>
        </w:tc>
        <w:tc>
          <w:tcPr>
            <w:tcW w:w="584" w:type="pct"/>
            <w:tcBorders>
              <w:tl2br w:val="nil"/>
              <w:tr2bl w:val="nil"/>
            </w:tcBorders>
            <w:vAlign w:val="center"/>
          </w:tcPr>
          <w:p w14:paraId="40C2D526">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0.067</w:t>
            </w:r>
          </w:p>
        </w:tc>
        <w:tc>
          <w:tcPr>
            <w:tcW w:w="509" w:type="pct"/>
            <w:tcBorders>
              <w:tl2br w:val="nil"/>
              <w:tr2bl w:val="nil"/>
            </w:tcBorders>
            <w:vAlign w:val="center"/>
          </w:tcPr>
          <w:p w14:paraId="0011C58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4D312C3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9C42855">
            <w:pPr>
              <w:spacing w:line="240" w:lineRule="auto"/>
              <w:jc w:val="center"/>
              <w:rPr>
                <w:color w:val="auto"/>
                <w:sz w:val="21"/>
                <w:szCs w:val="21"/>
              </w:rPr>
            </w:pPr>
            <w:r>
              <w:rPr>
                <w:color w:val="auto"/>
                <w:sz w:val="21"/>
                <w:szCs w:val="21"/>
              </w:rPr>
              <w:t>铅</w:t>
            </w:r>
          </w:p>
        </w:tc>
        <w:tc>
          <w:tcPr>
            <w:tcW w:w="378" w:type="pct"/>
            <w:tcBorders>
              <w:tl2br w:val="nil"/>
              <w:tr2bl w:val="nil"/>
            </w:tcBorders>
            <w:vAlign w:val="center"/>
          </w:tcPr>
          <w:p w14:paraId="07DBEC65">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69CFF2E">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24.8</w:t>
            </w:r>
          </w:p>
        </w:tc>
        <w:tc>
          <w:tcPr>
            <w:tcW w:w="784" w:type="pct"/>
            <w:tcBorders>
              <w:tl2br w:val="nil"/>
              <w:tr2bl w:val="nil"/>
            </w:tcBorders>
            <w:vAlign w:val="center"/>
          </w:tcPr>
          <w:p w14:paraId="414D0E8E">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22.3</w:t>
            </w:r>
          </w:p>
        </w:tc>
        <w:tc>
          <w:tcPr>
            <w:tcW w:w="784" w:type="pct"/>
            <w:tcBorders>
              <w:tl2br w:val="nil"/>
              <w:tr2bl w:val="nil"/>
            </w:tcBorders>
            <w:vAlign w:val="center"/>
          </w:tcPr>
          <w:p w14:paraId="61313C8A">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21.7</w:t>
            </w:r>
          </w:p>
        </w:tc>
        <w:tc>
          <w:tcPr>
            <w:tcW w:w="465" w:type="pct"/>
            <w:tcBorders>
              <w:tl2br w:val="nil"/>
              <w:tr2bl w:val="nil"/>
            </w:tcBorders>
            <w:vAlign w:val="center"/>
          </w:tcPr>
          <w:p w14:paraId="0EEAF6A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800</w:t>
            </w:r>
          </w:p>
        </w:tc>
        <w:tc>
          <w:tcPr>
            <w:tcW w:w="584" w:type="pct"/>
            <w:tcBorders>
              <w:tl2br w:val="nil"/>
              <w:tr2bl w:val="nil"/>
            </w:tcBorders>
            <w:vAlign w:val="center"/>
          </w:tcPr>
          <w:p w14:paraId="12BBFE3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0.031</w:t>
            </w:r>
          </w:p>
        </w:tc>
        <w:tc>
          <w:tcPr>
            <w:tcW w:w="509" w:type="pct"/>
            <w:tcBorders>
              <w:tl2br w:val="nil"/>
              <w:tr2bl w:val="nil"/>
            </w:tcBorders>
            <w:vAlign w:val="center"/>
          </w:tcPr>
          <w:p w14:paraId="3A33BE7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10FDD4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69190F5">
            <w:pPr>
              <w:spacing w:line="240" w:lineRule="auto"/>
              <w:jc w:val="center"/>
              <w:rPr>
                <w:color w:val="auto"/>
                <w:sz w:val="21"/>
                <w:szCs w:val="21"/>
              </w:rPr>
            </w:pPr>
            <w:r>
              <w:rPr>
                <w:color w:val="auto"/>
                <w:sz w:val="21"/>
                <w:szCs w:val="21"/>
              </w:rPr>
              <w:t>镉</w:t>
            </w:r>
          </w:p>
        </w:tc>
        <w:tc>
          <w:tcPr>
            <w:tcW w:w="378" w:type="pct"/>
            <w:tcBorders>
              <w:tl2br w:val="nil"/>
              <w:tr2bl w:val="nil"/>
            </w:tcBorders>
            <w:vAlign w:val="center"/>
          </w:tcPr>
          <w:p w14:paraId="446A7879">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D8DF70A">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0.22</w:t>
            </w:r>
          </w:p>
        </w:tc>
        <w:tc>
          <w:tcPr>
            <w:tcW w:w="784" w:type="pct"/>
            <w:tcBorders>
              <w:tl2br w:val="nil"/>
              <w:tr2bl w:val="nil"/>
            </w:tcBorders>
            <w:vAlign w:val="center"/>
          </w:tcPr>
          <w:p w14:paraId="2BE8146B">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0.23</w:t>
            </w:r>
          </w:p>
        </w:tc>
        <w:tc>
          <w:tcPr>
            <w:tcW w:w="784" w:type="pct"/>
            <w:tcBorders>
              <w:tl2br w:val="nil"/>
              <w:tr2bl w:val="nil"/>
            </w:tcBorders>
            <w:vAlign w:val="center"/>
          </w:tcPr>
          <w:p w14:paraId="0192415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0.23</w:t>
            </w:r>
          </w:p>
        </w:tc>
        <w:tc>
          <w:tcPr>
            <w:tcW w:w="465" w:type="pct"/>
            <w:tcBorders>
              <w:tl2br w:val="nil"/>
              <w:tr2bl w:val="nil"/>
            </w:tcBorders>
            <w:vAlign w:val="center"/>
          </w:tcPr>
          <w:p w14:paraId="2D79B4E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584" w:type="pct"/>
            <w:tcBorders>
              <w:tl2br w:val="nil"/>
              <w:tr2bl w:val="nil"/>
            </w:tcBorders>
            <w:vAlign w:val="center"/>
          </w:tcPr>
          <w:p w14:paraId="4ADEB77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0.004</w:t>
            </w:r>
          </w:p>
        </w:tc>
        <w:tc>
          <w:tcPr>
            <w:tcW w:w="509" w:type="pct"/>
            <w:tcBorders>
              <w:tl2br w:val="nil"/>
              <w:tr2bl w:val="nil"/>
            </w:tcBorders>
            <w:vAlign w:val="center"/>
          </w:tcPr>
          <w:p w14:paraId="044F4FD1">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791D90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5BE86D9">
            <w:pPr>
              <w:spacing w:line="240" w:lineRule="auto"/>
              <w:jc w:val="center"/>
              <w:rPr>
                <w:color w:val="auto"/>
                <w:sz w:val="21"/>
                <w:szCs w:val="21"/>
              </w:rPr>
            </w:pPr>
            <w:r>
              <w:rPr>
                <w:color w:val="auto"/>
                <w:sz w:val="21"/>
                <w:szCs w:val="21"/>
              </w:rPr>
              <w:t>砷</w:t>
            </w:r>
          </w:p>
        </w:tc>
        <w:tc>
          <w:tcPr>
            <w:tcW w:w="378" w:type="pct"/>
            <w:tcBorders>
              <w:tl2br w:val="nil"/>
              <w:tr2bl w:val="nil"/>
            </w:tcBorders>
            <w:vAlign w:val="center"/>
          </w:tcPr>
          <w:p w14:paraId="081BEFEE">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D5B6FD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15.6</w:t>
            </w:r>
          </w:p>
        </w:tc>
        <w:tc>
          <w:tcPr>
            <w:tcW w:w="784" w:type="pct"/>
            <w:tcBorders>
              <w:tl2br w:val="nil"/>
              <w:tr2bl w:val="nil"/>
            </w:tcBorders>
            <w:vAlign w:val="center"/>
          </w:tcPr>
          <w:p w14:paraId="2AEED41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9.14</w:t>
            </w:r>
          </w:p>
        </w:tc>
        <w:tc>
          <w:tcPr>
            <w:tcW w:w="784" w:type="pct"/>
            <w:tcBorders>
              <w:tl2br w:val="nil"/>
              <w:tr2bl w:val="nil"/>
            </w:tcBorders>
            <w:vAlign w:val="center"/>
          </w:tcPr>
          <w:p w14:paraId="7F5874F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14.0</w:t>
            </w:r>
          </w:p>
        </w:tc>
        <w:tc>
          <w:tcPr>
            <w:tcW w:w="465" w:type="pct"/>
            <w:tcBorders>
              <w:tl2br w:val="nil"/>
              <w:tr2bl w:val="nil"/>
            </w:tcBorders>
            <w:vAlign w:val="center"/>
          </w:tcPr>
          <w:p w14:paraId="0932A924">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60</w:t>
            </w:r>
          </w:p>
        </w:tc>
        <w:tc>
          <w:tcPr>
            <w:tcW w:w="584" w:type="pct"/>
            <w:tcBorders>
              <w:tl2br w:val="nil"/>
              <w:tr2bl w:val="nil"/>
            </w:tcBorders>
            <w:vAlign w:val="center"/>
          </w:tcPr>
          <w:p w14:paraId="42BBBEA6">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0.19</w:t>
            </w:r>
          </w:p>
        </w:tc>
        <w:tc>
          <w:tcPr>
            <w:tcW w:w="509" w:type="pct"/>
            <w:tcBorders>
              <w:tl2br w:val="nil"/>
              <w:tr2bl w:val="nil"/>
            </w:tcBorders>
            <w:vAlign w:val="center"/>
          </w:tcPr>
          <w:p w14:paraId="055848ED">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2EEFAF8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585A4AF8">
            <w:pPr>
              <w:spacing w:line="240" w:lineRule="auto"/>
              <w:jc w:val="center"/>
              <w:rPr>
                <w:color w:val="auto"/>
                <w:sz w:val="21"/>
                <w:szCs w:val="21"/>
              </w:rPr>
            </w:pPr>
            <w:r>
              <w:rPr>
                <w:color w:val="auto"/>
                <w:sz w:val="21"/>
                <w:szCs w:val="21"/>
              </w:rPr>
              <w:t>汞</w:t>
            </w:r>
          </w:p>
        </w:tc>
        <w:tc>
          <w:tcPr>
            <w:tcW w:w="378" w:type="pct"/>
            <w:tcBorders>
              <w:tl2br w:val="nil"/>
              <w:tr2bl w:val="nil"/>
            </w:tcBorders>
            <w:vAlign w:val="center"/>
          </w:tcPr>
          <w:p w14:paraId="2AD5DD3C">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384CCEC">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0.036</w:t>
            </w:r>
          </w:p>
        </w:tc>
        <w:tc>
          <w:tcPr>
            <w:tcW w:w="784" w:type="pct"/>
            <w:tcBorders>
              <w:tl2br w:val="nil"/>
              <w:tr2bl w:val="nil"/>
            </w:tcBorders>
            <w:vAlign w:val="center"/>
          </w:tcPr>
          <w:p w14:paraId="07359D78">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0.029</w:t>
            </w:r>
          </w:p>
        </w:tc>
        <w:tc>
          <w:tcPr>
            <w:tcW w:w="784" w:type="pct"/>
            <w:tcBorders>
              <w:tl2br w:val="nil"/>
              <w:tr2bl w:val="nil"/>
            </w:tcBorders>
            <w:vAlign w:val="center"/>
          </w:tcPr>
          <w:p w14:paraId="144991A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0.062</w:t>
            </w:r>
          </w:p>
        </w:tc>
        <w:tc>
          <w:tcPr>
            <w:tcW w:w="465" w:type="pct"/>
            <w:tcBorders>
              <w:tl2br w:val="nil"/>
              <w:tr2bl w:val="nil"/>
            </w:tcBorders>
            <w:vAlign w:val="center"/>
          </w:tcPr>
          <w:p w14:paraId="3EA28474">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38</w:t>
            </w:r>
          </w:p>
        </w:tc>
        <w:tc>
          <w:tcPr>
            <w:tcW w:w="584" w:type="pct"/>
            <w:tcBorders>
              <w:tl2br w:val="nil"/>
              <w:tr2bl w:val="nil"/>
            </w:tcBorders>
            <w:vAlign w:val="center"/>
          </w:tcPr>
          <w:p w14:paraId="13E8F1CB">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0.002</w:t>
            </w:r>
          </w:p>
        </w:tc>
        <w:tc>
          <w:tcPr>
            <w:tcW w:w="509" w:type="pct"/>
            <w:tcBorders>
              <w:tl2br w:val="nil"/>
              <w:tr2bl w:val="nil"/>
            </w:tcBorders>
            <w:vAlign w:val="center"/>
          </w:tcPr>
          <w:p w14:paraId="6E4DE73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55B9C84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A59A650">
            <w:pPr>
              <w:spacing w:line="240" w:lineRule="auto"/>
              <w:jc w:val="center"/>
              <w:rPr>
                <w:color w:val="auto"/>
                <w:sz w:val="21"/>
                <w:szCs w:val="21"/>
              </w:rPr>
            </w:pPr>
            <w:r>
              <w:rPr>
                <w:color w:val="auto"/>
                <w:sz w:val="21"/>
                <w:szCs w:val="21"/>
              </w:rPr>
              <w:t>六价铬</w:t>
            </w:r>
          </w:p>
        </w:tc>
        <w:tc>
          <w:tcPr>
            <w:tcW w:w="378" w:type="pct"/>
            <w:tcBorders>
              <w:tl2br w:val="nil"/>
              <w:tr2bl w:val="nil"/>
            </w:tcBorders>
            <w:vAlign w:val="center"/>
          </w:tcPr>
          <w:p w14:paraId="723834F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96CCC3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ND</w:t>
            </w:r>
          </w:p>
        </w:tc>
        <w:tc>
          <w:tcPr>
            <w:tcW w:w="784" w:type="pct"/>
            <w:tcBorders>
              <w:tl2br w:val="nil"/>
              <w:tr2bl w:val="nil"/>
            </w:tcBorders>
            <w:vAlign w:val="center"/>
          </w:tcPr>
          <w:p w14:paraId="502F570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3DC69CB">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BF1943D">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spacing w:val="7"/>
                <w:sz w:val="21"/>
                <w:szCs w:val="21"/>
                <w:highlight w:val="none"/>
              </w:rPr>
            </w:pPr>
            <w:r>
              <w:rPr>
                <w:rFonts w:hint="default" w:ascii="Times New Roman" w:hAnsi="Times New Roman" w:eastAsia="宋体" w:cs="Times New Roman"/>
                <w:color w:val="auto"/>
                <w:spacing w:val="7"/>
                <w:sz w:val="21"/>
                <w:szCs w:val="21"/>
                <w:highlight w:val="none"/>
              </w:rPr>
              <w:t>5.7</w:t>
            </w:r>
          </w:p>
        </w:tc>
        <w:tc>
          <w:tcPr>
            <w:tcW w:w="584" w:type="pct"/>
            <w:tcBorders>
              <w:tl2br w:val="nil"/>
              <w:tr2bl w:val="nil"/>
            </w:tcBorders>
            <w:vAlign w:val="center"/>
          </w:tcPr>
          <w:p w14:paraId="5E5FC961">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ascii="Times New Roman" w:hAnsi="Times New Roman" w:eastAsia="宋体" w:cs="Times New Roman"/>
                <w:color w:val="auto"/>
                <w:spacing w:val="7"/>
                <w:sz w:val="21"/>
                <w:szCs w:val="21"/>
                <w:highlight w:val="none"/>
                <w:lang w:val="en-US"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E543451">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spacing w:val="7"/>
                <w:sz w:val="21"/>
                <w:szCs w:val="21"/>
                <w:highlight w:val="none"/>
              </w:rPr>
            </w:pPr>
            <w:r>
              <w:rPr>
                <w:rFonts w:hint="eastAsia" w:cs="Times New Roman"/>
                <w:color w:val="auto"/>
                <w:kern w:val="2"/>
                <w:sz w:val="21"/>
                <w:szCs w:val="21"/>
                <w:highlight w:val="none"/>
                <w:lang w:val="en-US" w:eastAsia="zh-CN" w:bidi="ar-SA"/>
              </w:rPr>
              <w:t>达标</w:t>
            </w:r>
          </w:p>
        </w:tc>
      </w:tr>
      <w:tr w14:paraId="7A75FEF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5000" w:type="pct"/>
            <w:gridSpan w:val="8"/>
            <w:tcBorders>
              <w:tl2br w:val="nil"/>
              <w:tr2bl w:val="nil"/>
            </w:tcBorders>
            <w:vAlign w:val="center"/>
          </w:tcPr>
          <w:p w14:paraId="09613368">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挥发性有机物</w:t>
            </w:r>
          </w:p>
        </w:tc>
      </w:tr>
      <w:tr w14:paraId="780190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3" w:hRule="atLeast"/>
          <w:jc w:val="center"/>
        </w:trPr>
        <w:tc>
          <w:tcPr>
            <w:tcW w:w="707" w:type="pct"/>
            <w:tcBorders>
              <w:tl2br w:val="nil"/>
              <w:tr2bl w:val="nil"/>
            </w:tcBorders>
            <w:vAlign w:val="center"/>
          </w:tcPr>
          <w:p w14:paraId="252F39E1">
            <w:pPr>
              <w:spacing w:line="240" w:lineRule="auto"/>
              <w:jc w:val="center"/>
              <w:rPr>
                <w:color w:val="auto"/>
                <w:sz w:val="21"/>
                <w:szCs w:val="21"/>
              </w:rPr>
            </w:pPr>
            <w:r>
              <w:rPr>
                <w:color w:val="auto"/>
                <w:sz w:val="21"/>
                <w:szCs w:val="21"/>
              </w:rPr>
              <w:t>四氯化碳</w:t>
            </w:r>
          </w:p>
        </w:tc>
        <w:tc>
          <w:tcPr>
            <w:tcW w:w="378" w:type="pct"/>
            <w:tcBorders>
              <w:tl2br w:val="nil"/>
              <w:tr2bl w:val="nil"/>
            </w:tcBorders>
            <w:vAlign w:val="center"/>
          </w:tcPr>
          <w:p w14:paraId="314BCA93">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0A6612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7B07E5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14A62A3">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EB30067">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65A9C0A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F14A90B">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736027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55DE720">
            <w:pPr>
              <w:spacing w:line="240" w:lineRule="auto"/>
              <w:jc w:val="center"/>
              <w:rPr>
                <w:color w:val="auto"/>
                <w:sz w:val="21"/>
                <w:szCs w:val="21"/>
              </w:rPr>
            </w:pPr>
            <w:r>
              <w:rPr>
                <w:color w:val="auto"/>
                <w:sz w:val="21"/>
                <w:szCs w:val="21"/>
              </w:rPr>
              <w:t>氯仿</w:t>
            </w:r>
          </w:p>
        </w:tc>
        <w:tc>
          <w:tcPr>
            <w:tcW w:w="378" w:type="pct"/>
            <w:tcBorders>
              <w:tl2br w:val="nil"/>
              <w:tr2bl w:val="nil"/>
            </w:tcBorders>
            <w:vAlign w:val="center"/>
          </w:tcPr>
          <w:p w14:paraId="7AFD872F">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F79827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FFA1D6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A09E7F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4D9C17D">
            <w:pPr>
              <w:jc w:val="center"/>
              <w:rPr>
                <w:rFonts w:hint="eastAsia"/>
                <w:color w:val="auto"/>
                <w:sz w:val="21"/>
                <w:szCs w:val="21"/>
                <w:lang w:val="en-US" w:eastAsia="zh-CN"/>
              </w:rPr>
            </w:pPr>
            <w:r>
              <w:rPr>
                <w:rFonts w:ascii="Times New Roman" w:hAnsi="Times New Roman" w:cs="Times New Roman"/>
                <w:color w:val="auto"/>
                <w:sz w:val="21"/>
                <w:szCs w:val="21"/>
              </w:rPr>
              <w:t>0.9</w:t>
            </w:r>
          </w:p>
        </w:tc>
        <w:tc>
          <w:tcPr>
            <w:tcW w:w="584" w:type="pct"/>
            <w:tcBorders>
              <w:tl2br w:val="nil"/>
              <w:tr2bl w:val="nil"/>
            </w:tcBorders>
            <w:vAlign w:val="center"/>
          </w:tcPr>
          <w:p w14:paraId="650DFB3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5FAEB9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2D2BAD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7AC75F3">
            <w:pPr>
              <w:spacing w:line="240" w:lineRule="auto"/>
              <w:jc w:val="center"/>
              <w:rPr>
                <w:color w:val="auto"/>
                <w:sz w:val="21"/>
                <w:szCs w:val="21"/>
              </w:rPr>
            </w:pPr>
            <w:r>
              <w:rPr>
                <w:color w:val="auto"/>
                <w:sz w:val="21"/>
                <w:szCs w:val="21"/>
              </w:rPr>
              <w:t>氯甲烷</w:t>
            </w:r>
          </w:p>
        </w:tc>
        <w:tc>
          <w:tcPr>
            <w:tcW w:w="378" w:type="pct"/>
            <w:tcBorders>
              <w:tl2br w:val="nil"/>
              <w:tr2bl w:val="nil"/>
            </w:tcBorders>
            <w:vAlign w:val="center"/>
          </w:tcPr>
          <w:p w14:paraId="79EABB6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79C68D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529980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73BD8F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4712B3B">
            <w:pPr>
              <w:jc w:val="center"/>
              <w:rPr>
                <w:rFonts w:hint="eastAsia"/>
                <w:color w:val="auto"/>
                <w:sz w:val="21"/>
                <w:szCs w:val="21"/>
                <w:lang w:val="en-US" w:eastAsia="zh-CN"/>
              </w:rPr>
            </w:pPr>
            <w:r>
              <w:rPr>
                <w:rFonts w:ascii="Times New Roman" w:hAnsi="Times New Roman" w:cs="Times New Roman"/>
                <w:color w:val="auto"/>
                <w:sz w:val="21"/>
                <w:szCs w:val="21"/>
              </w:rPr>
              <w:t>37</w:t>
            </w:r>
          </w:p>
        </w:tc>
        <w:tc>
          <w:tcPr>
            <w:tcW w:w="584" w:type="pct"/>
            <w:tcBorders>
              <w:tl2br w:val="nil"/>
              <w:tr2bl w:val="nil"/>
            </w:tcBorders>
            <w:vAlign w:val="center"/>
          </w:tcPr>
          <w:p w14:paraId="60E83A5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A2F6C0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C14579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215F3ED">
            <w:pPr>
              <w:spacing w:line="240" w:lineRule="auto"/>
              <w:jc w:val="center"/>
              <w:rPr>
                <w:color w:val="auto"/>
                <w:sz w:val="21"/>
                <w:szCs w:val="21"/>
              </w:rPr>
            </w:pPr>
            <w:r>
              <w:rPr>
                <w:color w:val="auto"/>
                <w:sz w:val="21"/>
                <w:szCs w:val="21"/>
              </w:rPr>
              <w:t>1,1-二氯乙烷</w:t>
            </w:r>
          </w:p>
        </w:tc>
        <w:tc>
          <w:tcPr>
            <w:tcW w:w="378" w:type="pct"/>
            <w:tcBorders>
              <w:tl2br w:val="nil"/>
              <w:tr2bl w:val="nil"/>
            </w:tcBorders>
            <w:vAlign w:val="center"/>
          </w:tcPr>
          <w:p w14:paraId="3501F6A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AC7AE3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67FC529">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AD803A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E0650A8">
            <w:pPr>
              <w:jc w:val="center"/>
              <w:rPr>
                <w:rFonts w:hint="eastAsia"/>
                <w:color w:val="auto"/>
                <w:sz w:val="21"/>
                <w:szCs w:val="21"/>
                <w:lang w:val="en-US" w:eastAsia="zh-CN"/>
              </w:rPr>
            </w:pPr>
            <w:r>
              <w:rPr>
                <w:rFonts w:ascii="Times New Roman" w:hAnsi="Times New Roman" w:cs="Times New Roman"/>
                <w:color w:val="auto"/>
                <w:sz w:val="21"/>
                <w:szCs w:val="21"/>
              </w:rPr>
              <w:t>9</w:t>
            </w:r>
          </w:p>
        </w:tc>
        <w:tc>
          <w:tcPr>
            <w:tcW w:w="584" w:type="pct"/>
            <w:tcBorders>
              <w:tl2br w:val="nil"/>
              <w:tr2bl w:val="nil"/>
            </w:tcBorders>
            <w:vAlign w:val="center"/>
          </w:tcPr>
          <w:p w14:paraId="05646DAA">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BA98537">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1CD4372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8EA5C34">
            <w:pPr>
              <w:spacing w:line="240" w:lineRule="auto"/>
              <w:jc w:val="center"/>
              <w:rPr>
                <w:color w:val="auto"/>
                <w:sz w:val="21"/>
                <w:szCs w:val="21"/>
              </w:rPr>
            </w:pPr>
            <w:r>
              <w:rPr>
                <w:color w:val="auto"/>
                <w:sz w:val="21"/>
                <w:szCs w:val="21"/>
              </w:rPr>
              <w:t>1,2-二氯乙烷</w:t>
            </w:r>
          </w:p>
        </w:tc>
        <w:tc>
          <w:tcPr>
            <w:tcW w:w="378" w:type="pct"/>
            <w:tcBorders>
              <w:tl2br w:val="nil"/>
              <w:tr2bl w:val="nil"/>
            </w:tcBorders>
            <w:vAlign w:val="center"/>
          </w:tcPr>
          <w:p w14:paraId="2E236787">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422790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803856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3A10A0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EE0B1B1">
            <w:pPr>
              <w:jc w:val="center"/>
              <w:rPr>
                <w:rFonts w:hint="eastAsia"/>
                <w:color w:val="auto"/>
                <w:sz w:val="21"/>
                <w:szCs w:val="21"/>
                <w:lang w:val="en-US" w:eastAsia="zh-CN"/>
              </w:rPr>
            </w:pPr>
            <w:r>
              <w:rPr>
                <w:rFonts w:ascii="Times New Roman" w:hAnsi="Times New Roman" w:cs="Times New Roman"/>
                <w:color w:val="auto"/>
                <w:sz w:val="21"/>
                <w:szCs w:val="21"/>
              </w:rPr>
              <w:t>5</w:t>
            </w:r>
          </w:p>
        </w:tc>
        <w:tc>
          <w:tcPr>
            <w:tcW w:w="584" w:type="pct"/>
            <w:tcBorders>
              <w:tl2br w:val="nil"/>
              <w:tr2bl w:val="nil"/>
            </w:tcBorders>
            <w:vAlign w:val="center"/>
          </w:tcPr>
          <w:p w14:paraId="148379D7">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0.006</w:t>
            </w:r>
          </w:p>
        </w:tc>
        <w:tc>
          <w:tcPr>
            <w:tcW w:w="509" w:type="pct"/>
            <w:tcBorders>
              <w:tl2br w:val="nil"/>
              <w:tr2bl w:val="nil"/>
            </w:tcBorders>
            <w:vAlign w:val="center"/>
          </w:tcPr>
          <w:p w14:paraId="11232EA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3360D5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6557306">
            <w:pPr>
              <w:spacing w:line="240" w:lineRule="auto"/>
              <w:jc w:val="center"/>
              <w:rPr>
                <w:color w:val="auto"/>
                <w:sz w:val="21"/>
                <w:szCs w:val="21"/>
              </w:rPr>
            </w:pPr>
            <w:r>
              <w:rPr>
                <w:color w:val="auto"/>
                <w:sz w:val="21"/>
                <w:szCs w:val="21"/>
              </w:rPr>
              <w:t>1,1-二氯乙烯</w:t>
            </w:r>
          </w:p>
        </w:tc>
        <w:tc>
          <w:tcPr>
            <w:tcW w:w="378" w:type="pct"/>
            <w:tcBorders>
              <w:tl2br w:val="nil"/>
              <w:tr2bl w:val="nil"/>
            </w:tcBorders>
            <w:vAlign w:val="center"/>
          </w:tcPr>
          <w:p w14:paraId="2755C2A1">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EBCEA2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88037D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91BEC98">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18DCA2AA">
            <w:pPr>
              <w:jc w:val="center"/>
              <w:rPr>
                <w:rFonts w:hint="eastAsia"/>
                <w:color w:val="auto"/>
                <w:sz w:val="21"/>
                <w:szCs w:val="21"/>
                <w:lang w:val="en-US" w:eastAsia="zh-CN"/>
              </w:rPr>
            </w:pPr>
            <w:r>
              <w:rPr>
                <w:rFonts w:ascii="Times New Roman" w:hAnsi="Times New Roman" w:cs="Times New Roman"/>
                <w:color w:val="auto"/>
                <w:sz w:val="21"/>
                <w:szCs w:val="21"/>
              </w:rPr>
              <w:t>66</w:t>
            </w:r>
          </w:p>
        </w:tc>
        <w:tc>
          <w:tcPr>
            <w:tcW w:w="584" w:type="pct"/>
            <w:tcBorders>
              <w:tl2br w:val="nil"/>
              <w:tr2bl w:val="nil"/>
            </w:tcBorders>
            <w:vAlign w:val="center"/>
          </w:tcPr>
          <w:p w14:paraId="0436251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B8A7DE3">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6B605C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D379E31">
            <w:pPr>
              <w:spacing w:line="240" w:lineRule="auto"/>
              <w:jc w:val="center"/>
              <w:rPr>
                <w:color w:val="auto"/>
                <w:sz w:val="21"/>
                <w:szCs w:val="21"/>
              </w:rPr>
            </w:pPr>
            <w:r>
              <w:rPr>
                <w:color w:val="auto"/>
                <w:sz w:val="21"/>
                <w:szCs w:val="21"/>
              </w:rPr>
              <w:t>顺</w:t>
            </w:r>
            <w:r>
              <w:rPr>
                <w:rFonts w:hint="eastAsia"/>
                <w:color w:val="auto"/>
                <w:sz w:val="21"/>
                <w:szCs w:val="21"/>
              </w:rPr>
              <w:t>式-</w:t>
            </w:r>
            <w:r>
              <w:rPr>
                <w:color w:val="auto"/>
                <w:sz w:val="21"/>
                <w:szCs w:val="21"/>
              </w:rPr>
              <w:t>1,2-二氯乙烯</w:t>
            </w:r>
          </w:p>
        </w:tc>
        <w:tc>
          <w:tcPr>
            <w:tcW w:w="378" w:type="pct"/>
            <w:tcBorders>
              <w:tl2br w:val="nil"/>
              <w:tr2bl w:val="nil"/>
            </w:tcBorders>
            <w:vAlign w:val="center"/>
          </w:tcPr>
          <w:p w14:paraId="5EAEA705">
            <w:pPr>
              <w:spacing w:line="240" w:lineRule="auto"/>
              <w:jc w:val="center"/>
              <w:rPr>
                <w:rFonts w:hint="default"/>
                <w:color w:val="auto"/>
                <w:sz w:val="21"/>
                <w:szCs w:val="21"/>
                <w:lang w:val="en-US" w:eastAsia="zh-CN"/>
              </w:rPr>
            </w:pPr>
            <w:r>
              <w:rPr>
                <w:color w:val="auto"/>
                <w:sz w:val="21"/>
                <w:szCs w:val="21"/>
              </w:rPr>
              <w:t>mg/kg</w:t>
            </w:r>
          </w:p>
        </w:tc>
        <w:tc>
          <w:tcPr>
            <w:tcW w:w="784" w:type="pct"/>
            <w:tcBorders>
              <w:tl2br w:val="nil"/>
              <w:tr2bl w:val="nil"/>
            </w:tcBorders>
            <w:vAlign w:val="center"/>
          </w:tcPr>
          <w:p w14:paraId="1D4F428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676340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E0F7DFF">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A312A65">
            <w:pPr>
              <w:jc w:val="center"/>
              <w:rPr>
                <w:rFonts w:hint="eastAsia"/>
                <w:color w:val="auto"/>
                <w:sz w:val="21"/>
                <w:szCs w:val="21"/>
                <w:lang w:val="en-US" w:eastAsia="zh-CN"/>
              </w:rPr>
            </w:pPr>
            <w:r>
              <w:rPr>
                <w:rFonts w:ascii="Times New Roman" w:hAnsi="Times New Roman" w:cs="Times New Roman"/>
                <w:color w:val="auto"/>
                <w:sz w:val="21"/>
                <w:szCs w:val="21"/>
              </w:rPr>
              <w:t>596</w:t>
            </w:r>
          </w:p>
        </w:tc>
        <w:tc>
          <w:tcPr>
            <w:tcW w:w="584" w:type="pct"/>
            <w:tcBorders>
              <w:tl2br w:val="nil"/>
              <w:tr2bl w:val="nil"/>
            </w:tcBorders>
            <w:vAlign w:val="center"/>
          </w:tcPr>
          <w:p w14:paraId="55CA0089">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8C36B68">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F7BA60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92E257D">
            <w:pPr>
              <w:spacing w:line="240" w:lineRule="auto"/>
              <w:jc w:val="center"/>
              <w:rPr>
                <w:color w:val="auto"/>
                <w:sz w:val="21"/>
                <w:szCs w:val="21"/>
              </w:rPr>
            </w:pPr>
            <w:r>
              <w:rPr>
                <w:color w:val="auto"/>
                <w:sz w:val="21"/>
                <w:szCs w:val="21"/>
              </w:rPr>
              <w:t>反</w:t>
            </w:r>
            <w:r>
              <w:rPr>
                <w:rFonts w:hint="eastAsia"/>
                <w:color w:val="auto"/>
                <w:sz w:val="21"/>
                <w:szCs w:val="21"/>
              </w:rPr>
              <w:t>式-</w:t>
            </w:r>
            <w:r>
              <w:rPr>
                <w:color w:val="auto"/>
                <w:sz w:val="21"/>
                <w:szCs w:val="21"/>
              </w:rPr>
              <w:t>1,2-二氯乙烯</w:t>
            </w:r>
          </w:p>
        </w:tc>
        <w:tc>
          <w:tcPr>
            <w:tcW w:w="378" w:type="pct"/>
            <w:tcBorders>
              <w:tl2br w:val="nil"/>
              <w:tr2bl w:val="nil"/>
            </w:tcBorders>
            <w:vAlign w:val="center"/>
          </w:tcPr>
          <w:p w14:paraId="52B3686F">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405B1A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4A78CC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7621AC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DCD9B97">
            <w:pPr>
              <w:jc w:val="center"/>
              <w:rPr>
                <w:rFonts w:hint="eastAsia"/>
                <w:color w:val="auto"/>
                <w:sz w:val="21"/>
                <w:szCs w:val="21"/>
                <w:lang w:val="en-US" w:eastAsia="zh-CN"/>
              </w:rPr>
            </w:pPr>
            <w:r>
              <w:rPr>
                <w:rFonts w:ascii="Times New Roman" w:hAnsi="Times New Roman" w:cs="Times New Roman"/>
                <w:color w:val="auto"/>
                <w:sz w:val="21"/>
                <w:szCs w:val="21"/>
              </w:rPr>
              <w:t>54</w:t>
            </w:r>
          </w:p>
        </w:tc>
        <w:tc>
          <w:tcPr>
            <w:tcW w:w="584" w:type="pct"/>
            <w:tcBorders>
              <w:tl2br w:val="nil"/>
              <w:tr2bl w:val="nil"/>
            </w:tcBorders>
            <w:vAlign w:val="center"/>
          </w:tcPr>
          <w:p w14:paraId="345B04B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62DA587">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1473839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F9725F2">
            <w:pPr>
              <w:spacing w:line="240" w:lineRule="auto"/>
              <w:jc w:val="center"/>
              <w:rPr>
                <w:color w:val="auto"/>
                <w:sz w:val="21"/>
                <w:szCs w:val="21"/>
              </w:rPr>
            </w:pPr>
            <w:r>
              <w:rPr>
                <w:color w:val="auto"/>
                <w:sz w:val="21"/>
                <w:szCs w:val="21"/>
              </w:rPr>
              <w:t>二氯甲烷</w:t>
            </w:r>
          </w:p>
        </w:tc>
        <w:tc>
          <w:tcPr>
            <w:tcW w:w="378" w:type="pct"/>
            <w:tcBorders>
              <w:tl2br w:val="nil"/>
              <w:tr2bl w:val="nil"/>
            </w:tcBorders>
            <w:vAlign w:val="center"/>
          </w:tcPr>
          <w:p w14:paraId="6682320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7A90A98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108813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12FB72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6B79A62">
            <w:pPr>
              <w:jc w:val="center"/>
              <w:rPr>
                <w:rFonts w:hint="eastAsia"/>
                <w:color w:val="auto"/>
                <w:sz w:val="21"/>
                <w:szCs w:val="21"/>
                <w:lang w:val="en-US" w:eastAsia="zh-CN"/>
              </w:rPr>
            </w:pPr>
            <w:r>
              <w:rPr>
                <w:rFonts w:ascii="Times New Roman" w:hAnsi="Times New Roman" w:cs="Times New Roman"/>
                <w:color w:val="auto"/>
                <w:sz w:val="21"/>
                <w:szCs w:val="21"/>
              </w:rPr>
              <w:t>616</w:t>
            </w:r>
          </w:p>
        </w:tc>
        <w:tc>
          <w:tcPr>
            <w:tcW w:w="584" w:type="pct"/>
            <w:tcBorders>
              <w:tl2br w:val="nil"/>
              <w:tr2bl w:val="nil"/>
            </w:tcBorders>
            <w:vAlign w:val="center"/>
          </w:tcPr>
          <w:p w14:paraId="6FCB4996">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4D9EC7A">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7B4125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3ED330C">
            <w:pPr>
              <w:spacing w:line="240" w:lineRule="auto"/>
              <w:jc w:val="center"/>
              <w:rPr>
                <w:color w:val="auto"/>
                <w:sz w:val="21"/>
                <w:szCs w:val="21"/>
              </w:rPr>
            </w:pPr>
            <w:r>
              <w:rPr>
                <w:color w:val="auto"/>
                <w:sz w:val="21"/>
                <w:szCs w:val="21"/>
              </w:rPr>
              <w:t>1,2-二氯丙烷</w:t>
            </w:r>
          </w:p>
        </w:tc>
        <w:tc>
          <w:tcPr>
            <w:tcW w:w="378" w:type="pct"/>
            <w:tcBorders>
              <w:tl2br w:val="nil"/>
              <w:tr2bl w:val="nil"/>
            </w:tcBorders>
            <w:vAlign w:val="center"/>
          </w:tcPr>
          <w:p w14:paraId="25FCB3B6">
            <w:pPr>
              <w:spacing w:line="240" w:lineRule="auto"/>
              <w:jc w:val="center"/>
              <w:rPr>
                <w:rFonts w:hint="eastAsia"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D57334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D754EF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057561D">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60E8545">
            <w:pPr>
              <w:jc w:val="center"/>
              <w:rPr>
                <w:rFonts w:hint="eastAsia"/>
                <w:color w:val="auto"/>
                <w:sz w:val="21"/>
                <w:szCs w:val="21"/>
                <w:lang w:val="en-US" w:eastAsia="zh-CN"/>
              </w:rPr>
            </w:pPr>
            <w:r>
              <w:rPr>
                <w:rFonts w:ascii="Times New Roman" w:hAnsi="Times New Roman" w:cs="Times New Roman"/>
                <w:color w:val="auto"/>
                <w:sz w:val="21"/>
                <w:szCs w:val="21"/>
              </w:rPr>
              <w:t>5</w:t>
            </w:r>
          </w:p>
        </w:tc>
        <w:tc>
          <w:tcPr>
            <w:tcW w:w="584" w:type="pct"/>
            <w:tcBorders>
              <w:tl2br w:val="nil"/>
              <w:tr2bl w:val="nil"/>
            </w:tcBorders>
            <w:vAlign w:val="center"/>
          </w:tcPr>
          <w:p w14:paraId="0C0CB417">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D2574B2">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EBFA76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EAFB41E">
            <w:pPr>
              <w:spacing w:line="240" w:lineRule="auto"/>
              <w:jc w:val="center"/>
              <w:rPr>
                <w:color w:val="auto"/>
                <w:sz w:val="21"/>
                <w:szCs w:val="21"/>
              </w:rPr>
            </w:pPr>
            <w:r>
              <w:rPr>
                <w:color w:val="auto"/>
                <w:sz w:val="21"/>
                <w:szCs w:val="21"/>
              </w:rPr>
              <w:t>1,1,1,2-四氯乙烷</w:t>
            </w:r>
          </w:p>
        </w:tc>
        <w:tc>
          <w:tcPr>
            <w:tcW w:w="378" w:type="pct"/>
            <w:tcBorders>
              <w:tl2br w:val="nil"/>
              <w:tr2bl w:val="nil"/>
            </w:tcBorders>
            <w:vAlign w:val="center"/>
          </w:tcPr>
          <w:p w14:paraId="00CB900E">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3F65BB0">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C9416E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B18F2C8">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85C23C7">
            <w:pPr>
              <w:jc w:val="center"/>
              <w:rPr>
                <w:rFonts w:hint="eastAsia"/>
                <w:color w:val="auto"/>
                <w:sz w:val="21"/>
                <w:szCs w:val="21"/>
                <w:lang w:val="en-US" w:eastAsia="zh-CN"/>
              </w:rPr>
            </w:pPr>
            <w:r>
              <w:rPr>
                <w:rFonts w:ascii="Times New Roman" w:hAnsi="Times New Roman" w:cs="Times New Roman"/>
                <w:color w:val="auto"/>
                <w:sz w:val="21"/>
                <w:szCs w:val="21"/>
              </w:rPr>
              <w:t>10</w:t>
            </w:r>
          </w:p>
        </w:tc>
        <w:tc>
          <w:tcPr>
            <w:tcW w:w="584" w:type="pct"/>
            <w:tcBorders>
              <w:tl2br w:val="nil"/>
              <w:tr2bl w:val="nil"/>
            </w:tcBorders>
            <w:vAlign w:val="center"/>
          </w:tcPr>
          <w:p w14:paraId="6F85F6D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32E0A676">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E5325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7851150">
            <w:pPr>
              <w:spacing w:line="240" w:lineRule="auto"/>
              <w:jc w:val="center"/>
              <w:rPr>
                <w:color w:val="auto"/>
                <w:sz w:val="21"/>
                <w:szCs w:val="21"/>
              </w:rPr>
            </w:pPr>
            <w:r>
              <w:rPr>
                <w:rFonts w:hint="eastAsia"/>
                <w:color w:val="auto"/>
                <w:sz w:val="21"/>
                <w:szCs w:val="21"/>
              </w:rPr>
              <w:t>1,1,2,2-四氯乙烷</w:t>
            </w:r>
          </w:p>
        </w:tc>
        <w:tc>
          <w:tcPr>
            <w:tcW w:w="378" w:type="pct"/>
            <w:tcBorders>
              <w:tl2br w:val="nil"/>
              <w:tr2bl w:val="nil"/>
            </w:tcBorders>
            <w:vAlign w:val="center"/>
          </w:tcPr>
          <w:p w14:paraId="59DA45E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DAA131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3E6435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D65F69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67A8410">
            <w:pPr>
              <w:jc w:val="center"/>
              <w:rPr>
                <w:rFonts w:hint="eastAsia"/>
                <w:color w:val="auto"/>
                <w:sz w:val="21"/>
                <w:szCs w:val="21"/>
                <w:lang w:val="en-US" w:eastAsia="zh-CN"/>
              </w:rPr>
            </w:pPr>
            <w:r>
              <w:rPr>
                <w:rFonts w:ascii="Times New Roman" w:hAnsi="Times New Roman" w:cs="Times New Roman"/>
                <w:color w:val="auto"/>
                <w:sz w:val="21"/>
                <w:szCs w:val="21"/>
              </w:rPr>
              <w:t>6.8</w:t>
            </w:r>
          </w:p>
        </w:tc>
        <w:tc>
          <w:tcPr>
            <w:tcW w:w="584" w:type="pct"/>
            <w:tcBorders>
              <w:tl2br w:val="nil"/>
              <w:tr2bl w:val="nil"/>
            </w:tcBorders>
            <w:vAlign w:val="center"/>
          </w:tcPr>
          <w:p w14:paraId="34F49B5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05B0FE4">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737E9A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7A5F32D">
            <w:pPr>
              <w:spacing w:line="240" w:lineRule="auto"/>
              <w:jc w:val="center"/>
              <w:rPr>
                <w:color w:val="auto"/>
                <w:sz w:val="21"/>
                <w:szCs w:val="21"/>
              </w:rPr>
            </w:pPr>
            <w:r>
              <w:rPr>
                <w:color w:val="auto"/>
                <w:sz w:val="21"/>
                <w:szCs w:val="21"/>
              </w:rPr>
              <w:t>四氯乙烯</w:t>
            </w:r>
          </w:p>
        </w:tc>
        <w:tc>
          <w:tcPr>
            <w:tcW w:w="378" w:type="pct"/>
            <w:tcBorders>
              <w:tl2br w:val="nil"/>
              <w:tr2bl w:val="nil"/>
            </w:tcBorders>
            <w:vAlign w:val="center"/>
          </w:tcPr>
          <w:p w14:paraId="073CCC3B">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DE2D93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AF5D23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040362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341FAB1">
            <w:pPr>
              <w:jc w:val="center"/>
              <w:rPr>
                <w:rFonts w:hint="eastAsia"/>
                <w:color w:val="auto"/>
                <w:sz w:val="21"/>
                <w:szCs w:val="21"/>
                <w:lang w:val="en-US" w:eastAsia="zh-CN"/>
              </w:rPr>
            </w:pPr>
            <w:r>
              <w:rPr>
                <w:rFonts w:ascii="Times New Roman" w:hAnsi="Times New Roman" w:cs="Times New Roman"/>
                <w:color w:val="auto"/>
                <w:sz w:val="21"/>
                <w:szCs w:val="21"/>
              </w:rPr>
              <w:t>53</w:t>
            </w:r>
          </w:p>
        </w:tc>
        <w:tc>
          <w:tcPr>
            <w:tcW w:w="584" w:type="pct"/>
            <w:tcBorders>
              <w:tl2br w:val="nil"/>
              <w:tr2bl w:val="nil"/>
            </w:tcBorders>
            <w:vAlign w:val="center"/>
          </w:tcPr>
          <w:p w14:paraId="778FD423">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03E49A91">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3CC218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7600D0C">
            <w:pPr>
              <w:spacing w:line="240" w:lineRule="auto"/>
              <w:jc w:val="center"/>
              <w:rPr>
                <w:color w:val="auto"/>
                <w:sz w:val="21"/>
                <w:szCs w:val="21"/>
              </w:rPr>
            </w:pPr>
            <w:r>
              <w:rPr>
                <w:color w:val="auto"/>
                <w:sz w:val="21"/>
                <w:szCs w:val="21"/>
              </w:rPr>
              <w:t>1,1,1-三氯乙烷</w:t>
            </w:r>
          </w:p>
        </w:tc>
        <w:tc>
          <w:tcPr>
            <w:tcW w:w="378" w:type="pct"/>
            <w:tcBorders>
              <w:tl2br w:val="nil"/>
              <w:tr2bl w:val="nil"/>
            </w:tcBorders>
            <w:vAlign w:val="center"/>
          </w:tcPr>
          <w:p w14:paraId="02F5F919">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781C632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EECDFC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043C6A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75CBDA01">
            <w:pPr>
              <w:jc w:val="center"/>
              <w:rPr>
                <w:rFonts w:hint="eastAsia"/>
                <w:color w:val="auto"/>
                <w:sz w:val="21"/>
                <w:szCs w:val="21"/>
                <w:lang w:val="en-US" w:eastAsia="zh-CN"/>
              </w:rPr>
            </w:pPr>
            <w:r>
              <w:rPr>
                <w:rFonts w:ascii="Times New Roman" w:hAnsi="Times New Roman" w:cs="Times New Roman"/>
                <w:color w:val="auto"/>
                <w:sz w:val="21"/>
                <w:szCs w:val="21"/>
              </w:rPr>
              <w:t>840</w:t>
            </w:r>
          </w:p>
        </w:tc>
        <w:tc>
          <w:tcPr>
            <w:tcW w:w="584" w:type="pct"/>
            <w:tcBorders>
              <w:tl2br w:val="nil"/>
              <w:tr2bl w:val="nil"/>
            </w:tcBorders>
            <w:vAlign w:val="center"/>
          </w:tcPr>
          <w:p w14:paraId="29943E17">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685ACA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D42C1A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AAD3D14">
            <w:pPr>
              <w:spacing w:line="240" w:lineRule="auto"/>
              <w:jc w:val="center"/>
              <w:rPr>
                <w:color w:val="auto"/>
                <w:sz w:val="21"/>
                <w:szCs w:val="21"/>
              </w:rPr>
            </w:pPr>
            <w:r>
              <w:rPr>
                <w:color w:val="auto"/>
                <w:sz w:val="21"/>
                <w:szCs w:val="21"/>
              </w:rPr>
              <w:t>1,1,2-三氯乙烷</w:t>
            </w:r>
          </w:p>
        </w:tc>
        <w:tc>
          <w:tcPr>
            <w:tcW w:w="378" w:type="pct"/>
            <w:tcBorders>
              <w:tl2br w:val="nil"/>
              <w:tr2bl w:val="nil"/>
            </w:tcBorders>
            <w:vAlign w:val="center"/>
          </w:tcPr>
          <w:p w14:paraId="1BB99FD2">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7D96B2AF">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BE8E0DF">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314B197">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A6D2F1F">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4A73E256">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0A31DE83">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429C739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16EF7E5">
            <w:pPr>
              <w:spacing w:line="240" w:lineRule="auto"/>
              <w:jc w:val="center"/>
              <w:rPr>
                <w:color w:val="auto"/>
                <w:sz w:val="21"/>
                <w:szCs w:val="21"/>
              </w:rPr>
            </w:pPr>
            <w:r>
              <w:rPr>
                <w:color w:val="auto"/>
                <w:sz w:val="21"/>
                <w:szCs w:val="21"/>
              </w:rPr>
              <w:t>三氯乙烯</w:t>
            </w:r>
          </w:p>
        </w:tc>
        <w:tc>
          <w:tcPr>
            <w:tcW w:w="378" w:type="pct"/>
            <w:tcBorders>
              <w:tl2br w:val="nil"/>
              <w:tr2bl w:val="nil"/>
            </w:tcBorders>
            <w:vAlign w:val="center"/>
          </w:tcPr>
          <w:p w14:paraId="404FA978">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573B8C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479DBD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F5B204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C420B14">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6999562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67B5BC2">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E1575B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8520319">
            <w:pPr>
              <w:spacing w:line="240" w:lineRule="auto"/>
              <w:jc w:val="center"/>
              <w:rPr>
                <w:color w:val="auto"/>
                <w:sz w:val="21"/>
                <w:szCs w:val="21"/>
              </w:rPr>
            </w:pPr>
            <w:r>
              <w:rPr>
                <w:color w:val="auto"/>
                <w:sz w:val="21"/>
                <w:szCs w:val="21"/>
              </w:rPr>
              <w:t>1,2,3-三氯丙烷</w:t>
            </w:r>
          </w:p>
        </w:tc>
        <w:tc>
          <w:tcPr>
            <w:tcW w:w="378" w:type="pct"/>
            <w:tcBorders>
              <w:tl2br w:val="nil"/>
              <w:tr2bl w:val="nil"/>
            </w:tcBorders>
            <w:vAlign w:val="center"/>
          </w:tcPr>
          <w:p w14:paraId="029363D0">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2D53CBC">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EFA810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3B1F1F2">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69DCE28">
            <w:pPr>
              <w:jc w:val="center"/>
              <w:rPr>
                <w:rFonts w:hint="eastAsia"/>
                <w:color w:val="auto"/>
                <w:sz w:val="21"/>
                <w:szCs w:val="21"/>
                <w:lang w:val="en-US" w:eastAsia="zh-CN"/>
              </w:rPr>
            </w:pPr>
            <w:r>
              <w:rPr>
                <w:rFonts w:ascii="Times New Roman" w:hAnsi="Times New Roman" w:cs="Times New Roman"/>
                <w:color w:val="auto"/>
                <w:sz w:val="21"/>
                <w:szCs w:val="21"/>
              </w:rPr>
              <w:t>0.5</w:t>
            </w:r>
          </w:p>
        </w:tc>
        <w:tc>
          <w:tcPr>
            <w:tcW w:w="584" w:type="pct"/>
            <w:tcBorders>
              <w:tl2br w:val="nil"/>
              <w:tr2bl w:val="nil"/>
            </w:tcBorders>
            <w:vAlign w:val="center"/>
          </w:tcPr>
          <w:p w14:paraId="1BBB7796">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F6C474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8B020E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F533A83">
            <w:pPr>
              <w:spacing w:line="240" w:lineRule="auto"/>
              <w:jc w:val="center"/>
              <w:rPr>
                <w:color w:val="auto"/>
                <w:sz w:val="21"/>
                <w:szCs w:val="21"/>
              </w:rPr>
            </w:pPr>
            <w:r>
              <w:rPr>
                <w:color w:val="auto"/>
                <w:sz w:val="21"/>
                <w:szCs w:val="21"/>
              </w:rPr>
              <w:t>氯乙烯</w:t>
            </w:r>
          </w:p>
        </w:tc>
        <w:tc>
          <w:tcPr>
            <w:tcW w:w="378" w:type="pct"/>
            <w:tcBorders>
              <w:tl2br w:val="nil"/>
              <w:tr2bl w:val="nil"/>
            </w:tcBorders>
            <w:vAlign w:val="center"/>
          </w:tcPr>
          <w:p w14:paraId="63CF0BC3">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244181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D64F55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D9236A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672F470">
            <w:pPr>
              <w:jc w:val="center"/>
              <w:rPr>
                <w:rFonts w:hint="eastAsia"/>
                <w:color w:val="auto"/>
                <w:sz w:val="21"/>
                <w:szCs w:val="21"/>
                <w:lang w:val="en-US" w:eastAsia="zh-CN"/>
              </w:rPr>
            </w:pPr>
            <w:r>
              <w:rPr>
                <w:rFonts w:ascii="Times New Roman" w:hAnsi="Times New Roman" w:cs="Times New Roman"/>
                <w:color w:val="auto"/>
                <w:sz w:val="21"/>
                <w:szCs w:val="21"/>
              </w:rPr>
              <w:t>0.43</w:t>
            </w:r>
          </w:p>
        </w:tc>
        <w:tc>
          <w:tcPr>
            <w:tcW w:w="584" w:type="pct"/>
            <w:tcBorders>
              <w:tl2br w:val="nil"/>
              <w:tr2bl w:val="nil"/>
            </w:tcBorders>
            <w:vAlign w:val="center"/>
          </w:tcPr>
          <w:p w14:paraId="1C96E88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4CE226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8CAC4D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43A35AB">
            <w:pPr>
              <w:spacing w:line="240" w:lineRule="auto"/>
              <w:jc w:val="center"/>
              <w:rPr>
                <w:color w:val="auto"/>
                <w:sz w:val="21"/>
                <w:szCs w:val="21"/>
              </w:rPr>
            </w:pPr>
            <w:r>
              <w:rPr>
                <w:color w:val="auto"/>
                <w:sz w:val="21"/>
                <w:szCs w:val="21"/>
              </w:rPr>
              <w:t>苯</w:t>
            </w:r>
          </w:p>
        </w:tc>
        <w:tc>
          <w:tcPr>
            <w:tcW w:w="378" w:type="pct"/>
            <w:tcBorders>
              <w:tl2br w:val="nil"/>
              <w:tr2bl w:val="nil"/>
            </w:tcBorders>
            <w:vAlign w:val="center"/>
          </w:tcPr>
          <w:p w14:paraId="6B2A82DC">
            <w:pPr>
              <w:spacing w:line="240" w:lineRule="auto"/>
              <w:jc w:val="center"/>
              <w:rPr>
                <w:rFonts w:hint="eastAsia"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845238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4A5778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810E99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C6C28C5">
            <w:pPr>
              <w:jc w:val="center"/>
              <w:rPr>
                <w:rFonts w:hint="eastAsia"/>
                <w:color w:val="auto"/>
                <w:sz w:val="21"/>
                <w:szCs w:val="21"/>
                <w:lang w:val="en-US" w:eastAsia="zh-CN"/>
              </w:rPr>
            </w:pPr>
            <w:r>
              <w:rPr>
                <w:rFonts w:ascii="Times New Roman" w:hAnsi="Times New Roman" w:cs="Times New Roman"/>
                <w:color w:val="auto"/>
                <w:sz w:val="21"/>
                <w:szCs w:val="21"/>
              </w:rPr>
              <w:t>4</w:t>
            </w:r>
          </w:p>
        </w:tc>
        <w:tc>
          <w:tcPr>
            <w:tcW w:w="584" w:type="pct"/>
            <w:tcBorders>
              <w:tl2br w:val="nil"/>
              <w:tr2bl w:val="nil"/>
            </w:tcBorders>
            <w:vAlign w:val="center"/>
          </w:tcPr>
          <w:p w14:paraId="09A51B0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BE2138A">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186C1DA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53E01911">
            <w:pPr>
              <w:spacing w:line="240" w:lineRule="auto"/>
              <w:jc w:val="center"/>
              <w:rPr>
                <w:color w:val="auto"/>
                <w:sz w:val="21"/>
                <w:szCs w:val="21"/>
              </w:rPr>
            </w:pPr>
            <w:r>
              <w:rPr>
                <w:color w:val="auto"/>
                <w:sz w:val="21"/>
                <w:szCs w:val="21"/>
              </w:rPr>
              <w:t>氯苯</w:t>
            </w:r>
          </w:p>
        </w:tc>
        <w:tc>
          <w:tcPr>
            <w:tcW w:w="378" w:type="pct"/>
            <w:tcBorders>
              <w:tl2br w:val="nil"/>
              <w:tr2bl w:val="nil"/>
            </w:tcBorders>
            <w:vAlign w:val="center"/>
          </w:tcPr>
          <w:p w14:paraId="7A056752">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D328D59">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94566E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055E20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204231F">
            <w:pPr>
              <w:jc w:val="center"/>
              <w:rPr>
                <w:rFonts w:hint="eastAsia"/>
                <w:color w:val="auto"/>
                <w:sz w:val="21"/>
                <w:szCs w:val="21"/>
                <w:lang w:val="en-US" w:eastAsia="zh-CN"/>
              </w:rPr>
            </w:pPr>
            <w:r>
              <w:rPr>
                <w:rFonts w:ascii="Times New Roman" w:hAnsi="Times New Roman" w:cs="Times New Roman"/>
                <w:color w:val="auto"/>
                <w:sz w:val="21"/>
                <w:szCs w:val="21"/>
              </w:rPr>
              <w:t>270</w:t>
            </w:r>
          </w:p>
        </w:tc>
        <w:tc>
          <w:tcPr>
            <w:tcW w:w="584" w:type="pct"/>
            <w:tcBorders>
              <w:tl2br w:val="nil"/>
              <w:tr2bl w:val="nil"/>
            </w:tcBorders>
            <w:vAlign w:val="center"/>
          </w:tcPr>
          <w:p w14:paraId="59871F59">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3AE980F">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133BB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279406B">
            <w:pPr>
              <w:spacing w:line="240" w:lineRule="auto"/>
              <w:jc w:val="center"/>
              <w:rPr>
                <w:color w:val="auto"/>
                <w:sz w:val="21"/>
                <w:szCs w:val="21"/>
              </w:rPr>
            </w:pPr>
            <w:r>
              <w:rPr>
                <w:color w:val="auto"/>
                <w:sz w:val="21"/>
                <w:szCs w:val="21"/>
              </w:rPr>
              <w:t>1,2-二氯苯</w:t>
            </w:r>
          </w:p>
        </w:tc>
        <w:tc>
          <w:tcPr>
            <w:tcW w:w="378" w:type="pct"/>
            <w:tcBorders>
              <w:tl2br w:val="nil"/>
              <w:tr2bl w:val="nil"/>
            </w:tcBorders>
            <w:vAlign w:val="center"/>
          </w:tcPr>
          <w:p w14:paraId="271CBFF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F25B3E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D11757C">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2F5CDC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770C66E">
            <w:pPr>
              <w:jc w:val="center"/>
              <w:rPr>
                <w:rFonts w:hint="eastAsia"/>
                <w:color w:val="auto"/>
                <w:sz w:val="21"/>
                <w:szCs w:val="21"/>
                <w:lang w:val="en-US" w:eastAsia="zh-CN"/>
              </w:rPr>
            </w:pPr>
            <w:r>
              <w:rPr>
                <w:rFonts w:ascii="Times New Roman" w:hAnsi="Times New Roman" w:cs="Times New Roman"/>
                <w:color w:val="auto"/>
                <w:sz w:val="21"/>
                <w:szCs w:val="21"/>
              </w:rPr>
              <w:t>560</w:t>
            </w:r>
          </w:p>
        </w:tc>
        <w:tc>
          <w:tcPr>
            <w:tcW w:w="584" w:type="pct"/>
            <w:tcBorders>
              <w:tl2br w:val="nil"/>
              <w:tr2bl w:val="nil"/>
            </w:tcBorders>
            <w:vAlign w:val="center"/>
          </w:tcPr>
          <w:p w14:paraId="6D5FF218">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7ED2EA1">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42815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860DC9E">
            <w:pPr>
              <w:spacing w:line="240" w:lineRule="auto"/>
              <w:jc w:val="center"/>
              <w:rPr>
                <w:color w:val="auto"/>
                <w:sz w:val="21"/>
                <w:szCs w:val="21"/>
              </w:rPr>
            </w:pPr>
            <w:r>
              <w:rPr>
                <w:color w:val="auto"/>
                <w:sz w:val="21"/>
                <w:szCs w:val="21"/>
              </w:rPr>
              <w:t>1,4-二氯苯</w:t>
            </w:r>
          </w:p>
        </w:tc>
        <w:tc>
          <w:tcPr>
            <w:tcW w:w="378" w:type="pct"/>
            <w:tcBorders>
              <w:tl2br w:val="nil"/>
              <w:tr2bl w:val="nil"/>
            </w:tcBorders>
            <w:vAlign w:val="center"/>
          </w:tcPr>
          <w:p w14:paraId="6CFA2357">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0423FF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F9324F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573472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2CE7DDB">
            <w:pPr>
              <w:jc w:val="center"/>
              <w:rPr>
                <w:rFonts w:hint="eastAsia"/>
                <w:color w:val="auto"/>
                <w:sz w:val="21"/>
                <w:szCs w:val="21"/>
                <w:lang w:val="en-US" w:eastAsia="zh-CN"/>
              </w:rPr>
            </w:pPr>
            <w:r>
              <w:rPr>
                <w:rFonts w:ascii="Times New Roman" w:hAnsi="Times New Roman" w:cs="Times New Roman"/>
                <w:color w:val="auto"/>
                <w:sz w:val="21"/>
                <w:szCs w:val="21"/>
              </w:rPr>
              <w:t>20</w:t>
            </w:r>
          </w:p>
        </w:tc>
        <w:tc>
          <w:tcPr>
            <w:tcW w:w="584" w:type="pct"/>
            <w:tcBorders>
              <w:tl2br w:val="nil"/>
              <w:tr2bl w:val="nil"/>
            </w:tcBorders>
            <w:vAlign w:val="center"/>
          </w:tcPr>
          <w:p w14:paraId="51703913">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840FB7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F1B981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37F7FED">
            <w:pPr>
              <w:spacing w:line="240" w:lineRule="auto"/>
              <w:jc w:val="center"/>
              <w:rPr>
                <w:color w:val="auto"/>
                <w:sz w:val="21"/>
                <w:szCs w:val="21"/>
              </w:rPr>
            </w:pPr>
            <w:r>
              <w:rPr>
                <w:color w:val="auto"/>
                <w:sz w:val="21"/>
                <w:szCs w:val="21"/>
              </w:rPr>
              <w:t>乙苯</w:t>
            </w:r>
          </w:p>
        </w:tc>
        <w:tc>
          <w:tcPr>
            <w:tcW w:w="378" w:type="pct"/>
            <w:tcBorders>
              <w:tl2br w:val="nil"/>
              <w:tr2bl w:val="nil"/>
            </w:tcBorders>
            <w:vAlign w:val="center"/>
          </w:tcPr>
          <w:p w14:paraId="5779E3C3">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17290C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1E8B90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E0BBDBD">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D173B2A">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44AB30B9">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44F1072">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6BBA66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FEF8429">
            <w:pPr>
              <w:spacing w:line="240" w:lineRule="auto"/>
              <w:jc w:val="center"/>
              <w:rPr>
                <w:color w:val="auto"/>
                <w:sz w:val="21"/>
                <w:szCs w:val="21"/>
              </w:rPr>
            </w:pPr>
            <w:r>
              <w:rPr>
                <w:color w:val="auto"/>
                <w:sz w:val="21"/>
                <w:szCs w:val="21"/>
              </w:rPr>
              <w:t>苯乙烯</w:t>
            </w:r>
          </w:p>
        </w:tc>
        <w:tc>
          <w:tcPr>
            <w:tcW w:w="378" w:type="pct"/>
            <w:tcBorders>
              <w:tl2br w:val="nil"/>
              <w:tr2bl w:val="nil"/>
            </w:tcBorders>
            <w:vAlign w:val="center"/>
          </w:tcPr>
          <w:p w14:paraId="091C10C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5699E1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BA1809C">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7A15A1A">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3B710BB">
            <w:pPr>
              <w:jc w:val="center"/>
              <w:rPr>
                <w:rFonts w:hint="eastAsia"/>
                <w:color w:val="auto"/>
                <w:sz w:val="21"/>
                <w:szCs w:val="21"/>
                <w:lang w:val="en-US" w:eastAsia="zh-CN"/>
              </w:rPr>
            </w:pPr>
            <w:r>
              <w:rPr>
                <w:rFonts w:ascii="Times New Roman" w:hAnsi="Times New Roman" w:cs="Times New Roman"/>
                <w:color w:val="auto"/>
                <w:sz w:val="21"/>
                <w:szCs w:val="21"/>
              </w:rPr>
              <w:t>1290</w:t>
            </w:r>
          </w:p>
        </w:tc>
        <w:tc>
          <w:tcPr>
            <w:tcW w:w="584" w:type="pct"/>
            <w:tcBorders>
              <w:tl2br w:val="nil"/>
              <w:tr2bl w:val="nil"/>
            </w:tcBorders>
            <w:vAlign w:val="center"/>
          </w:tcPr>
          <w:p w14:paraId="5F36126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1B5B23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479A651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1A60073">
            <w:pPr>
              <w:spacing w:line="240" w:lineRule="auto"/>
              <w:jc w:val="center"/>
              <w:rPr>
                <w:color w:val="auto"/>
                <w:sz w:val="21"/>
                <w:szCs w:val="21"/>
              </w:rPr>
            </w:pPr>
            <w:r>
              <w:rPr>
                <w:color w:val="auto"/>
                <w:sz w:val="21"/>
                <w:szCs w:val="21"/>
              </w:rPr>
              <w:t>甲苯</w:t>
            </w:r>
          </w:p>
        </w:tc>
        <w:tc>
          <w:tcPr>
            <w:tcW w:w="378" w:type="pct"/>
            <w:tcBorders>
              <w:tl2br w:val="nil"/>
              <w:tr2bl w:val="nil"/>
            </w:tcBorders>
            <w:vAlign w:val="center"/>
          </w:tcPr>
          <w:p w14:paraId="6635B795">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9D1C13E">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C775C6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2038E71">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7448A8A">
            <w:pPr>
              <w:jc w:val="center"/>
              <w:rPr>
                <w:rFonts w:hint="eastAsia"/>
                <w:color w:val="auto"/>
                <w:sz w:val="21"/>
                <w:szCs w:val="21"/>
                <w:lang w:val="en-US" w:eastAsia="zh-CN"/>
              </w:rPr>
            </w:pPr>
            <w:r>
              <w:rPr>
                <w:rFonts w:ascii="Times New Roman" w:hAnsi="Times New Roman" w:cs="Times New Roman"/>
                <w:color w:val="auto"/>
                <w:sz w:val="21"/>
                <w:szCs w:val="21"/>
              </w:rPr>
              <w:t>1200</w:t>
            </w:r>
          </w:p>
        </w:tc>
        <w:tc>
          <w:tcPr>
            <w:tcW w:w="584" w:type="pct"/>
            <w:tcBorders>
              <w:tl2br w:val="nil"/>
              <w:tr2bl w:val="nil"/>
            </w:tcBorders>
            <w:vAlign w:val="center"/>
          </w:tcPr>
          <w:p w14:paraId="70F02902">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56DC63D">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4ADC9E1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3F4A767">
            <w:pPr>
              <w:spacing w:line="240" w:lineRule="auto"/>
              <w:jc w:val="center"/>
              <w:rPr>
                <w:color w:val="auto"/>
                <w:sz w:val="21"/>
                <w:szCs w:val="21"/>
              </w:rPr>
            </w:pPr>
            <w:r>
              <w:rPr>
                <w:color w:val="auto"/>
                <w:sz w:val="21"/>
                <w:szCs w:val="21"/>
              </w:rPr>
              <w:t>间、对二甲苯</w:t>
            </w:r>
          </w:p>
        </w:tc>
        <w:tc>
          <w:tcPr>
            <w:tcW w:w="378" w:type="pct"/>
            <w:tcBorders>
              <w:tl2br w:val="nil"/>
              <w:tr2bl w:val="nil"/>
            </w:tcBorders>
            <w:vAlign w:val="center"/>
          </w:tcPr>
          <w:p w14:paraId="2C83AE61">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3E4B52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F8A1F00">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AF145B3">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74F8195">
            <w:pPr>
              <w:jc w:val="center"/>
              <w:rPr>
                <w:rFonts w:hint="eastAsia"/>
                <w:color w:val="auto"/>
                <w:sz w:val="21"/>
                <w:szCs w:val="21"/>
                <w:lang w:val="en-US" w:eastAsia="zh-CN"/>
              </w:rPr>
            </w:pPr>
            <w:r>
              <w:rPr>
                <w:rFonts w:ascii="Times New Roman" w:hAnsi="Times New Roman" w:cs="Times New Roman"/>
                <w:color w:val="auto"/>
                <w:sz w:val="21"/>
                <w:szCs w:val="21"/>
              </w:rPr>
              <w:t>570</w:t>
            </w:r>
          </w:p>
        </w:tc>
        <w:tc>
          <w:tcPr>
            <w:tcW w:w="584" w:type="pct"/>
            <w:tcBorders>
              <w:tl2br w:val="nil"/>
              <w:tr2bl w:val="nil"/>
            </w:tcBorders>
            <w:vAlign w:val="center"/>
          </w:tcPr>
          <w:p w14:paraId="5213463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A7AA7E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09DC56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B41BD58">
            <w:pPr>
              <w:spacing w:line="240" w:lineRule="auto"/>
              <w:jc w:val="center"/>
              <w:rPr>
                <w:color w:val="auto"/>
                <w:sz w:val="21"/>
                <w:szCs w:val="21"/>
              </w:rPr>
            </w:pPr>
            <w:r>
              <w:rPr>
                <w:color w:val="auto"/>
                <w:sz w:val="21"/>
                <w:szCs w:val="21"/>
              </w:rPr>
              <w:t>邻二甲苯</w:t>
            </w:r>
          </w:p>
        </w:tc>
        <w:tc>
          <w:tcPr>
            <w:tcW w:w="378" w:type="pct"/>
            <w:tcBorders>
              <w:tl2br w:val="nil"/>
              <w:tr2bl w:val="nil"/>
            </w:tcBorders>
            <w:vAlign w:val="center"/>
          </w:tcPr>
          <w:p w14:paraId="322AD3D2">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1F9AEC3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ABC725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45DB2C4">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7AE1DB8B">
            <w:pPr>
              <w:jc w:val="center"/>
              <w:rPr>
                <w:rFonts w:hint="eastAsia"/>
                <w:color w:val="auto"/>
                <w:sz w:val="21"/>
                <w:szCs w:val="21"/>
                <w:lang w:val="en-US" w:eastAsia="zh-CN"/>
              </w:rPr>
            </w:pPr>
            <w:r>
              <w:rPr>
                <w:rFonts w:ascii="Times New Roman" w:hAnsi="Times New Roman" w:cs="Times New Roman"/>
                <w:color w:val="auto"/>
                <w:sz w:val="21"/>
                <w:szCs w:val="21"/>
              </w:rPr>
              <w:t>640</w:t>
            </w:r>
          </w:p>
        </w:tc>
        <w:tc>
          <w:tcPr>
            <w:tcW w:w="584" w:type="pct"/>
            <w:tcBorders>
              <w:tl2br w:val="nil"/>
              <w:tr2bl w:val="nil"/>
            </w:tcBorders>
            <w:vAlign w:val="center"/>
          </w:tcPr>
          <w:p w14:paraId="21F027F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B7AAB17">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5C7062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5000" w:type="pct"/>
            <w:gridSpan w:val="8"/>
            <w:tcBorders>
              <w:tl2br w:val="nil"/>
              <w:tr2bl w:val="nil"/>
            </w:tcBorders>
            <w:vAlign w:val="center"/>
          </w:tcPr>
          <w:p w14:paraId="10621ADF">
            <w:pPr>
              <w:spacing w:line="240" w:lineRule="auto"/>
              <w:jc w:val="center"/>
              <w:rPr>
                <w:color w:val="auto"/>
                <w:sz w:val="21"/>
                <w:szCs w:val="21"/>
              </w:rPr>
            </w:pPr>
            <w:r>
              <w:rPr>
                <w:color w:val="auto"/>
                <w:sz w:val="21"/>
                <w:szCs w:val="21"/>
              </w:rPr>
              <w:t>半挥发性有机物（11种）</w:t>
            </w:r>
          </w:p>
        </w:tc>
      </w:tr>
      <w:tr w14:paraId="3E00246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68683E0">
            <w:pPr>
              <w:spacing w:line="240" w:lineRule="auto"/>
              <w:jc w:val="center"/>
              <w:rPr>
                <w:color w:val="auto"/>
                <w:sz w:val="21"/>
                <w:szCs w:val="21"/>
              </w:rPr>
            </w:pPr>
            <w:r>
              <w:rPr>
                <w:color w:val="auto"/>
                <w:sz w:val="21"/>
                <w:szCs w:val="21"/>
              </w:rPr>
              <w:t>硝基苯</w:t>
            </w:r>
          </w:p>
        </w:tc>
        <w:tc>
          <w:tcPr>
            <w:tcW w:w="378" w:type="pct"/>
            <w:tcBorders>
              <w:tl2br w:val="nil"/>
              <w:tr2bl w:val="nil"/>
            </w:tcBorders>
            <w:vAlign w:val="center"/>
          </w:tcPr>
          <w:p w14:paraId="5B4B450B">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183918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689481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63C0E7C">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3097D96">
            <w:pPr>
              <w:jc w:val="center"/>
              <w:rPr>
                <w:rFonts w:hint="eastAsia"/>
                <w:color w:val="auto"/>
                <w:sz w:val="21"/>
                <w:szCs w:val="21"/>
                <w:lang w:val="en-US" w:eastAsia="zh-CN"/>
              </w:rPr>
            </w:pPr>
            <w:r>
              <w:rPr>
                <w:rFonts w:hint="eastAsia" w:ascii="Times New Roman" w:hAnsi="Times New Roman" w:cs="Times New Roman"/>
                <w:color w:val="auto"/>
                <w:sz w:val="21"/>
                <w:szCs w:val="21"/>
                <w:lang w:eastAsia="zh-CN"/>
              </w:rPr>
              <w:t>76</w:t>
            </w:r>
          </w:p>
        </w:tc>
        <w:tc>
          <w:tcPr>
            <w:tcW w:w="584" w:type="pct"/>
            <w:tcBorders>
              <w:tl2br w:val="nil"/>
              <w:tr2bl w:val="nil"/>
            </w:tcBorders>
            <w:vAlign w:val="center"/>
          </w:tcPr>
          <w:p w14:paraId="1D5E2707">
            <w:pPr>
              <w:jc w:val="center"/>
              <w:rPr>
                <w:rFonts w:hint="eastAsia" w:ascii="Times New Roman" w:hAnsi="Times New Roman" w:cs="Times New Roman"/>
                <w:color w:val="auto"/>
                <w:sz w:val="21"/>
                <w:szCs w:val="21"/>
                <w:lang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34BA0923">
            <w:pPr>
              <w:jc w:val="center"/>
              <w:rPr>
                <w:rFonts w:hint="eastAsia" w:ascii="Times New Roman" w:hAnsi="Times New Roman" w:cs="Times New Roman"/>
                <w:color w:val="auto"/>
                <w:sz w:val="21"/>
                <w:szCs w:val="21"/>
                <w:lang w:eastAsia="zh-CN"/>
              </w:rPr>
            </w:pPr>
            <w:r>
              <w:rPr>
                <w:rFonts w:hint="eastAsia" w:cs="Times New Roman"/>
                <w:color w:val="auto"/>
                <w:kern w:val="2"/>
                <w:sz w:val="21"/>
                <w:szCs w:val="21"/>
                <w:highlight w:val="none"/>
                <w:lang w:val="en-US" w:eastAsia="zh-CN" w:bidi="ar-SA"/>
              </w:rPr>
              <w:t>达标</w:t>
            </w:r>
          </w:p>
        </w:tc>
      </w:tr>
      <w:tr w14:paraId="6DD6636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B84F00F">
            <w:pPr>
              <w:spacing w:line="240" w:lineRule="auto"/>
              <w:jc w:val="center"/>
              <w:rPr>
                <w:color w:val="auto"/>
                <w:sz w:val="21"/>
                <w:szCs w:val="21"/>
              </w:rPr>
            </w:pPr>
            <w:r>
              <w:rPr>
                <w:color w:val="auto"/>
                <w:sz w:val="21"/>
                <w:szCs w:val="21"/>
              </w:rPr>
              <w:t>苯胺</w:t>
            </w:r>
          </w:p>
        </w:tc>
        <w:tc>
          <w:tcPr>
            <w:tcW w:w="378" w:type="pct"/>
            <w:tcBorders>
              <w:tl2br w:val="nil"/>
              <w:tr2bl w:val="nil"/>
            </w:tcBorders>
            <w:vAlign w:val="center"/>
          </w:tcPr>
          <w:p w14:paraId="1079B496">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7B1DD9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4461929">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84252E1">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11E8F3E9">
            <w:pPr>
              <w:jc w:val="center"/>
              <w:rPr>
                <w:rFonts w:hint="eastAsia"/>
                <w:color w:val="auto"/>
                <w:sz w:val="21"/>
                <w:szCs w:val="21"/>
                <w:lang w:val="en-US" w:eastAsia="zh-CN"/>
              </w:rPr>
            </w:pPr>
            <w:r>
              <w:rPr>
                <w:rFonts w:hint="eastAsia" w:ascii="Times New Roman" w:hAnsi="Times New Roman" w:cs="Times New Roman"/>
                <w:color w:val="auto"/>
                <w:sz w:val="21"/>
                <w:szCs w:val="21"/>
                <w:lang w:eastAsia="zh-CN"/>
              </w:rPr>
              <w:t>260</w:t>
            </w:r>
          </w:p>
        </w:tc>
        <w:tc>
          <w:tcPr>
            <w:tcW w:w="584" w:type="pct"/>
            <w:tcBorders>
              <w:tl2br w:val="nil"/>
              <w:tr2bl w:val="nil"/>
            </w:tcBorders>
            <w:vAlign w:val="center"/>
          </w:tcPr>
          <w:p w14:paraId="3A618A6A">
            <w:pPr>
              <w:jc w:val="center"/>
              <w:rPr>
                <w:rFonts w:hint="eastAsia" w:ascii="Times New Roman" w:hAnsi="Times New Roman" w:cs="Times New Roman"/>
                <w:color w:val="auto"/>
                <w:sz w:val="21"/>
                <w:szCs w:val="21"/>
                <w:lang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2FD37D1">
            <w:pPr>
              <w:jc w:val="center"/>
              <w:rPr>
                <w:rFonts w:hint="eastAsia" w:ascii="Times New Roman" w:hAnsi="Times New Roman" w:cs="Times New Roman"/>
                <w:color w:val="auto"/>
                <w:sz w:val="21"/>
                <w:szCs w:val="21"/>
                <w:lang w:eastAsia="zh-CN"/>
              </w:rPr>
            </w:pPr>
            <w:r>
              <w:rPr>
                <w:rFonts w:hint="eastAsia" w:cs="Times New Roman"/>
                <w:color w:val="auto"/>
                <w:kern w:val="2"/>
                <w:sz w:val="21"/>
                <w:szCs w:val="21"/>
                <w:highlight w:val="none"/>
                <w:lang w:val="en-US" w:eastAsia="zh-CN" w:bidi="ar-SA"/>
              </w:rPr>
              <w:t>达标</w:t>
            </w:r>
          </w:p>
        </w:tc>
      </w:tr>
      <w:tr w14:paraId="38C052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0FEF7BE">
            <w:pPr>
              <w:spacing w:line="240" w:lineRule="auto"/>
              <w:jc w:val="center"/>
              <w:rPr>
                <w:color w:val="auto"/>
                <w:sz w:val="21"/>
                <w:szCs w:val="21"/>
              </w:rPr>
            </w:pPr>
            <w:r>
              <w:rPr>
                <w:color w:val="auto"/>
                <w:sz w:val="21"/>
                <w:szCs w:val="21"/>
              </w:rPr>
              <w:t>2-氯酚</w:t>
            </w:r>
          </w:p>
        </w:tc>
        <w:tc>
          <w:tcPr>
            <w:tcW w:w="378" w:type="pct"/>
            <w:tcBorders>
              <w:tl2br w:val="nil"/>
              <w:tr2bl w:val="nil"/>
            </w:tcBorders>
            <w:vAlign w:val="center"/>
          </w:tcPr>
          <w:p w14:paraId="1B079B50">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09FE46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23DB50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71ABBD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66C6ADA">
            <w:pPr>
              <w:jc w:val="center"/>
              <w:rPr>
                <w:rFonts w:hint="eastAsia"/>
                <w:color w:val="auto"/>
                <w:sz w:val="21"/>
                <w:szCs w:val="21"/>
                <w:lang w:val="en-US" w:eastAsia="zh-CN"/>
              </w:rPr>
            </w:pPr>
            <w:r>
              <w:rPr>
                <w:rFonts w:hint="eastAsia" w:ascii="Times New Roman" w:hAnsi="Times New Roman" w:cs="Times New Roman"/>
                <w:color w:val="auto"/>
                <w:sz w:val="21"/>
                <w:szCs w:val="21"/>
                <w:lang w:eastAsia="zh-CN"/>
              </w:rPr>
              <w:t>2256</w:t>
            </w:r>
          </w:p>
        </w:tc>
        <w:tc>
          <w:tcPr>
            <w:tcW w:w="584" w:type="pct"/>
            <w:tcBorders>
              <w:tl2br w:val="nil"/>
              <w:tr2bl w:val="nil"/>
            </w:tcBorders>
            <w:vAlign w:val="center"/>
          </w:tcPr>
          <w:p w14:paraId="6277ACCF">
            <w:pPr>
              <w:jc w:val="center"/>
              <w:rPr>
                <w:rFonts w:hint="eastAsia" w:ascii="Times New Roman" w:hAnsi="Times New Roman" w:cs="Times New Roman"/>
                <w:color w:val="auto"/>
                <w:sz w:val="21"/>
                <w:szCs w:val="21"/>
                <w:lang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DE47C66">
            <w:pPr>
              <w:jc w:val="center"/>
              <w:rPr>
                <w:rFonts w:hint="eastAsia" w:ascii="Times New Roman" w:hAnsi="Times New Roman" w:cs="Times New Roman"/>
                <w:color w:val="auto"/>
                <w:sz w:val="21"/>
                <w:szCs w:val="21"/>
                <w:lang w:eastAsia="zh-CN"/>
              </w:rPr>
            </w:pPr>
            <w:r>
              <w:rPr>
                <w:rFonts w:hint="eastAsia" w:cs="Times New Roman"/>
                <w:color w:val="auto"/>
                <w:kern w:val="2"/>
                <w:sz w:val="21"/>
                <w:szCs w:val="21"/>
                <w:highlight w:val="none"/>
                <w:lang w:val="en-US" w:eastAsia="zh-CN" w:bidi="ar-SA"/>
              </w:rPr>
              <w:t>达标</w:t>
            </w:r>
          </w:p>
        </w:tc>
      </w:tr>
      <w:tr w14:paraId="624E50A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5A81A81">
            <w:pPr>
              <w:spacing w:line="240" w:lineRule="auto"/>
              <w:jc w:val="center"/>
              <w:rPr>
                <w:color w:val="auto"/>
                <w:sz w:val="21"/>
                <w:szCs w:val="21"/>
              </w:rPr>
            </w:pPr>
            <w:r>
              <w:rPr>
                <w:color w:val="auto"/>
                <w:sz w:val="21"/>
                <w:szCs w:val="21"/>
              </w:rPr>
              <w:t>苯并[a]蒽</w:t>
            </w:r>
          </w:p>
        </w:tc>
        <w:tc>
          <w:tcPr>
            <w:tcW w:w="378" w:type="pct"/>
            <w:tcBorders>
              <w:tl2br w:val="nil"/>
              <w:tr2bl w:val="nil"/>
            </w:tcBorders>
            <w:vAlign w:val="center"/>
          </w:tcPr>
          <w:p w14:paraId="77FB8255">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90DC6A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0A3DE2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45D0A7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715DF2D">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6697D85B">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DC71471">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959927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3A1CCE9">
            <w:pPr>
              <w:spacing w:line="240" w:lineRule="auto"/>
              <w:jc w:val="center"/>
              <w:rPr>
                <w:color w:val="auto"/>
                <w:sz w:val="21"/>
                <w:szCs w:val="21"/>
              </w:rPr>
            </w:pPr>
            <w:r>
              <w:rPr>
                <w:color w:val="auto"/>
                <w:sz w:val="21"/>
                <w:szCs w:val="21"/>
              </w:rPr>
              <w:t>苯并[a]芘</w:t>
            </w:r>
          </w:p>
        </w:tc>
        <w:tc>
          <w:tcPr>
            <w:tcW w:w="378" w:type="pct"/>
            <w:tcBorders>
              <w:tl2br w:val="nil"/>
              <w:tr2bl w:val="nil"/>
            </w:tcBorders>
            <w:vAlign w:val="center"/>
          </w:tcPr>
          <w:p w14:paraId="42DF991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1011B87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E6C0FC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375A95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06A5D21">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6542192A">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4A6F9C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779FEC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9CF38DC">
            <w:pPr>
              <w:spacing w:line="240" w:lineRule="auto"/>
              <w:jc w:val="center"/>
              <w:rPr>
                <w:color w:val="auto"/>
                <w:sz w:val="21"/>
                <w:szCs w:val="21"/>
              </w:rPr>
            </w:pPr>
            <w:r>
              <w:rPr>
                <w:color w:val="auto"/>
                <w:sz w:val="21"/>
                <w:szCs w:val="21"/>
              </w:rPr>
              <w:t>苯并[b]荧蒽</w:t>
            </w:r>
          </w:p>
        </w:tc>
        <w:tc>
          <w:tcPr>
            <w:tcW w:w="378" w:type="pct"/>
            <w:tcBorders>
              <w:tl2br w:val="nil"/>
              <w:tr2bl w:val="nil"/>
            </w:tcBorders>
            <w:vAlign w:val="center"/>
          </w:tcPr>
          <w:p w14:paraId="12D4337E">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C705C8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90DE9E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E58DF8A">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AFBC99A">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4DC65E23">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60059BA">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6E05AF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24613FE">
            <w:pPr>
              <w:spacing w:line="240" w:lineRule="auto"/>
              <w:jc w:val="center"/>
              <w:rPr>
                <w:color w:val="auto"/>
                <w:sz w:val="21"/>
                <w:szCs w:val="21"/>
              </w:rPr>
            </w:pPr>
            <w:r>
              <w:rPr>
                <w:color w:val="auto"/>
                <w:sz w:val="21"/>
                <w:szCs w:val="21"/>
              </w:rPr>
              <w:t>苯并[k]荧蒽</w:t>
            </w:r>
          </w:p>
        </w:tc>
        <w:tc>
          <w:tcPr>
            <w:tcW w:w="378" w:type="pct"/>
            <w:tcBorders>
              <w:tl2br w:val="nil"/>
              <w:tr2bl w:val="nil"/>
            </w:tcBorders>
            <w:vAlign w:val="center"/>
          </w:tcPr>
          <w:p w14:paraId="34B9CD5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D364BD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EF2EE7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FF2126A">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F6EF244">
            <w:pPr>
              <w:jc w:val="center"/>
              <w:rPr>
                <w:rFonts w:hint="eastAsia"/>
                <w:color w:val="auto"/>
                <w:sz w:val="21"/>
                <w:szCs w:val="21"/>
                <w:lang w:val="en-US" w:eastAsia="zh-CN"/>
              </w:rPr>
            </w:pPr>
            <w:r>
              <w:rPr>
                <w:rFonts w:ascii="Times New Roman" w:hAnsi="Times New Roman" w:cs="Times New Roman"/>
                <w:color w:val="auto"/>
                <w:sz w:val="21"/>
                <w:szCs w:val="21"/>
              </w:rPr>
              <w:t>151</w:t>
            </w:r>
          </w:p>
        </w:tc>
        <w:tc>
          <w:tcPr>
            <w:tcW w:w="584" w:type="pct"/>
            <w:tcBorders>
              <w:tl2br w:val="nil"/>
              <w:tr2bl w:val="nil"/>
            </w:tcBorders>
            <w:vAlign w:val="center"/>
          </w:tcPr>
          <w:p w14:paraId="154AE7F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C73E4A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7ED404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DB165A2">
            <w:pPr>
              <w:spacing w:line="240" w:lineRule="auto"/>
              <w:jc w:val="center"/>
              <w:rPr>
                <w:color w:val="auto"/>
                <w:sz w:val="21"/>
                <w:szCs w:val="21"/>
              </w:rPr>
            </w:pPr>
            <w:r>
              <w:rPr>
                <w:color w:val="auto"/>
                <w:sz w:val="21"/>
                <w:szCs w:val="21"/>
              </w:rPr>
              <w:t>䓛</w:t>
            </w:r>
          </w:p>
        </w:tc>
        <w:tc>
          <w:tcPr>
            <w:tcW w:w="378" w:type="pct"/>
            <w:tcBorders>
              <w:tl2br w:val="nil"/>
              <w:tr2bl w:val="nil"/>
            </w:tcBorders>
            <w:vAlign w:val="center"/>
          </w:tcPr>
          <w:p w14:paraId="1A4F634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6CE6B7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7F26B7E">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A9D723C">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77F0F7F">
            <w:pPr>
              <w:jc w:val="center"/>
              <w:rPr>
                <w:rFonts w:hint="eastAsia"/>
                <w:color w:val="auto"/>
                <w:sz w:val="21"/>
                <w:szCs w:val="21"/>
                <w:lang w:val="en-US" w:eastAsia="zh-CN"/>
              </w:rPr>
            </w:pPr>
            <w:r>
              <w:rPr>
                <w:rFonts w:ascii="Times New Roman" w:hAnsi="Times New Roman" w:cs="Times New Roman"/>
                <w:color w:val="auto"/>
                <w:sz w:val="21"/>
                <w:szCs w:val="21"/>
              </w:rPr>
              <w:t>1293</w:t>
            </w:r>
          </w:p>
        </w:tc>
        <w:tc>
          <w:tcPr>
            <w:tcW w:w="584" w:type="pct"/>
            <w:tcBorders>
              <w:tl2br w:val="nil"/>
              <w:tr2bl w:val="nil"/>
            </w:tcBorders>
            <w:vAlign w:val="center"/>
          </w:tcPr>
          <w:p w14:paraId="6012B67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744419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D38253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7B9A45C">
            <w:pPr>
              <w:spacing w:line="240" w:lineRule="auto"/>
              <w:jc w:val="center"/>
              <w:rPr>
                <w:color w:val="auto"/>
                <w:sz w:val="21"/>
                <w:szCs w:val="21"/>
              </w:rPr>
            </w:pPr>
            <w:r>
              <w:rPr>
                <w:color w:val="auto"/>
                <w:sz w:val="21"/>
                <w:szCs w:val="21"/>
              </w:rPr>
              <w:t>二苯并[a,h]蒽</w:t>
            </w:r>
          </w:p>
        </w:tc>
        <w:tc>
          <w:tcPr>
            <w:tcW w:w="378" w:type="pct"/>
            <w:tcBorders>
              <w:tl2br w:val="nil"/>
              <w:tr2bl w:val="nil"/>
            </w:tcBorders>
            <w:vAlign w:val="center"/>
          </w:tcPr>
          <w:p w14:paraId="61FE36E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27E51F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F6767E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9B7EA0D">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DF9EE77">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5D39BD28">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6EADF3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8E1833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52A895A">
            <w:pPr>
              <w:spacing w:line="240" w:lineRule="auto"/>
              <w:jc w:val="center"/>
              <w:rPr>
                <w:color w:val="auto"/>
                <w:sz w:val="21"/>
                <w:szCs w:val="21"/>
              </w:rPr>
            </w:pPr>
            <w:r>
              <w:rPr>
                <w:color w:val="auto"/>
                <w:sz w:val="21"/>
                <w:szCs w:val="21"/>
              </w:rPr>
              <w:t>茚并[1,2,3-cd]芘</w:t>
            </w:r>
          </w:p>
        </w:tc>
        <w:tc>
          <w:tcPr>
            <w:tcW w:w="378" w:type="pct"/>
            <w:tcBorders>
              <w:tl2br w:val="nil"/>
              <w:tr2bl w:val="nil"/>
            </w:tcBorders>
            <w:vAlign w:val="center"/>
          </w:tcPr>
          <w:p w14:paraId="36B6ACE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1196C6F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DE9519E">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90D7F8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1408BBD">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69DB78E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3A002CB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C64218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B92AD63">
            <w:pPr>
              <w:spacing w:line="240" w:lineRule="auto"/>
              <w:jc w:val="center"/>
              <w:rPr>
                <w:color w:val="auto"/>
                <w:sz w:val="21"/>
                <w:szCs w:val="21"/>
              </w:rPr>
            </w:pPr>
            <w:r>
              <w:rPr>
                <w:color w:val="auto"/>
                <w:sz w:val="21"/>
                <w:szCs w:val="21"/>
              </w:rPr>
              <w:t>萘</w:t>
            </w:r>
          </w:p>
        </w:tc>
        <w:tc>
          <w:tcPr>
            <w:tcW w:w="378" w:type="pct"/>
            <w:tcBorders>
              <w:tl2br w:val="nil"/>
              <w:tr2bl w:val="nil"/>
            </w:tcBorders>
            <w:vAlign w:val="center"/>
          </w:tcPr>
          <w:p w14:paraId="298E853C">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DED8F8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BB27E1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A8E3D32">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4E6AA3D">
            <w:pPr>
              <w:jc w:val="center"/>
              <w:rPr>
                <w:rFonts w:hint="eastAsia"/>
                <w:color w:val="auto"/>
                <w:sz w:val="21"/>
                <w:szCs w:val="21"/>
                <w:lang w:val="en-US" w:eastAsia="zh-CN"/>
              </w:rPr>
            </w:pPr>
            <w:r>
              <w:rPr>
                <w:rFonts w:ascii="Times New Roman" w:hAnsi="Times New Roman" w:cs="Times New Roman"/>
                <w:color w:val="auto"/>
                <w:sz w:val="21"/>
                <w:szCs w:val="21"/>
              </w:rPr>
              <w:t>70</w:t>
            </w:r>
          </w:p>
        </w:tc>
        <w:tc>
          <w:tcPr>
            <w:tcW w:w="584" w:type="pct"/>
            <w:tcBorders>
              <w:tl2br w:val="nil"/>
              <w:tr2bl w:val="nil"/>
            </w:tcBorders>
            <w:vAlign w:val="center"/>
          </w:tcPr>
          <w:p w14:paraId="7C61906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11FED4B">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EFB693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5000" w:type="pct"/>
            <w:gridSpan w:val="8"/>
            <w:tcBorders>
              <w:tl2br w:val="nil"/>
              <w:tr2bl w:val="nil"/>
            </w:tcBorders>
            <w:vAlign w:val="center"/>
          </w:tcPr>
          <w:p w14:paraId="5219C172">
            <w:pPr>
              <w:spacing w:line="240" w:lineRule="auto"/>
              <w:jc w:val="left"/>
              <w:rPr>
                <w:color w:val="auto"/>
                <w:sz w:val="21"/>
                <w:szCs w:val="21"/>
              </w:rPr>
            </w:pPr>
            <w:r>
              <w:rPr>
                <w:color w:val="auto"/>
                <w:sz w:val="21"/>
                <w:szCs w:val="21"/>
              </w:rPr>
              <w:t>备注： “ND”表示未检出。</w:t>
            </w:r>
          </w:p>
        </w:tc>
      </w:tr>
    </w:tbl>
    <w:p w14:paraId="6B4B5BF4">
      <w:pPr>
        <w:adjustRightInd w:val="0"/>
        <w:snapToGrid w:val="0"/>
        <w:spacing w:line="360" w:lineRule="auto"/>
        <w:ind w:firstLine="480" w:firstLineChars="200"/>
        <w:rPr>
          <w:color w:val="auto"/>
          <w:sz w:val="24"/>
          <w:szCs w:val="32"/>
        </w:rPr>
      </w:pPr>
      <w:bookmarkStart w:id="359" w:name="_Toc12425"/>
      <w:bookmarkStart w:id="360" w:name="_Toc1345"/>
    </w:p>
    <w:p w14:paraId="2BF78B92">
      <w:pPr>
        <w:adjustRightInd w:val="0"/>
        <w:snapToGrid w:val="0"/>
        <w:spacing w:line="360" w:lineRule="auto"/>
        <w:ind w:firstLine="480" w:firstLineChars="200"/>
        <w:rPr>
          <w:color w:val="auto"/>
          <w:sz w:val="24"/>
          <w:szCs w:val="32"/>
        </w:rPr>
      </w:pPr>
      <w:r>
        <w:rPr>
          <w:color w:val="auto"/>
          <w:sz w:val="24"/>
          <w:szCs w:val="32"/>
        </w:rPr>
        <w:t>5、评价结果</w:t>
      </w:r>
      <w:bookmarkEnd w:id="359"/>
      <w:bookmarkEnd w:id="360"/>
    </w:p>
    <w:p w14:paraId="52B2341C">
      <w:pPr>
        <w:adjustRightInd w:val="0"/>
        <w:snapToGrid w:val="0"/>
        <w:spacing w:line="360" w:lineRule="auto"/>
        <w:ind w:firstLine="480" w:firstLineChars="200"/>
        <w:rPr>
          <w:color w:val="auto"/>
          <w:sz w:val="24"/>
          <w:szCs w:val="32"/>
        </w:rPr>
      </w:pPr>
      <w:r>
        <w:rPr>
          <w:color w:val="auto"/>
          <w:sz w:val="24"/>
          <w:szCs w:val="32"/>
        </w:rPr>
        <w:t>根据监测结果可知，现状监测期间，占地范围内监测点位各监测因子监测结果均可以满足《土壤环境质量建设用地土壤污染风险管控标准（试行）》</w:t>
      </w:r>
      <w:r>
        <w:rPr>
          <w:color w:val="auto"/>
          <w:sz w:val="24"/>
          <w:szCs w:val="32"/>
        </w:rPr>
        <w:fldChar w:fldCharType="begin"/>
      </w:r>
      <w:r>
        <w:rPr>
          <w:color w:val="auto"/>
          <w:sz w:val="24"/>
          <w:szCs w:val="32"/>
        </w:rPr>
        <w:instrText xml:space="preserve"> HYPERLINK "http://kjs.mep.gov.cn/hjbhbz/bzwb/trhj/trhjzlbz/201807/t20180703_446027.shtml" </w:instrText>
      </w:r>
      <w:r>
        <w:rPr>
          <w:color w:val="auto"/>
          <w:sz w:val="24"/>
          <w:szCs w:val="32"/>
        </w:rPr>
        <w:fldChar w:fldCharType="separate"/>
      </w:r>
      <w:r>
        <w:rPr>
          <w:color w:val="auto"/>
          <w:sz w:val="24"/>
          <w:szCs w:val="32"/>
        </w:rPr>
        <w:t>（GB36600-2018）</w:t>
      </w:r>
      <w:r>
        <w:rPr>
          <w:color w:val="auto"/>
          <w:sz w:val="24"/>
          <w:szCs w:val="32"/>
        </w:rPr>
        <w:fldChar w:fldCharType="end"/>
      </w:r>
      <w:r>
        <w:rPr>
          <w:color w:val="auto"/>
          <w:sz w:val="24"/>
          <w:szCs w:val="32"/>
        </w:rPr>
        <w:t>第二类用地筛选值。</w:t>
      </w:r>
    </w:p>
    <w:p w14:paraId="1985E85F">
      <w:pPr>
        <w:spacing w:line="360" w:lineRule="auto"/>
        <w:outlineLvl w:val="1"/>
        <w:rPr>
          <w:rFonts w:hint="default"/>
          <w:b/>
          <w:bCs/>
          <w:color w:val="auto"/>
          <w:sz w:val="28"/>
          <w:szCs w:val="36"/>
          <w:lang w:val="en-US"/>
        </w:rPr>
      </w:pPr>
      <w:bookmarkStart w:id="361" w:name="_Toc7249"/>
      <w:r>
        <w:rPr>
          <w:rFonts w:hint="eastAsia"/>
          <w:b/>
          <w:bCs/>
          <w:color w:val="auto"/>
          <w:sz w:val="28"/>
          <w:szCs w:val="36"/>
        </w:rPr>
        <w:t>4.</w:t>
      </w:r>
      <w:r>
        <w:rPr>
          <w:rFonts w:hint="eastAsia"/>
          <w:b/>
          <w:bCs/>
          <w:color w:val="auto"/>
          <w:sz w:val="28"/>
          <w:szCs w:val="36"/>
          <w:lang w:val="en-US" w:eastAsia="zh-CN"/>
        </w:rPr>
        <w:t>4变化趋势</w:t>
      </w:r>
      <w:bookmarkEnd w:id="361"/>
    </w:p>
    <w:p w14:paraId="413041F4">
      <w:pPr>
        <w:spacing w:line="360" w:lineRule="auto"/>
        <w:outlineLvl w:val="2"/>
        <w:rPr>
          <w:rFonts w:hint="eastAsia" w:eastAsia="宋体"/>
          <w:b/>
          <w:bCs/>
          <w:color w:val="auto"/>
          <w:sz w:val="24"/>
          <w:lang w:val="en-US" w:eastAsia="zh-CN"/>
        </w:rPr>
      </w:pPr>
      <w:r>
        <w:rPr>
          <w:rFonts w:hint="eastAsia"/>
          <w:b/>
          <w:bCs/>
          <w:color w:val="auto"/>
          <w:sz w:val="24"/>
        </w:rPr>
        <w:t>4.4.1大气环境质量现状</w:t>
      </w:r>
      <w:r>
        <w:rPr>
          <w:rFonts w:hint="eastAsia"/>
          <w:b/>
          <w:bCs/>
          <w:color w:val="auto"/>
          <w:sz w:val="24"/>
          <w:lang w:val="en-US" w:eastAsia="zh-CN"/>
        </w:rPr>
        <w:t>变化</w:t>
      </w:r>
    </w:p>
    <w:p w14:paraId="7FB0C3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cs="Times New Roman"/>
          <w:color w:val="auto"/>
          <w:sz w:val="24"/>
          <w:szCs w:val="24"/>
          <w:lang w:val="en-US" w:eastAsia="zh-CN"/>
        </w:rPr>
        <w:t>1、基本污染物</w:t>
      </w:r>
    </w:p>
    <w:p w14:paraId="0008A6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根据调查收集，近五年淮北市公布的环境质量公报</w:t>
      </w:r>
      <w:r>
        <w:rPr>
          <w:rFonts w:hint="default" w:ascii="Times New Roman" w:hAnsi="Times New Roman" w:cs="Times New Roman"/>
          <w:color w:val="auto"/>
          <w:sz w:val="24"/>
          <w:szCs w:val="24"/>
          <w:lang w:val="en-US" w:eastAsia="zh-CN"/>
        </w:rPr>
        <w:t>中</w:t>
      </w:r>
      <w:r>
        <w:rPr>
          <w:rFonts w:hint="default" w:ascii="Times New Roman" w:hAnsi="Times New Roman" w:cs="Times New Roman"/>
          <w:color w:val="auto"/>
          <w:sz w:val="24"/>
          <w:szCs w:val="24"/>
        </w:rPr>
        <w:t>数据：</w:t>
      </w:r>
    </w:p>
    <w:p w14:paraId="64C12C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（1）20</w:t>
      </w:r>
      <w:r>
        <w:rPr>
          <w:rFonts w:hint="eastAsia" w:ascii="Times New Roman" w:hAnsi="Times New Roman" w:cs="Times New Roman"/>
          <w:color w:val="auto"/>
          <w:sz w:val="24"/>
          <w:szCs w:val="24"/>
          <w:lang w:val="en-US" w:eastAsia="zh-CN"/>
        </w:rPr>
        <w:t>20</w:t>
      </w:r>
      <w:r>
        <w:rPr>
          <w:rFonts w:hint="default" w:ascii="Times New Roman" w:hAnsi="Times New Roman" w:cs="Times New Roman"/>
          <w:color w:val="auto"/>
          <w:sz w:val="24"/>
          <w:szCs w:val="24"/>
        </w:rPr>
        <w:t>年环境空气质量监测</w:t>
      </w:r>
    </w:p>
    <w:p w14:paraId="332FBA38">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根据淮北市生态环境局发布的《2020年度淮北市生态环境状况公报》</w:t>
      </w:r>
      <w:r>
        <w:rPr>
          <w:rFonts w:hint="eastAsia" w:ascii="Times New Roman" w:hAnsi="Times New Roman" w:cs="Times New Roman"/>
          <w:color w:val="auto"/>
          <w:lang w:val="en-US" w:eastAsia="zh-CN"/>
        </w:rPr>
        <w:t>可知，环境空气质量监测评价结果详见下表：</w:t>
      </w:r>
    </w:p>
    <w:p w14:paraId="0DDD8B60">
      <w:pPr>
        <w:spacing w:line="360" w:lineRule="auto"/>
        <w:jc w:val="center"/>
        <w:rPr>
          <w:b/>
          <w:bCs/>
          <w:color w:val="auto"/>
          <w:sz w:val="24"/>
          <w:szCs w:val="32"/>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62F5AB47">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4</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2020年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411997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6BB2B1A">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36DD32F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01AECE2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0CE63978">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693AA85C">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5DA01693">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1F9FBA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996EB1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5A62097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2B433FD7">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77</w:t>
            </w:r>
            <w:r>
              <w:rPr>
                <w:rFonts w:ascii="Times New Roman" w:hAnsi="Times New Roman" w:cs="Times New Roman"/>
                <w:color w:val="auto"/>
                <w:sz w:val="21"/>
              </w:rPr>
              <w:t>μg/m³</w:t>
            </w:r>
          </w:p>
        </w:tc>
        <w:tc>
          <w:tcPr>
            <w:tcW w:w="1239" w:type="dxa"/>
            <w:tcBorders>
              <w:tl2br w:val="nil"/>
              <w:tr2bl w:val="nil"/>
            </w:tcBorders>
            <w:vAlign w:val="center"/>
          </w:tcPr>
          <w:p w14:paraId="7ED9CC8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1B9F0FD6">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110</w:t>
            </w:r>
          </w:p>
        </w:tc>
        <w:tc>
          <w:tcPr>
            <w:tcW w:w="1151" w:type="dxa"/>
            <w:tcBorders>
              <w:tl2br w:val="nil"/>
              <w:tr2bl w:val="nil"/>
            </w:tcBorders>
            <w:vAlign w:val="center"/>
          </w:tcPr>
          <w:p w14:paraId="6B46CF2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2E1CD5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8DBC51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5EC365A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0996834F">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48</w:t>
            </w:r>
            <w:r>
              <w:rPr>
                <w:rFonts w:ascii="Times New Roman" w:hAnsi="Times New Roman" w:cs="Times New Roman"/>
                <w:color w:val="auto"/>
                <w:sz w:val="21"/>
              </w:rPr>
              <w:t>μg/m³</w:t>
            </w:r>
          </w:p>
        </w:tc>
        <w:tc>
          <w:tcPr>
            <w:tcW w:w="1239" w:type="dxa"/>
            <w:tcBorders>
              <w:tl2br w:val="nil"/>
              <w:tr2bl w:val="nil"/>
            </w:tcBorders>
            <w:vAlign w:val="center"/>
          </w:tcPr>
          <w:p w14:paraId="3C423B7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03FFB336">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137.1</w:t>
            </w:r>
          </w:p>
        </w:tc>
        <w:tc>
          <w:tcPr>
            <w:tcW w:w="1151" w:type="dxa"/>
            <w:tcBorders>
              <w:tl2br w:val="nil"/>
              <w:tr2bl w:val="nil"/>
            </w:tcBorders>
            <w:vAlign w:val="center"/>
          </w:tcPr>
          <w:p w14:paraId="16CD65D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5FF122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965EE9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73BCD6F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A8AEE4B">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8</w:t>
            </w:r>
            <w:r>
              <w:rPr>
                <w:rFonts w:ascii="Times New Roman" w:hAnsi="Times New Roman" w:cs="Times New Roman"/>
                <w:color w:val="auto"/>
                <w:sz w:val="21"/>
              </w:rPr>
              <w:t>μg/m³</w:t>
            </w:r>
          </w:p>
        </w:tc>
        <w:tc>
          <w:tcPr>
            <w:tcW w:w="1239" w:type="dxa"/>
            <w:tcBorders>
              <w:tl2br w:val="nil"/>
              <w:tr2bl w:val="nil"/>
            </w:tcBorders>
            <w:vAlign w:val="center"/>
          </w:tcPr>
          <w:p w14:paraId="227EB30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44A92682">
            <w:pPr>
              <w:pStyle w:val="57"/>
              <w:spacing w:after="0" w:line="240" w:lineRule="auto"/>
              <w:rPr>
                <w:rFonts w:hint="default" w:ascii="Times New Roman" w:hAnsi="Times New Roman" w:cs="Times New Roman" w:eastAsiaTheme="minorEastAsia"/>
                <w:color w:val="auto"/>
                <w:sz w:val="21"/>
                <w:lang w:val="en-US" w:eastAsia="zh-CN"/>
              </w:rPr>
            </w:pPr>
            <w:r>
              <w:rPr>
                <w:rFonts w:ascii="Times New Roman" w:hAnsi="Times New Roman" w:cs="Times New Roman"/>
                <w:color w:val="auto"/>
                <w:sz w:val="21"/>
              </w:rPr>
              <w:t>1</w:t>
            </w:r>
            <w:r>
              <w:rPr>
                <w:rFonts w:hint="eastAsia" w:ascii="Times New Roman" w:hAnsi="Times New Roman" w:cs="Times New Roman"/>
                <w:color w:val="auto"/>
                <w:sz w:val="21"/>
                <w:lang w:val="en-US" w:eastAsia="zh-CN"/>
              </w:rPr>
              <w:t>3.3</w:t>
            </w:r>
          </w:p>
        </w:tc>
        <w:tc>
          <w:tcPr>
            <w:tcW w:w="1151" w:type="dxa"/>
            <w:tcBorders>
              <w:tl2br w:val="nil"/>
              <w:tr2bl w:val="nil"/>
            </w:tcBorders>
            <w:vAlign w:val="center"/>
          </w:tcPr>
          <w:p w14:paraId="481899D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40959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2CDBDE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32919D1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1330731F">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26</w:t>
            </w:r>
            <w:r>
              <w:rPr>
                <w:rFonts w:ascii="Times New Roman" w:hAnsi="Times New Roman" w:cs="Times New Roman"/>
                <w:color w:val="auto"/>
                <w:sz w:val="21"/>
              </w:rPr>
              <w:t>μg/m³</w:t>
            </w:r>
          </w:p>
        </w:tc>
        <w:tc>
          <w:tcPr>
            <w:tcW w:w="1239" w:type="dxa"/>
            <w:tcBorders>
              <w:tl2br w:val="nil"/>
              <w:tr2bl w:val="nil"/>
            </w:tcBorders>
            <w:vAlign w:val="center"/>
          </w:tcPr>
          <w:p w14:paraId="4CC4529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0D8E67D7">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65</w:t>
            </w:r>
          </w:p>
        </w:tc>
        <w:tc>
          <w:tcPr>
            <w:tcW w:w="1151" w:type="dxa"/>
            <w:tcBorders>
              <w:tl2br w:val="nil"/>
              <w:tr2bl w:val="nil"/>
            </w:tcBorders>
            <w:vAlign w:val="center"/>
          </w:tcPr>
          <w:p w14:paraId="5BA397E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5992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F6F857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27DCD70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73482F3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w:t>
            </w:r>
            <w:r>
              <w:rPr>
                <w:rFonts w:hint="eastAsia" w:ascii="Times New Roman" w:hAnsi="Times New Roman" w:cs="Times New Roman"/>
                <w:color w:val="auto"/>
                <w:sz w:val="21"/>
                <w:lang w:val="en-US" w:eastAsia="zh-CN"/>
              </w:rPr>
              <w:t>3</w:t>
            </w:r>
            <w:r>
              <w:rPr>
                <w:rFonts w:ascii="Times New Roman" w:hAnsi="Times New Roman" w:cs="Times New Roman"/>
                <w:color w:val="auto"/>
                <w:sz w:val="21"/>
              </w:rPr>
              <w:t>mg/m³</w:t>
            </w:r>
          </w:p>
        </w:tc>
        <w:tc>
          <w:tcPr>
            <w:tcW w:w="1239" w:type="dxa"/>
            <w:tcBorders>
              <w:tl2br w:val="nil"/>
              <w:tr2bl w:val="nil"/>
            </w:tcBorders>
            <w:vAlign w:val="center"/>
          </w:tcPr>
          <w:p w14:paraId="364FA6E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491ED567">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32.5</w:t>
            </w:r>
          </w:p>
        </w:tc>
        <w:tc>
          <w:tcPr>
            <w:tcW w:w="1151" w:type="dxa"/>
            <w:tcBorders>
              <w:tl2br w:val="nil"/>
              <w:tr2bl w:val="nil"/>
            </w:tcBorders>
            <w:vAlign w:val="center"/>
          </w:tcPr>
          <w:p w14:paraId="439213E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22718D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59C5B7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1B8B4F1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1CFD3161">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167</w:t>
            </w:r>
            <w:r>
              <w:rPr>
                <w:rFonts w:ascii="Times New Roman" w:hAnsi="Times New Roman" w:cs="Times New Roman"/>
                <w:color w:val="auto"/>
                <w:sz w:val="21"/>
              </w:rPr>
              <w:t>μg/m³</w:t>
            </w:r>
          </w:p>
        </w:tc>
        <w:tc>
          <w:tcPr>
            <w:tcW w:w="1239" w:type="dxa"/>
            <w:tcBorders>
              <w:tl2br w:val="nil"/>
              <w:tr2bl w:val="nil"/>
            </w:tcBorders>
            <w:vAlign w:val="center"/>
          </w:tcPr>
          <w:p w14:paraId="32AA1B8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7B044BA2">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104.4</w:t>
            </w:r>
          </w:p>
        </w:tc>
        <w:tc>
          <w:tcPr>
            <w:tcW w:w="1151" w:type="dxa"/>
            <w:tcBorders>
              <w:tl2br w:val="nil"/>
              <w:tr2bl w:val="nil"/>
            </w:tcBorders>
            <w:vAlign w:val="center"/>
          </w:tcPr>
          <w:p w14:paraId="47C5989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bl>
    <w:p w14:paraId="261D86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2</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1</w:t>
      </w:r>
      <w:r>
        <w:rPr>
          <w:rFonts w:hint="default" w:ascii="Times New Roman" w:hAnsi="Times New Roman" w:cs="Times New Roman"/>
          <w:color w:val="auto"/>
          <w:sz w:val="24"/>
          <w:szCs w:val="24"/>
        </w:rPr>
        <w:t>年环境空气质量监测</w:t>
      </w:r>
    </w:p>
    <w:p w14:paraId="2D84BC7D">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根据淮北市生态环境局发布的《202</w:t>
      </w:r>
      <w:r>
        <w:rPr>
          <w:rFonts w:hint="eastAsia" w:ascii="Times New Roman" w:hAnsi="Times New Roman" w:cs="Times New Roman"/>
          <w:color w:val="auto"/>
          <w:lang w:val="en-US" w:eastAsia="zh-CN"/>
        </w:rPr>
        <w:t>1</w:t>
      </w:r>
      <w:r>
        <w:rPr>
          <w:rFonts w:hint="default" w:ascii="Times New Roman" w:hAnsi="Times New Roman" w:cs="Times New Roman"/>
          <w:color w:val="auto"/>
          <w:lang w:val="en-US" w:eastAsia="zh-CN"/>
        </w:rPr>
        <w:t>年度淮北市生态环境状况公报》</w:t>
      </w:r>
      <w:r>
        <w:rPr>
          <w:rFonts w:hint="eastAsia" w:ascii="Times New Roman" w:hAnsi="Times New Roman" w:cs="Times New Roman"/>
          <w:color w:val="auto"/>
          <w:lang w:val="en-US" w:eastAsia="zh-CN"/>
        </w:rPr>
        <w:t>可知，环境空气质量监测评价结果详见下表：</w:t>
      </w:r>
    </w:p>
    <w:p w14:paraId="74BA9BDD">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5</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2021年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1AFA66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75E1FD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1DB64692">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731AAFF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7D0165C2">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19DA2B0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235A6188">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47EE0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232CDB5">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27B508A4">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36E9A308">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73</w:t>
            </w:r>
            <w:r>
              <w:rPr>
                <w:rFonts w:ascii="Times New Roman" w:hAnsi="Times New Roman" w:cs="Times New Roman"/>
                <w:color w:val="auto"/>
                <w:sz w:val="21"/>
              </w:rPr>
              <w:t>μg/m³</w:t>
            </w:r>
          </w:p>
        </w:tc>
        <w:tc>
          <w:tcPr>
            <w:tcW w:w="1239" w:type="dxa"/>
            <w:tcBorders>
              <w:tl2br w:val="nil"/>
              <w:tr2bl w:val="nil"/>
            </w:tcBorders>
            <w:vAlign w:val="center"/>
          </w:tcPr>
          <w:p w14:paraId="480D030D">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3F1F3971">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104.3</w:t>
            </w:r>
          </w:p>
        </w:tc>
        <w:tc>
          <w:tcPr>
            <w:tcW w:w="1151" w:type="dxa"/>
            <w:tcBorders>
              <w:tl2br w:val="nil"/>
              <w:tr2bl w:val="nil"/>
            </w:tcBorders>
            <w:vAlign w:val="center"/>
          </w:tcPr>
          <w:p w14:paraId="7DE348C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7EE6E9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3138F5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434B0725">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25F2CAD">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41u</w:t>
            </w:r>
            <w:r>
              <w:rPr>
                <w:rFonts w:ascii="Times New Roman" w:hAnsi="Times New Roman" w:cs="Times New Roman"/>
                <w:color w:val="auto"/>
                <w:sz w:val="21"/>
              </w:rPr>
              <w:t>g/m³</w:t>
            </w:r>
          </w:p>
        </w:tc>
        <w:tc>
          <w:tcPr>
            <w:tcW w:w="1239" w:type="dxa"/>
            <w:tcBorders>
              <w:tl2br w:val="nil"/>
              <w:tr2bl w:val="nil"/>
            </w:tcBorders>
            <w:vAlign w:val="center"/>
          </w:tcPr>
          <w:p w14:paraId="6BD64D4D">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06E8A1C5">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117.1</w:t>
            </w:r>
          </w:p>
        </w:tc>
        <w:tc>
          <w:tcPr>
            <w:tcW w:w="1151" w:type="dxa"/>
            <w:tcBorders>
              <w:tl2br w:val="nil"/>
              <w:tr2bl w:val="nil"/>
            </w:tcBorders>
            <w:vAlign w:val="center"/>
          </w:tcPr>
          <w:p w14:paraId="5BC51ED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0567D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E57BB9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10F90E2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6EA3F4E6">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7</w:t>
            </w:r>
            <w:r>
              <w:rPr>
                <w:rFonts w:ascii="Times New Roman" w:hAnsi="Times New Roman" w:cs="Times New Roman"/>
                <w:color w:val="auto"/>
                <w:sz w:val="21"/>
              </w:rPr>
              <w:t>μg/m³</w:t>
            </w:r>
          </w:p>
        </w:tc>
        <w:tc>
          <w:tcPr>
            <w:tcW w:w="1239" w:type="dxa"/>
            <w:tcBorders>
              <w:tl2br w:val="nil"/>
              <w:tr2bl w:val="nil"/>
            </w:tcBorders>
            <w:vAlign w:val="center"/>
          </w:tcPr>
          <w:p w14:paraId="3A1062C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2F0AFA13">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w:t>
            </w:r>
          </w:p>
        </w:tc>
        <w:tc>
          <w:tcPr>
            <w:tcW w:w="1151" w:type="dxa"/>
            <w:tcBorders>
              <w:tl2br w:val="nil"/>
              <w:tr2bl w:val="nil"/>
            </w:tcBorders>
            <w:vAlign w:val="center"/>
          </w:tcPr>
          <w:p w14:paraId="33FD9D5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503868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8A4611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5CE1FC4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9A7FA88">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23</w:t>
            </w:r>
            <w:r>
              <w:rPr>
                <w:rFonts w:ascii="Times New Roman" w:hAnsi="Times New Roman" w:cs="Times New Roman"/>
                <w:color w:val="auto"/>
                <w:sz w:val="21"/>
              </w:rPr>
              <w:t>μg/m³</w:t>
            </w:r>
          </w:p>
        </w:tc>
        <w:tc>
          <w:tcPr>
            <w:tcW w:w="1239" w:type="dxa"/>
            <w:tcBorders>
              <w:tl2br w:val="nil"/>
              <w:tr2bl w:val="nil"/>
            </w:tcBorders>
            <w:vAlign w:val="center"/>
          </w:tcPr>
          <w:p w14:paraId="715792E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1D08CBCA">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57.5</w:t>
            </w:r>
          </w:p>
        </w:tc>
        <w:tc>
          <w:tcPr>
            <w:tcW w:w="1151" w:type="dxa"/>
            <w:tcBorders>
              <w:tl2br w:val="nil"/>
              <w:tr2bl w:val="nil"/>
            </w:tcBorders>
            <w:vAlign w:val="center"/>
          </w:tcPr>
          <w:p w14:paraId="6FD489E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74F6C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2111C3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2621EBF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5AD4B8A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1mg/m³</w:t>
            </w:r>
          </w:p>
        </w:tc>
        <w:tc>
          <w:tcPr>
            <w:tcW w:w="1239" w:type="dxa"/>
            <w:tcBorders>
              <w:tl2br w:val="nil"/>
              <w:tr2bl w:val="nil"/>
            </w:tcBorders>
            <w:vAlign w:val="center"/>
          </w:tcPr>
          <w:p w14:paraId="032ECD9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1EB7A983">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25</w:t>
            </w:r>
          </w:p>
        </w:tc>
        <w:tc>
          <w:tcPr>
            <w:tcW w:w="1151" w:type="dxa"/>
            <w:tcBorders>
              <w:tl2br w:val="nil"/>
              <w:tr2bl w:val="nil"/>
            </w:tcBorders>
            <w:vAlign w:val="center"/>
          </w:tcPr>
          <w:p w14:paraId="6BEAAEA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0A9B7B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1BF810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4C0AE4D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6FDF4DD9">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152</w:t>
            </w:r>
            <w:r>
              <w:rPr>
                <w:rFonts w:ascii="Times New Roman" w:hAnsi="Times New Roman" w:cs="Times New Roman"/>
                <w:color w:val="auto"/>
                <w:sz w:val="21"/>
              </w:rPr>
              <w:t>μg/m³</w:t>
            </w:r>
          </w:p>
        </w:tc>
        <w:tc>
          <w:tcPr>
            <w:tcW w:w="1239" w:type="dxa"/>
            <w:tcBorders>
              <w:tl2br w:val="nil"/>
              <w:tr2bl w:val="nil"/>
            </w:tcBorders>
            <w:vAlign w:val="center"/>
          </w:tcPr>
          <w:p w14:paraId="490246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04D3AEC">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95</w:t>
            </w:r>
          </w:p>
        </w:tc>
        <w:tc>
          <w:tcPr>
            <w:tcW w:w="1151" w:type="dxa"/>
            <w:tcBorders>
              <w:tl2br w:val="nil"/>
              <w:tr2bl w:val="nil"/>
            </w:tcBorders>
            <w:vAlign w:val="center"/>
          </w:tcPr>
          <w:p w14:paraId="0D8AECC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bl>
    <w:p w14:paraId="5998E2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3</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2</w:t>
      </w:r>
      <w:r>
        <w:rPr>
          <w:rFonts w:hint="default" w:ascii="Times New Roman" w:hAnsi="Times New Roman" w:cs="Times New Roman"/>
          <w:color w:val="auto"/>
          <w:sz w:val="24"/>
          <w:szCs w:val="24"/>
        </w:rPr>
        <w:t>年环境空气质量监测</w:t>
      </w:r>
    </w:p>
    <w:p w14:paraId="767D48D2">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根据淮北市生态环境局发布的《淮北市生态环境局2022年度生态环境状况公报》</w:t>
      </w:r>
      <w:r>
        <w:rPr>
          <w:rFonts w:hint="eastAsia" w:ascii="Times New Roman" w:hAnsi="Times New Roman" w:cs="Times New Roman"/>
          <w:color w:val="auto"/>
          <w:lang w:val="en-US" w:eastAsia="zh-CN"/>
        </w:rPr>
        <w:t>可知，环境空气质量监测评价结果详见下表：</w:t>
      </w:r>
    </w:p>
    <w:p w14:paraId="7A178BA7">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4</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2022年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106997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F802CA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17300C61">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0AE8E638">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15D913F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69D1629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2C728C33">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028738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29C084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79302DF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30DBAB00">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70</w:t>
            </w:r>
            <w:r>
              <w:rPr>
                <w:rFonts w:ascii="Times New Roman" w:hAnsi="Times New Roman" w:cs="Times New Roman"/>
                <w:color w:val="auto"/>
                <w:sz w:val="21"/>
              </w:rPr>
              <w:t>μg/m³</w:t>
            </w:r>
          </w:p>
        </w:tc>
        <w:tc>
          <w:tcPr>
            <w:tcW w:w="1239" w:type="dxa"/>
            <w:tcBorders>
              <w:tl2br w:val="nil"/>
              <w:tr2bl w:val="nil"/>
            </w:tcBorders>
            <w:vAlign w:val="center"/>
          </w:tcPr>
          <w:p w14:paraId="67F0337F">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4B611C83">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100</w:t>
            </w:r>
          </w:p>
        </w:tc>
        <w:tc>
          <w:tcPr>
            <w:tcW w:w="1151" w:type="dxa"/>
            <w:tcBorders>
              <w:tl2br w:val="nil"/>
              <w:tr2bl w:val="nil"/>
            </w:tcBorders>
            <w:vAlign w:val="center"/>
          </w:tcPr>
          <w:p w14:paraId="7E663A8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CA3BF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356D5A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7F0D8CC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151DD71C">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42u</w:t>
            </w:r>
            <w:r>
              <w:rPr>
                <w:rFonts w:ascii="Times New Roman" w:hAnsi="Times New Roman" w:cs="Times New Roman"/>
                <w:color w:val="auto"/>
                <w:sz w:val="21"/>
              </w:rPr>
              <w:t>g/m³</w:t>
            </w:r>
          </w:p>
        </w:tc>
        <w:tc>
          <w:tcPr>
            <w:tcW w:w="1239" w:type="dxa"/>
            <w:tcBorders>
              <w:tl2br w:val="nil"/>
              <w:tr2bl w:val="nil"/>
            </w:tcBorders>
            <w:vAlign w:val="center"/>
          </w:tcPr>
          <w:p w14:paraId="3CD57BAB">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0B1B33A4">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120</w:t>
            </w:r>
          </w:p>
        </w:tc>
        <w:tc>
          <w:tcPr>
            <w:tcW w:w="1151" w:type="dxa"/>
            <w:tcBorders>
              <w:tl2br w:val="nil"/>
              <w:tr2bl w:val="nil"/>
            </w:tcBorders>
            <w:vAlign w:val="center"/>
          </w:tcPr>
          <w:p w14:paraId="22F645D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6C7BDD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E2B49C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6D994F2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29078ABD">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7</w:t>
            </w:r>
            <w:r>
              <w:rPr>
                <w:rFonts w:ascii="Times New Roman" w:hAnsi="Times New Roman" w:cs="Times New Roman"/>
                <w:color w:val="auto"/>
                <w:sz w:val="21"/>
              </w:rPr>
              <w:t>μg/m³</w:t>
            </w:r>
          </w:p>
        </w:tc>
        <w:tc>
          <w:tcPr>
            <w:tcW w:w="1239" w:type="dxa"/>
            <w:tcBorders>
              <w:tl2br w:val="nil"/>
              <w:tr2bl w:val="nil"/>
            </w:tcBorders>
            <w:vAlign w:val="center"/>
          </w:tcPr>
          <w:p w14:paraId="05D3DEF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76E25B2F">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w:t>
            </w:r>
          </w:p>
        </w:tc>
        <w:tc>
          <w:tcPr>
            <w:tcW w:w="1151" w:type="dxa"/>
            <w:tcBorders>
              <w:tl2br w:val="nil"/>
              <w:tr2bl w:val="nil"/>
            </w:tcBorders>
            <w:vAlign w:val="center"/>
          </w:tcPr>
          <w:p w14:paraId="5C7D7AE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5AE9B2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F08A58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7107FB2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2B65EE3">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21</w:t>
            </w:r>
            <w:r>
              <w:rPr>
                <w:rFonts w:ascii="Times New Roman" w:hAnsi="Times New Roman" w:cs="Times New Roman"/>
                <w:color w:val="auto"/>
                <w:sz w:val="21"/>
              </w:rPr>
              <w:t>μg/m³</w:t>
            </w:r>
          </w:p>
        </w:tc>
        <w:tc>
          <w:tcPr>
            <w:tcW w:w="1239" w:type="dxa"/>
            <w:tcBorders>
              <w:tl2br w:val="nil"/>
              <w:tr2bl w:val="nil"/>
            </w:tcBorders>
            <w:vAlign w:val="center"/>
          </w:tcPr>
          <w:p w14:paraId="06CDC3D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1F866084">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52.5</w:t>
            </w:r>
          </w:p>
        </w:tc>
        <w:tc>
          <w:tcPr>
            <w:tcW w:w="1151" w:type="dxa"/>
            <w:tcBorders>
              <w:tl2br w:val="nil"/>
              <w:tr2bl w:val="nil"/>
            </w:tcBorders>
            <w:vAlign w:val="center"/>
          </w:tcPr>
          <w:p w14:paraId="669DC40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5C2586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99B04F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40EC06B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5CDBE1E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1mg/m³</w:t>
            </w:r>
          </w:p>
        </w:tc>
        <w:tc>
          <w:tcPr>
            <w:tcW w:w="1239" w:type="dxa"/>
            <w:tcBorders>
              <w:tl2br w:val="nil"/>
              <w:tr2bl w:val="nil"/>
            </w:tcBorders>
            <w:vAlign w:val="center"/>
          </w:tcPr>
          <w:p w14:paraId="16B6E4C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2511EF18">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25</w:t>
            </w:r>
          </w:p>
        </w:tc>
        <w:tc>
          <w:tcPr>
            <w:tcW w:w="1151" w:type="dxa"/>
            <w:tcBorders>
              <w:tl2br w:val="nil"/>
              <w:tr2bl w:val="nil"/>
            </w:tcBorders>
            <w:vAlign w:val="center"/>
          </w:tcPr>
          <w:p w14:paraId="06FEEC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5D0CD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E7626D6">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06BD902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6A4FB361">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168</w:t>
            </w:r>
            <w:r>
              <w:rPr>
                <w:rFonts w:ascii="Times New Roman" w:hAnsi="Times New Roman" w:cs="Times New Roman"/>
                <w:color w:val="auto"/>
                <w:sz w:val="21"/>
              </w:rPr>
              <w:t>μg/m³</w:t>
            </w:r>
          </w:p>
        </w:tc>
        <w:tc>
          <w:tcPr>
            <w:tcW w:w="1239" w:type="dxa"/>
            <w:tcBorders>
              <w:tl2br w:val="nil"/>
              <w:tr2bl w:val="nil"/>
            </w:tcBorders>
            <w:vAlign w:val="center"/>
          </w:tcPr>
          <w:p w14:paraId="66C78FC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3E35A84">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105</w:t>
            </w:r>
          </w:p>
        </w:tc>
        <w:tc>
          <w:tcPr>
            <w:tcW w:w="1151" w:type="dxa"/>
            <w:tcBorders>
              <w:tl2br w:val="nil"/>
              <w:tr2bl w:val="nil"/>
            </w:tcBorders>
            <w:vAlign w:val="center"/>
          </w:tcPr>
          <w:p w14:paraId="53736571">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不</w:t>
            </w:r>
            <w:r>
              <w:rPr>
                <w:rFonts w:ascii="Times New Roman" w:hAnsi="Times New Roman" w:cs="Times New Roman"/>
                <w:color w:val="auto"/>
                <w:sz w:val="21"/>
              </w:rPr>
              <w:t>达标</w:t>
            </w:r>
          </w:p>
        </w:tc>
      </w:tr>
    </w:tbl>
    <w:p w14:paraId="27F832A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4</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3</w:t>
      </w:r>
      <w:r>
        <w:rPr>
          <w:rFonts w:hint="default" w:ascii="Times New Roman" w:hAnsi="Times New Roman" w:cs="Times New Roman"/>
          <w:color w:val="auto"/>
          <w:sz w:val="24"/>
          <w:szCs w:val="24"/>
        </w:rPr>
        <w:t>年环境空气质量监测</w:t>
      </w:r>
    </w:p>
    <w:p w14:paraId="0772197F">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根据淮北市生态环境局发布的《淮北市2023年度生态环境状况公报》</w:t>
      </w:r>
      <w:r>
        <w:rPr>
          <w:rFonts w:hint="eastAsia" w:ascii="Times New Roman" w:hAnsi="Times New Roman" w:cs="Times New Roman"/>
          <w:color w:val="auto"/>
          <w:lang w:val="en-US" w:eastAsia="zh-CN"/>
        </w:rPr>
        <w:t>可知，环境空气质量监测评价结果详见下表：</w:t>
      </w:r>
    </w:p>
    <w:p w14:paraId="2D25A192">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5</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2023年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78DE06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0A0F4C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20E467E0">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46E7576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36AA9AEF">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5150E57A">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605B10C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3C5CB1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6AAE7A3">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66A0B30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5EEFEF6">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70</w:t>
            </w:r>
            <w:r>
              <w:rPr>
                <w:rFonts w:ascii="Times New Roman" w:hAnsi="Times New Roman" w:cs="Times New Roman"/>
                <w:color w:val="auto"/>
                <w:sz w:val="21"/>
              </w:rPr>
              <w:t>μg/m³</w:t>
            </w:r>
          </w:p>
        </w:tc>
        <w:tc>
          <w:tcPr>
            <w:tcW w:w="1239" w:type="dxa"/>
            <w:tcBorders>
              <w:tl2br w:val="nil"/>
              <w:tr2bl w:val="nil"/>
            </w:tcBorders>
            <w:vAlign w:val="center"/>
          </w:tcPr>
          <w:p w14:paraId="44C329C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69600E75">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100</w:t>
            </w:r>
          </w:p>
        </w:tc>
        <w:tc>
          <w:tcPr>
            <w:tcW w:w="1151" w:type="dxa"/>
            <w:tcBorders>
              <w:tl2br w:val="nil"/>
              <w:tr2bl w:val="nil"/>
            </w:tcBorders>
            <w:vAlign w:val="center"/>
          </w:tcPr>
          <w:p w14:paraId="613B81D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21485E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13B61E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57D5686D">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03629608">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42u</w:t>
            </w:r>
            <w:r>
              <w:rPr>
                <w:rFonts w:ascii="Times New Roman" w:hAnsi="Times New Roman" w:cs="Times New Roman"/>
                <w:color w:val="auto"/>
                <w:sz w:val="21"/>
              </w:rPr>
              <w:t>g/m³</w:t>
            </w:r>
          </w:p>
        </w:tc>
        <w:tc>
          <w:tcPr>
            <w:tcW w:w="1239" w:type="dxa"/>
            <w:tcBorders>
              <w:tl2br w:val="nil"/>
              <w:tr2bl w:val="nil"/>
            </w:tcBorders>
            <w:vAlign w:val="center"/>
          </w:tcPr>
          <w:p w14:paraId="1E56D38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5D804405">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120</w:t>
            </w:r>
          </w:p>
        </w:tc>
        <w:tc>
          <w:tcPr>
            <w:tcW w:w="1151" w:type="dxa"/>
            <w:tcBorders>
              <w:tl2br w:val="nil"/>
              <w:tr2bl w:val="nil"/>
            </w:tcBorders>
            <w:vAlign w:val="center"/>
          </w:tcPr>
          <w:p w14:paraId="0FCF333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33CB36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36B950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149B2FB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2EF5C40C">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7</w:t>
            </w:r>
            <w:r>
              <w:rPr>
                <w:rFonts w:ascii="Times New Roman" w:hAnsi="Times New Roman" w:cs="Times New Roman"/>
                <w:color w:val="auto"/>
                <w:sz w:val="21"/>
              </w:rPr>
              <w:t>μg/m³</w:t>
            </w:r>
          </w:p>
        </w:tc>
        <w:tc>
          <w:tcPr>
            <w:tcW w:w="1239" w:type="dxa"/>
            <w:tcBorders>
              <w:tl2br w:val="nil"/>
              <w:tr2bl w:val="nil"/>
            </w:tcBorders>
            <w:vAlign w:val="center"/>
          </w:tcPr>
          <w:p w14:paraId="1B79B8B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54078F17">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w:t>
            </w:r>
          </w:p>
        </w:tc>
        <w:tc>
          <w:tcPr>
            <w:tcW w:w="1151" w:type="dxa"/>
            <w:tcBorders>
              <w:tl2br w:val="nil"/>
              <w:tr2bl w:val="nil"/>
            </w:tcBorders>
            <w:vAlign w:val="center"/>
          </w:tcPr>
          <w:p w14:paraId="499F26A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1883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73A20E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08553A5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D1F4DD4">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23</w:t>
            </w:r>
            <w:r>
              <w:rPr>
                <w:rFonts w:ascii="Times New Roman" w:hAnsi="Times New Roman" w:cs="Times New Roman"/>
                <w:color w:val="auto"/>
                <w:sz w:val="21"/>
              </w:rPr>
              <w:t>μg/m³</w:t>
            </w:r>
          </w:p>
        </w:tc>
        <w:tc>
          <w:tcPr>
            <w:tcW w:w="1239" w:type="dxa"/>
            <w:tcBorders>
              <w:tl2br w:val="nil"/>
              <w:tr2bl w:val="nil"/>
            </w:tcBorders>
            <w:vAlign w:val="center"/>
          </w:tcPr>
          <w:p w14:paraId="53AB8A3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39F945DD">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57.5</w:t>
            </w:r>
          </w:p>
        </w:tc>
        <w:tc>
          <w:tcPr>
            <w:tcW w:w="1151" w:type="dxa"/>
            <w:tcBorders>
              <w:tl2br w:val="nil"/>
              <w:tr2bl w:val="nil"/>
            </w:tcBorders>
            <w:vAlign w:val="center"/>
          </w:tcPr>
          <w:p w14:paraId="4B7E927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194522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B304B8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1066F12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04AF3E8D">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0.9</w:t>
            </w:r>
            <w:r>
              <w:rPr>
                <w:rFonts w:ascii="Times New Roman" w:hAnsi="Times New Roman" w:cs="Times New Roman"/>
                <w:color w:val="auto"/>
                <w:sz w:val="21"/>
              </w:rPr>
              <w:t>mg/m³</w:t>
            </w:r>
          </w:p>
        </w:tc>
        <w:tc>
          <w:tcPr>
            <w:tcW w:w="1239" w:type="dxa"/>
            <w:tcBorders>
              <w:tl2br w:val="nil"/>
              <w:tr2bl w:val="nil"/>
            </w:tcBorders>
            <w:vAlign w:val="center"/>
          </w:tcPr>
          <w:p w14:paraId="7E2F5A0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7A33E585">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22.5</w:t>
            </w:r>
          </w:p>
        </w:tc>
        <w:tc>
          <w:tcPr>
            <w:tcW w:w="1151" w:type="dxa"/>
            <w:tcBorders>
              <w:tl2br w:val="nil"/>
              <w:tr2bl w:val="nil"/>
            </w:tcBorders>
            <w:vAlign w:val="center"/>
          </w:tcPr>
          <w:p w14:paraId="4696C3E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37D90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7EE7EA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031E957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46C71B25">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166</w:t>
            </w:r>
            <w:r>
              <w:rPr>
                <w:rFonts w:ascii="Times New Roman" w:hAnsi="Times New Roman" w:cs="Times New Roman"/>
                <w:color w:val="auto"/>
                <w:sz w:val="21"/>
              </w:rPr>
              <w:t>μg/m³</w:t>
            </w:r>
          </w:p>
        </w:tc>
        <w:tc>
          <w:tcPr>
            <w:tcW w:w="1239" w:type="dxa"/>
            <w:tcBorders>
              <w:tl2br w:val="nil"/>
              <w:tr2bl w:val="nil"/>
            </w:tcBorders>
            <w:vAlign w:val="center"/>
          </w:tcPr>
          <w:p w14:paraId="5C40C5B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08DD6DF">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103.8</w:t>
            </w:r>
          </w:p>
        </w:tc>
        <w:tc>
          <w:tcPr>
            <w:tcW w:w="1151" w:type="dxa"/>
            <w:tcBorders>
              <w:tl2br w:val="nil"/>
              <w:tr2bl w:val="nil"/>
            </w:tcBorders>
            <w:vAlign w:val="center"/>
          </w:tcPr>
          <w:p w14:paraId="5746759A">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不</w:t>
            </w:r>
            <w:r>
              <w:rPr>
                <w:rFonts w:ascii="Times New Roman" w:hAnsi="Times New Roman" w:cs="Times New Roman"/>
                <w:color w:val="auto"/>
                <w:sz w:val="21"/>
              </w:rPr>
              <w:t>达标</w:t>
            </w:r>
          </w:p>
        </w:tc>
      </w:tr>
    </w:tbl>
    <w:p w14:paraId="64D79C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5</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4</w:t>
      </w:r>
      <w:r>
        <w:rPr>
          <w:rFonts w:hint="default" w:ascii="Times New Roman" w:hAnsi="Times New Roman" w:cs="Times New Roman"/>
          <w:color w:val="auto"/>
          <w:sz w:val="24"/>
          <w:szCs w:val="24"/>
        </w:rPr>
        <w:t>年环境空气质量监测</w:t>
      </w:r>
    </w:p>
    <w:p w14:paraId="623BBCE1">
      <w:pPr>
        <w:spacing w:line="360" w:lineRule="auto"/>
        <w:ind w:firstLine="480" w:firstLineChars="200"/>
        <w:rPr>
          <w:color w:val="auto"/>
          <w:sz w:val="24"/>
          <w:szCs w:val="32"/>
        </w:rPr>
      </w:pPr>
      <w:r>
        <w:rPr>
          <w:color w:val="auto"/>
          <w:sz w:val="24"/>
          <w:szCs w:val="32"/>
        </w:rPr>
        <w:t>淮北市生态环境局发布的《2024年度淮北市生态环境状况公报》中的数据，对区域达标情况进行判定，具体结果见下表：</w:t>
      </w:r>
    </w:p>
    <w:p w14:paraId="562E3456">
      <w:pPr>
        <w:jc w:val="center"/>
        <w:rPr>
          <w:b/>
          <w:bCs/>
          <w:color w:val="auto"/>
          <w:sz w:val="24"/>
          <w:szCs w:val="32"/>
        </w:rPr>
      </w:pPr>
      <w:r>
        <w:rPr>
          <w:b/>
          <w:bCs/>
          <w:color w:val="auto"/>
          <w:sz w:val="24"/>
          <w:szCs w:val="32"/>
        </w:rPr>
        <w:t>表4-</w:t>
      </w:r>
      <w:r>
        <w:rPr>
          <w:rFonts w:hint="eastAsia"/>
          <w:b/>
          <w:bCs/>
          <w:color w:val="auto"/>
          <w:sz w:val="24"/>
          <w:szCs w:val="32"/>
          <w:lang w:val="en-US" w:eastAsia="zh-CN"/>
        </w:rPr>
        <w:t>16</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2024年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7F0506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A16D05B">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7D7D5A53">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08E7927A">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74A51271">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24E9BFE0">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03BDA0F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712BAA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D43CECF">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0EFDC42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96B416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239" w:type="dxa"/>
            <w:tcBorders>
              <w:tl2br w:val="nil"/>
              <w:tr2bl w:val="nil"/>
            </w:tcBorders>
            <w:vAlign w:val="center"/>
          </w:tcPr>
          <w:p w14:paraId="2CD733B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50EE05C4">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100</w:t>
            </w:r>
          </w:p>
        </w:tc>
        <w:tc>
          <w:tcPr>
            <w:tcW w:w="1151" w:type="dxa"/>
            <w:tcBorders>
              <w:tl2br w:val="nil"/>
              <w:tr2bl w:val="nil"/>
            </w:tcBorders>
            <w:vAlign w:val="center"/>
          </w:tcPr>
          <w:p w14:paraId="2013754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21E81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6C2E63B">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096C137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472E183">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43μg/m³</w:t>
            </w:r>
          </w:p>
        </w:tc>
        <w:tc>
          <w:tcPr>
            <w:tcW w:w="1239" w:type="dxa"/>
            <w:tcBorders>
              <w:tl2br w:val="nil"/>
              <w:tr2bl w:val="nil"/>
            </w:tcBorders>
            <w:vAlign w:val="center"/>
          </w:tcPr>
          <w:p w14:paraId="318BDE56">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2C2C0D8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122.9</w:t>
            </w:r>
          </w:p>
        </w:tc>
        <w:tc>
          <w:tcPr>
            <w:tcW w:w="1151" w:type="dxa"/>
            <w:tcBorders>
              <w:tl2br w:val="nil"/>
              <w:tr2bl w:val="nil"/>
            </w:tcBorders>
            <w:vAlign w:val="center"/>
          </w:tcPr>
          <w:p w14:paraId="3848898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60C8CA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916829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674A083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3514C5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6μg/m³</w:t>
            </w:r>
          </w:p>
        </w:tc>
        <w:tc>
          <w:tcPr>
            <w:tcW w:w="1239" w:type="dxa"/>
            <w:tcBorders>
              <w:tl2br w:val="nil"/>
              <w:tr2bl w:val="nil"/>
            </w:tcBorders>
            <w:vAlign w:val="center"/>
          </w:tcPr>
          <w:p w14:paraId="15E6972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1F35C97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w:t>
            </w:r>
          </w:p>
        </w:tc>
        <w:tc>
          <w:tcPr>
            <w:tcW w:w="1151" w:type="dxa"/>
            <w:tcBorders>
              <w:tl2br w:val="nil"/>
              <w:tr2bl w:val="nil"/>
            </w:tcBorders>
            <w:vAlign w:val="center"/>
          </w:tcPr>
          <w:p w14:paraId="2276182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61F537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761589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5BE289E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0E9AB41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19μg/m³</w:t>
            </w:r>
          </w:p>
        </w:tc>
        <w:tc>
          <w:tcPr>
            <w:tcW w:w="1239" w:type="dxa"/>
            <w:tcBorders>
              <w:tl2br w:val="nil"/>
              <w:tr2bl w:val="nil"/>
            </w:tcBorders>
            <w:vAlign w:val="center"/>
          </w:tcPr>
          <w:p w14:paraId="162CD4E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05B1402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47.5</w:t>
            </w:r>
          </w:p>
        </w:tc>
        <w:tc>
          <w:tcPr>
            <w:tcW w:w="1151" w:type="dxa"/>
            <w:tcBorders>
              <w:tl2br w:val="nil"/>
              <w:tr2bl w:val="nil"/>
            </w:tcBorders>
            <w:vAlign w:val="center"/>
          </w:tcPr>
          <w:p w14:paraId="6E5FF72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0F3C2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6283A0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3E45280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4150C4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1.0mg/m³</w:t>
            </w:r>
          </w:p>
        </w:tc>
        <w:tc>
          <w:tcPr>
            <w:tcW w:w="1239" w:type="dxa"/>
            <w:tcBorders>
              <w:tl2br w:val="nil"/>
              <w:tr2bl w:val="nil"/>
            </w:tcBorders>
            <w:vAlign w:val="center"/>
          </w:tcPr>
          <w:p w14:paraId="61C25FD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1C235EB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25</w:t>
            </w:r>
          </w:p>
        </w:tc>
        <w:tc>
          <w:tcPr>
            <w:tcW w:w="1151" w:type="dxa"/>
            <w:tcBorders>
              <w:tl2br w:val="nil"/>
              <w:tr2bl w:val="nil"/>
            </w:tcBorders>
            <w:vAlign w:val="center"/>
          </w:tcPr>
          <w:p w14:paraId="731748C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660B18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F7894C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6524711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0EFB628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175μg/m³</w:t>
            </w:r>
          </w:p>
        </w:tc>
        <w:tc>
          <w:tcPr>
            <w:tcW w:w="1239" w:type="dxa"/>
            <w:tcBorders>
              <w:tl2br w:val="nil"/>
              <w:tr2bl w:val="nil"/>
            </w:tcBorders>
            <w:vAlign w:val="center"/>
          </w:tcPr>
          <w:p w14:paraId="46FD931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790EED7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109.4</w:t>
            </w:r>
          </w:p>
        </w:tc>
        <w:tc>
          <w:tcPr>
            <w:tcW w:w="1151" w:type="dxa"/>
            <w:tcBorders>
              <w:tl2br w:val="nil"/>
              <w:tr2bl w:val="nil"/>
            </w:tcBorders>
            <w:vAlign w:val="center"/>
          </w:tcPr>
          <w:p w14:paraId="51312AD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bl>
    <w:p w14:paraId="7639311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cs="Times New Roman"/>
          <w:color w:val="auto"/>
          <w:sz w:val="24"/>
          <w:szCs w:val="24"/>
          <w:vertAlign w:val="baseline"/>
          <w:lang w:val="en-US" w:eastAsia="zh-CN"/>
        </w:rPr>
      </w:pPr>
      <w:r>
        <w:rPr>
          <w:rFonts w:hint="eastAsia" w:cs="Times New Roman"/>
          <w:b/>
          <w:bCs/>
          <w:color w:val="auto"/>
          <w:sz w:val="24"/>
          <w:szCs w:val="24"/>
          <w:lang w:val="en-US" w:eastAsia="zh-CN"/>
        </w:rPr>
        <w:t>变化趋势分析：</w:t>
      </w:r>
      <w:r>
        <w:rPr>
          <w:rFonts w:hint="eastAsia" w:cs="Times New Roman"/>
          <w:color w:val="auto"/>
          <w:sz w:val="24"/>
          <w:szCs w:val="24"/>
          <w:lang w:val="en-US" w:eastAsia="zh-CN"/>
        </w:rPr>
        <w:t>各项污染物监测数据中，</w:t>
      </w:r>
      <w:r>
        <w:rPr>
          <w:rFonts w:hint="eastAsia" w:cs="Times New Roman"/>
          <w:color w:val="auto"/>
          <w:sz w:val="24"/>
          <w:szCs w:val="24"/>
          <w:vertAlign w:val="baseline"/>
          <w:lang w:val="en-US" w:eastAsia="zh-CN"/>
        </w:rPr>
        <w:t>臭氧浓度和PM</w:t>
      </w:r>
      <w:r>
        <w:rPr>
          <w:rFonts w:hint="eastAsia" w:cs="Times New Roman"/>
          <w:color w:val="auto"/>
          <w:sz w:val="24"/>
          <w:szCs w:val="24"/>
          <w:vertAlign w:val="subscript"/>
          <w:lang w:val="en-US" w:eastAsia="zh-CN"/>
        </w:rPr>
        <w:t>2.5</w:t>
      </w:r>
      <w:r>
        <w:rPr>
          <w:rFonts w:hint="eastAsia" w:cs="Times New Roman"/>
          <w:color w:val="auto"/>
          <w:sz w:val="24"/>
          <w:szCs w:val="24"/>
          <w:vertAlign w:val="baseline"/>
          <w:lang w:val="en-US" w:eastAsia="zh-CN"/>
        </w:rPr>
        <w:t>略有上升，其它年度的监测数据均是逐年下降。本次评价区域虽为环境空气质量不达标区，但区域大气环境质量总体呈现稳步上升的趋势。</w:t>
      </w:r>
    </w:p>
    <w:p w14:paraId="388AD3A3">
      <w:pPr>
        <w:pStyle w:val="41"/>
        <w:rPr>
          <w:color w:val="auto"/>
        </w:rPr>
      </w:pPr>
      <w:r>
        <w:rPr>
          <w:color w:val="auto"/>
          <w:sz w:val="24"/>
        </w:rPr>
        <mc:AlternateContent>
          <mc:Choice Requires="wps">
            <w:drawing>
              <wp:anchor distT="0" distB="0" distL="114300" distR="114300" simplePos="0" relativeHeight="251667456" behindDoc="0" locked="0" layoutInCell="1" allowOverlap="1">
                <wp:simplePos x="0" y="0"/>
                <wp:positionH relativeFrom="column">
                  <wp:posOffset>5476875</wp:posOffset>
                </wp:positionH>
                <wp:positionV relativeFrom="paragraph">
                  <wp:posOffset>3162935</wp:posOffset>
                </wp:positionV>
                <wp:extent cx="715010" cy="304800"/>
                <wp:effectExtent l="0" t="0" r="8890" b="0"/>
                <wp:wrapNone/>
                <wp:docPr id="14" name="文本框 14"/>
                <wp:cNvGraphicFramePr/>
                <a:graphic xmlns:a="http://schemas.openxmlformats.org/drawingml/2006/main">
                  <a:graphicData uri="http://schemas.microsoft.com/office/word/2010/wordprocessingShape">
                    <wps:wsp>
                      <wps:cNvSpPr txBox="1"/>
                      <wps:spPr>
                        <a:xfrm>
                          <a:off x="0" y="0"/>
                          <a:ext cx="71501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1A6747">
                            <w:pPr>
                              <w:rPr>
                                <w:rFonts w:hint="default" w:eastAsia="宋体"/>
                                <w:vertAlign w:val="subscript"/>
                                <w:lang w:val="en-US" w:eastAsia="zh-CN"/>
                              </w:rPr>
                            </w:pPr>
                            <w:r>
                              <w:rPr>
                                <w:rFonts w:hint="eastAsia"/>
                                <w:lang w:val="en-US" w:eastAsia="zh-CN"/>
                              </w:rPr>
                              <w:t>CO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1.25pt;margin-top:249.05pt;height:24pt;width:56.3pt;z-index:251667456;mso-width-relative:page;mso-height-relative:page;" filled="f" stroked="f" coordsize="21600,21600" o:gfxdata="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cu8T9wAAAALAQAADwAAAAAAAAABACAAAAAiAAAA&#10;ZHJzL2Rvd25yZXYueG1sUEsBAhQAFAAAAAgAh07iQKqJ4cs8AgAAZwQAAA4AAAAAAAAAAQAgAAAA&#10;KwEAAGRycy9lMm9Eb2MueG1sUEsFBgAAAAAGAAYAWQEAANkFAAAAAA==&#10;">
                <v:fill on="f" focussize="0,0"/>
                <v:stroke on="f" weight="0.5pt"/>
                <v:imagedata o:title=""/>
                <o:lock v:ext="edit" aspectratio="f"/>
                <v:textbox>
                  <w:txbxContent>
                    <w:p w14:paraId="431A6747">
                      <w:pPr>
                        <w:rPr>
                          <w:rFonts w:hint="default" w:eastAsia="宋体"/>
                          <w:vertAlign w:val="subscript"/>
                          <w:lang w:val="en-US" w:eastAsia="zh-CN"/>
                        </w:rPr>
                      </w:pPr>
                      <w:r>
                        <w:rPr>
                          <w:rFonts w:hint="eastAsia"/>
                          <w:lang w:val="en-US" w:eastAsia="zh-CN"/>
                        </w:rPr>
                        <w:t>CO</w:t>
                      </w:r>
                    </w:p>
                  </w:txbxContent>
                </v:textbox>
              </v:shape>
            </w:pict>
          </mc:Fallback>
        </mc:AlternateContent>
      </w:r>
      <w:r>
        <w:rPr>
          <w:color w:val="auto"/>
          <w:sz w:val="24"/>
        </w:rPr>
        <mc:AlternateContent>
          <mc:Choice Requires="wps">
            <w:drawing>
              <wp:anchor distT="0" distB="0" distL="114300" distR="114300" simplePos="0" relativeHeight="251668480" behindDoc="0" locked="0" layoutInCell="1" allowOverlap="1">
                <wp:simplePos x="0" y="0"/>
                <wp:positionH relativeFrom="column">
                  <wp:posOffset>5410200</wp:posOffset>
                </wp:positionH>
                <wp:positionV relativeFrom="paragraph">
                  <wp:posOffset>2943860</wp:posOffset>
                </wp:positionV>
                <wp:extent cx="715010" cy="304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71501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789543">
                            <w:pPr>
                              <w:rPr>
                                <w:rFonts w:hint="default" w:eastAsia="宋体"/>
                                <w:vertAlign w:val="subscript"/>
                                <w:lang w:val="en-US" w:eastAsia="zh-CN"/>
                              </w:rPr>
                            </w:pPr>
                            <w:r>
                              <w:rPr>
                                <w:rFonts w:hint="eastAsia"/>
                                <w:lang w:val="en-US" w:eastAsia="zh-CN"/>
                              </w:rPr>
                              <w:t>SO</w:t>
                            </w:r>
                            <w:r>
                              <w:rPr>
                                <w:rFonts w:hint="eastAsia"/>
                                <w:vertAlign w:val="subscript"/>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pt;margin-top:231.8pt;height:24pt;width:56.3pt;z-index:251668480;mso-width-relative:page;mso-height-relative:page;" filled="f" stroked="f" coordsize="21600,21600" o:gfxdata="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6eacrcAAAACwEAAA8AAAAAAAAAAQAgAAAAIgAA&#10;AGRycy9kb3ducmV2LnhtbFBLAQIUABQAAAAIAIdO4kBx9hD7PQIAAGcEAAAOAAAAAAAAAAEAIAAA&#10;ACsBAABkcnMvZTJvRG9jLnhtbFBLBQYAAAAABgAGAFkBAADaBQAAAAA=&#10;">
                <v:fill on="f" focussize="0,0"/>
                <v:stroke on="f" weight="0.5pt"/>
                <v:imagedata o:title=""/>
                <o:lock v:ext="edit" aspectratio="f"/>
                <v:textbox>
                  <w:txbxContent>
                    <w:p w14:paraId="09789543">
                      <w:pPr>
                        <w:rPr>
                          <w:rFonts w:hint="default" w:eastAsia="宋体"/>
                          <w:vertAlign w:val="subscript"/>
                          <w:lang w:val="en-US" w:eastAsia="zh-CN"/>
                        </w:rPr>
                      </w:pPr>
                      <w:r>
                        <w:rPr>
                          <w:rFonts w:hint="eastAsia"/>
                          <w:lang w:val="en-US" w:eastAsia="zh-CN"/>
                        </w:rPr>
                        <w:t>SO</w:t>
                      </w:r>
                      <w:r>
                        <w:rPr>
                          <w:rFonts w:hint="eastAsia"/>
                          <w:vertAlign w:val="subscript"/>
                          <w:lang w:val="en-US" w:eastAsia="zh-CN"/>
                        </w:rPr>
                        <w:t>2</w:t>
                      </w:r>
                    </w:p>
                  </w:txbxContent>
                </v:textbox>
              </v:shape>
            </w:pict>
          </mc:Fallback>
        </mc:AlternateContent>
      </w:r>
      <w:r>
        <w:rPr>
          <w:color w:val="auto"/>
          <w:sz w:val="24"/>
        </w:rPr>
        <mc:AlternateContent>
          <mc:Choice Requires="wps">
            <w:drawing>
              <wp:anchor distT="0" distB="0" distL="114300" distR="114300" simplePos="0" relativeHeight="251670528" behindDoc="0" locked="0" layoutInCell="1" allowOverlap="1">
                <wp:simplePos x="0" y="0"/>
                <wp:positionH relativeFrom="column">
                  <wp:posOffset>5419725</wp:posOffset>
                </wp:positionH>
                <wp:positionV relativeFrom="paragraph">
                  <wp:posOffset>2762885</wp:posOffset>
                </wp:positionV>
                <wp:extent cx="715010" cy="304800"/>
                <wp:effectExtent l="0" t="0" r="8890" b="0"/>
                <wp:wrapNone/>
                <wp:docPr id="47" name="文本框 47"/>
                <wp:cNvGraphicFramePr/>
                <a:graphic xmlns:a="http://schemas.openxmlformats.org/drawingml/2006/main">
                  <a:graphicData uri="http://schemas.microsoft.com/office/word/2010/wordprocessingShape">
                    <wps:wsp>
                      <wps:cNvSpPr txBox="1"/>
                      <wps:spPr>
                        <a:xfrm>
                          <a:off x="0" y="0"/>
                          <a:ext cx="71501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1B5D">
                            <w:pPr>
                              <w:rPr>
                                <w:rFonts w:hint="default" w:eastAsia="宋体"/>
                                <w:vertAlign w:val="subscript"/>
                                <w:lang w:val="en-US" w:eastAsia="zh-CN"/>
                              </w:rPr>
                            </w:pPr>
                            <w:r>
                              <w:rPr>
                                <w:rFonts w:hint="eastAsia"/>
                                <w:lang w:val="en-US" w:eastAsia="zh-CN"/>
                              </w:rPr>
                              <w:t>NO</w:t>
                            </w:r>
                            <w:r>
                              <w:rPr>
                                <w:rFonts w:hint="eastAsia"/>
                                <w:vertAlign w:val="subscript"/>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75pt;margin-top:217.55pt;height:24pt;width:56.3pt;z-index:251670528;mso-width-relative:page;mso-height-relative:page;" filled="f" stroked="f" coordsize="21600,21600" o:gfxdata="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jH5GF9sAAAALAQAADwAAAAAAAAABACAAAAAiAAAA&#10;ZHJzL2Rvd25yZXYueG1sUEsBAhQAFAAAAAgAh07iQAeRSeI9AgAAZwQAAA4AAAAAAAAAAQAgAAAA&#10;KgEAAGRycy9lMm9Eb2MueG1sUEsFBgAAAAAGAAYAWQEAANkFAAAAAA==&#10;">
                <v:fill on="f" focussize="0,0"/>
                <v:stroke on="f" weight="0.5pt"/>
                <v:imagedata o:title=""/>
                <o:lock v:ext="edit" aspectratio="f"/>
                <v:textbox>
                  <w:txbxContent>
                    <w:p w14:paraId="09581B5D">
                      <w:pPr>
                        <w:rPr>
                          <w:rFonts w:hint="default" w:eastAsia="宋体"/>
                          <w:vertAlign w:val="subscript"/>
                          <w:lang w:val="en-US" w:eastAsia="zh-CN"/>
                        </w:rPr>
                      </w:pPr>
                      <w:r>
                        <w:rPr>
                          <w:rFonts w:hint="eastAsia"/>
                          <w:lang w:val="en-US" w:eastAsia="zh-CN"/>
                        </w:rPr>
                        <w:t>NO</w:t>
                      </w:r>
                      <w:r>
                        <w:rPr>
                          <w:rFonts w:hint="eastAsia"/>
                          <w:vertAlign w:val="subscript"/>
                          <w:lang w:val="en-US" w:eastAsia="zh-CN"/>
                        </w:rPr>
                        <w:t>2</w:t>
                      </w:r>
                    </w:p>
                  </w:txbxContent>
                </v:textbox>
              </v:shape>
            </w:pict>
          </mc:Fallback>
        </mc:AlternateContent>
      </w:r>
      <w:r>
        <w:rPr>
          <w:color w:val="auto"/>
          <w:sz w:val="24"/>
        </w:rPr>
        <mc:AlternateContent>
          <mc:Choice Requires="wps">
            <w:drawing>
              <wp:anchor distT="0" distB="0" distL="114300" distR="114300" simplePos="0" relativeHeight="251666432" behindDoc="0" locked="0" layoutInCell="1" allowOverlap="1">
                <wp:simplePos x="0" y="0"/>
                <wp:positionH relativeFrom="column">
                  <wp:posOffset>5438775</wp:posOffset>
                </wp:positionH>
                <wp:positionV relativeFrom="paragraph">
                  <wp:posOffset>2400935</wp:posOffset>
                </wp:positionV>
                <wp:extent cx="715010" cy="304800"/>
                <wp:effectExtent l="0" t="0" r="8890" b="0"/>
                <wp:wrapNone/>
                <wp:docPr id="8" name="文本框 8"/>
                <wp:cNvGraphicFramePr/>
                <a:graphic xmlns:a="http://schemas.openxmlformats.org/drawingml/2006/main">
                  <a:graphicData uri="http://schemas.microsoft.com/office/word/2010/wordprocessingShape">
                    <wps:wsp>
                      <wps:cNvSpPr txBox="1"/>
                      <wps:spPr>
                        <a:xfrm>
                          <a:off x="0" y="0"/>
                          <a:ext cx="71501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69673E2">
                            <w:pPr>
                              <w:rPr>
                                <w:rFonts w:hint="default" w:eastAsia="宋体"/>
                                <w:vertAlign w:val="subscript"/>
                                <w:lang w:val="en-US" w:eastAsia="zh-CN"/>
                              </w:rPr>
                            </w:pPr>
                            <w:r>
                              <w:rPr>
                                <w:rFonts w:hint="eastAsia"/>
                                <w:lang w:val="en-US" w:eastAsia="zh-CN"/>
                              </w:rPr>
                              <w:t>PM</w:t>
                            </w:r>
                            <w:r>
                              <w:rPr>
                                <w:rFonts w:hint="eastAsia"/>
                                <w:vertAlign w:val="subscript"/>
                                <w:lang w:val="en-US" w:eastAsia="zh-CN"/>
                              </w:rPr>
                              <w:t>2.5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8.25pt;margin-top:189.05pt;height:24pt;width:56.3pt;z-index:251666432;mso-width-relative:page;mso-height-relative:page;" fillcolor="#FFFFFF [3201]" filled="t" stroked="f" coordsize="21600,21600" o:gfxdata="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aODRvXAAAACwEAAA8A&#10;AAAAAAAAAQAgAAAAIgAAAGRycy9kb3ducmV2LnhtbFBLAQIUABQAAAAIAIdO4kBhGbRQUQIAAI4E&#10;AAAOAAAAAAAAAAEAIAAAACYBAABkcnMvZTJvRG9jLnhtbFBLBQYAAAAABgAGAFkBAADpBQAAAAA=&#10;">
                <v:fill on="t" focussize="0,0"/>
                <v:stroke on="f" weight="0.5pt"/>
                <v:imagedata o:title=""/>
                <o:lock v:ext="edit" aspectratio="f"/>
                <v:textbox>
                  <w:txbxContent>
                    <w:p w14:paraId="669673E2">
                      <w:pPr>
                        <w:rPr>
                          <w:rFonts w:hint="default" w:eastAsia="宋体"/>
                          <w:vertAlign w:val="subscript"/>
                          <w:lang w:val="en-US" w:eastAsia="zh-CN"/>
                        </w:rPr>
                      </w:pPr>
                      <w:r>
                        <w:rPr>
                          <w:rFonts w:hint="eastAsia"/>
                          <w:lang w:val="en-US" w:eastAsia="zh-CN"/>
                        </w:rPr>
                        <w:t>PM</w:t>
                      </w:r>
                      <w:r>
                        <w:rPr>
                          <w:rFonts w:hint="eastAsia"/>
                          <w:vertAlign w:val="subscript"/>
                          <w:lang w:val="en-US" w:eastAsia="zh-CN"/>
                        </w:rPr>
                        <w:t>2.5</w:t>
                      </w:r>
                    </w:p>
                  </w:txbxContent>
                </v:textbox>
              </v:shape>
            </w:pict>
          </mc:Fallback>
        </mc:AlternateContent>
      </w:r>
      <w:r>
        <w:rPr>
          <w:color w:val="auto"/>
          <w:sz w:val="24"/>
        </w:rPr>
        <mc:AlternateContent>
          <mc:Choice Requires="wps">
            <w:drawing>
              <wp:anchor distT="0" distB="0" distL="114300" distR="114300" simplePos="0" relativeHeight="251669504" behindDoc="0" locked="0" layoutInCell="1" allowOverlap="1">
                <wp:simplePos x="0" y="0"/>
                <wp:positionH relativeFrom="column">
                  <wp:posOffset>5460365</wp:posOffset>
                </wp:positionH>
                <wp:positionV relativeFrom="paragraph">
                  <wp:posOffset>1976120</wp:posOffset>
                </wp:positionV>
                <wp:extent cx="715010" cy="304800"/>
                <wp:effectExtent l="0" t="0" r="8890" b="0"/>
                <wp:wrapNone/>
                <wp:docPr id="45" name="文本框 45"/>
                <wp:cNvGraphicFramePr/>
                <a:graphic xmlns:a="http://schemas.openxmlformats.org/drawingml/2006/main">
                  <a:graphicData uri="http://schemas.microsoft.com/office/word/2010/wordprocessingShape">
                    <wps:wsp>
                      <wps:cNvSpPr txBox="1"/>
                      <wps:spPr>
                        <a:xfrm>
                          <a:off x="0" y="0"/>
                          <a:ext cx="71501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F1CACDC">
                            <w:pPr>
                              <w:rPr>
                                <w:rFonts w:hint="default" w:eastAsia="宋体"/>
                                <w:vertAlign w:val="subscript"/>
                                <w:lang w:val="en-US" w:eastAsia="zh-CN"/>
                              </w:rPr>
                            </w:pPr>
                            <w:r>
                              <w:rPr>
                                <w:rFonts w:hint="eastAsia"/>
                                <w:lang w:val="en-US" w:eastAsia="zh-CN"/>
                              </w:rPr>
                              <w:t>PM</w:t>
                            </w:r>
                            <w:r>
                              <w:rPr>
                                <w:rFonts w:hint="eastAsia"/>
                                <w:vertAlign w:val="subscript"/>
                                <w:lang w:val="en-US" w:eastAsia="zh-CN"/>
                              </w:rPr>
                              <w:t>10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9.95pt;margin-top:155.6pt;height:24pt;width:56.3pt;z-index:251669504;mso-width-relative:page;mso-height-relative:page;" fillcolor="#FFFFFF [3201]" filled="t" stroked="f" coordsize="21600,21600" o:gfxdata="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NCnm7HWAAAACwEAAA8A&#10;AAAAAAAAAQAgAAAAIgAAAGRycy9kb3ducmV2LnhtbFBLAQIUABQAAAAIAIdO4kD4cCfnUgIAAJAE&#10;AAAOAAAAAAAAAAEAIAAAACUBAABkcnMvZTJvRG9jLnhtbFBLBQYAAAAABgAGAFkBAADpBQAAAAA=&#10;">
                <v:fill on="t" focussize="0,0"/>
                <v:stroke on="f" weight="0.5pt"/>
                <v:imagedata o:title=""/>
                <o:lock v:ext="edit" aspectratio="f"/>
                <v:textbox>
                  <w:txbxContent>
                    <w:p w14:paraId="7F1CACDC">
                      <w:pPr>
                        <w:rPr>
                          <w:rFonts w:hint="default" w:eastAsia="宋体"/>
                          <w:vertAlign w:val="subscript"/>
                          <w:lang w:val="en-US" w:eastAsia="zh-CN"/>
                        </w:rPr>
                      </w:pPr>
                      <w:r>
                        <w:rPr>
                          <w:rFonts w:hint="eastAsia"/>
                          <w:lang w:val="en-US" w:eastAsia="zh-CN"/>
                        </w:rPr>
                        <w:t>PM</w:t>
                      </w:r>
                      <w:r>
                        <w:rPr>
                          <w:rFonts w:hint="eastAsia"/>
                          <w:vertAlign w:val="subscript"/>
                          <w:lang w:val="en-US" w:eastAsia="zh-CN"/>
                        </w:rPr>
                        <w:t>10</w:t>
                      </w:r>
                    </w:p>
                  </w:txbxContent>
                </v:textbox>
              </v:shape>
            </w:pict>
          </mc:Fallback>
        </mc:AlternateContent>
      </w:r>
      <w:r>
        <w:rPr>
          <w:color w:val="auto"/>
          <w:sz w:val="24"/>
        </w:rPr>
        <mc:AlternateContent>
          <mc:Choice Requires="wps">
            <w:drawing>
              <wp:anchor distT="0" distB="0" distL="114300" distR="114300" simplePos="0" relativeHeight="251665408" behindDoc="0" locked="0" layoutInCell="1" allowOverlap="1">
                <wp:simplePos x="0" y="0"/>
                <wp:positionH relativeFrom="column">
                  <wp:posOffset>5267325</wp:posOffset>
                </wp:positionH>
                <wp:positionV relativeFrom="paragraph">
                  <wp:posOffset>105410</wp:posOffset>
                </wp:positionV>
                <wp:extent cx="505460" cy="304800"/>
                <wp:effectExtent l="0" t="0" r="8890" b="0"/>
                <wp:wrapNone/>
                <wp:docPr id="7" name="文本框 7"/>
                <wp:cNvGraphicFramePr/>
                <a:graphic xmlns:a="http://schemas.openxmlformats.org/drawingml/2006/main">
                  <a:graphicData uri="http://schemas.microsoft.com/office/word/2010/wordprocessingShape">
                    <wps:wsp>
                      <wps:cNvSpPr txBox="1"/>
                      <wps:spPr>
                        <a:xfrm>
                          <a:off x="7715250" y="1429385"/>
                          <a:ext cx="50546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F021C4A">
                            <w:pPr>
                              <w:rPr>
                                <w:rFonts w:hint="default" w:eastAsia="宋体"/>
                                <w:lang w:val="en-US" w:eastAsia="zh-CN"/>
                              </w:rPr>
                            </w:pPr>
                            <w:r>
                              <w:rPr>
                                <w:rFonts w:hint="eastAsia"/>
                                <w:lang w:val="en-US" w:eastAsia="zh-CN"/>
                              </w:rPr>
                              <w:t>O</w:t>
                            </w:r>
                            <w:r>
                              <w:rPr>
                                <w:rFonts w:hint="eastAsia"/>
                                <w:vertAlign w:val="subscript"/>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4.75pt;margin-top:8.3pt;height:24pt;width:39.8pt;z-index:251665408;mso-width-relative:page;mso-height-relative:page;" fillcolor="#FFFFFF [3201]" filled="t" stroked="f" coordsize="21600,21600" o:gfxdata="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za6ckdUA&#10;AAAJAQAADwAAAAAAAAABACAAAAAiAAAAZHJzL2Rvd25yZXYueG1sUEsBAhQAFAAAAAgAh07iQI0I&#10;HlFbAgAAmgQAAA4AAAAAAAAAAQAgAAAAJAEAAGRycy9lMm9Eb2MueG1sUEsFBgAAAAAGAAYAWQEA&#10;APEFAAAAAA==&#10;">
                <v:fill on="t" focussize="0,0"/>
                <v:stroke on="f" weight="0.5pt"/>
                <v:imagedata o:title=""/>
                <o:lock v:ext="edit" aspectratio="f"/>
                <v:textbox>
                  <w:txbxContent>
                    <w:p w14:paraId="2F021C4A">
                      <w:pPr>
                        <w:rPr>
                          <w:rFonts w:hint="default" w:eastAsia="宋体"/>
                          <w:lang w:val="en-US" w:eastAsia="zh-CN"/>
                        </w:rPr>
                      </w:pPr>
                      <w:r>
                        <w:rPr>
                          <w:rFonts w:hint="eastAsia"/>
                          <w:lang w:val="en-US" w:eastAsia="zh-CN"/>
                        </w:rPr>
                        <w:t>O</w:t>
                      </w:r>
                      <w:r>
                        <w:rPr>
                          <w:rFonts w:hint="eastAsia"/>
                          <w:vertAlign w:val="subscript"/>
                          <w:lang w:val="en-US" w:eastAsia="zh-CN"/>
                        </w:rPr>
                        <w:t>3</w:t>
                      </w:r>
                    </w:p>
                  </w:txbxContent>
                </v:textbox>
              </v:shape>
            </w:pict>
          </mc:Fallback>
        </mc:AlternateContent>
      </w:r>
      <w:r>
        <w:rPr>
          <w:color w:val="auto"/>
        </w:rPr>
        <w:drawing>
          <wp:inline distT="0" distB="0" distL="114300" distR="114300">
            <wp:extent cx="6178550" cy="3669030"/>
            <wp:effectExtent l="0" t="0" r="12700" b="7620"/>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43"/>
                    <a:stretch>
                      <a:fillRect/>
                    </a:stretch>
                  </pic:blipFill>
                  <pic:spPr>
                    <a:xfrm>
                      <a:off x="0" y="0"/>
                      <a:ext cx="6178550" cy="3669030"/>
                    </a:xfrm>
                    <a:prstGeom prst="rect">
                      <a:avLst/>
                    </a:prstGeom>
                    <a:noFill/>
                    <a:ln>
                      <a:noFill/>
                    </a:ln>
                  </pic:spPr>
                </pic:pic>
              </a:graphicData>
            </a:graphic>
          </wp:inline>
        </w:drawing>
      </w:r>
    </w:p>
    <w:p w14:paraId="4F83822F">
      <w:pPr>
        <w:pStyle w:val="41"/>
        <w:jc w:val="center"/>
        <w:rPr>
          <w:rFonts w:hint="default" w:ascii="Times New Roman" w:hAnsi="Times New Roman" w:eastAsia="宋体" w:cs="Times New Roman"/>
          <w:b/>
          <w:bCs/>
          <w:color w:val="auto"/>
          <w:lang w:val="en-US" w:eastAsia="zh-CN"/>
        </w:rPr>
      </w:pPr>
      <w:r>
        <w:rPr>
          <w:rFonts w:hint="default" w:ascii="Times New Roman" w:hAnsi="Times New Roman" w:cs="Times New Roman"/>
          <w:b/>
          <w:bCs/>
          <w:color w:val="auto"/>
          <w:lang w:val="en-US" w:eastAsia="zh-CN"/>
        </w:rPr>
        <w:t>图4-1 基本污染物变化趋势图</w:t>
      </w:r>
    </w:p>
    <w:p w14:paraId="39715A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color w:val="auto"/>
          <w:sz w:val="24"/>
          <w:szCs w:val="24"/>
          <w:lang w:val="en-US" w:eastAsia="zh-CN"/>
        </w:rPr>
      </w:pPr>
      <w:r>
        <w:rPr>
          <w:rFonts w:hint="eastAsia" w:ascii="Times New Roman" w:hAnsi="Times New Roman" w:eastAsia="宋体" w:cs="Times New Roman"/>
          <w:color w:val="auto"/>
          <w:kern w:val="2"/>
          <w:sz w:val="24"/>
          <w:szCs w:val="24"/>
          <w:lang w:val="en-US" w:eastAsia="zh-CN" w:bidi="ar-SA"/>
        </w:rPr>
        <w:t>2、</w:t>
      </w:r>
      <w:r>
        <w:rPr>
          <w:rFonts w:hint="eastAsia" w:ascii="Times New Roman" w:hAnsi="Times New Roman" w:cs="Times New Roman"/>
          <w:color w:val="auto"/>
          <w:sz w:val="24"/>
          <w:szCs w:val="24"/>
          <w:lang w:val="en-US" w:eastAsia="zh-CN"/>
        </w:rPr>
        <w:t>其他污染物</w:t>
      </w:r>
    </w:p>
    <w:p w14:paraId="6AAF1753">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Chars="0" w:firstLine="480"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项目其他污染物为</w:t>
      </w:r>
      <w:r>
        <w:rPr>
          <w:rFonts w:hint="eastAsia" w:ascii="Times New Roman" w:hAnsi="Times New Roman" w:cs="Times New Roman"/>
          <w:color w:val="auto"/>
          <w:lang w:val="en-US" w:eastAsia="zh-CN"/>
        </w:rPr>
        <w:t>氯化氢、氟化物、二噁英类</w:t>
      </w:r>
      <w:r>
        <w:rPr>
          <w:rFonts w:hint="default" w:ascii="Times New Roman" w:hAnsi="Times New Roman" w:cs="Times New Roman"/>
          <w:color w:val="auto"/>
          <w:lang w:val="en-US" w:eastAsia="zh-CN"/>
        </w:rPr>
        <w:t>。本次评价选取</w:t>
      </w:r>
      <w:r>
        <w:rPr>
          <w:rFonts w:hint="eastAsia" w:ascii="Times New Roman" w:hAnsi="Times New Roman" w:cs="Times New Roman"/>
          <w:color w:val="auto"/>
          <w:lang w:val="en-US" w:eastAsia="zh-CN"/>
        </w:rPr>
        <w:t>环评阶段监测数据与近期监测数据进行对比，</w:t>
      </w:r>
      <w:r>
        <w:rPr>
          <w:rFonts w:hint="default" w:ascii="Times New Roman" w:hAnsi="Times New Roman" w:cs="Times New Roman"/>
          <w:color w:val="auto"/>
          <w:lang w:val="en-US" w:eastAsia="zh-CN"/>
        </w:rPr>
        <w:t>近期数据综合引</w:t>
      </w:r>
      <w:r>
        <w:rPr>
          <w:rFonts w:hint="eastAsia" w:ascii="Times New Roman" w:hAnsi="Times New Roman" w:cs="Times New Roman"/>
          <w:color w:val="auto"/>
          <w:lang w:val="en-US" w:eastAsia="zh-CN"/>
        </w:rPr>
        <w:t>用</w:t>
      </w:r>
      <w:r>
        <w:rPr>
          <w:rFonts w:hint="eastAsia"/>
          <w:color w:val="auto"/>
          <w:sz w:val="24"/>
          <w:szCs w:val="32"/>
          <w:lang w:val="en-US" w:eastAsia="zh-CN"/>
        </w:rPr>
        <w:t>引用《</w:t>
      </w:r>
      <w:r>
        <w:rPr>
          <w:rFonts w:hint="default" w:ascii="Times New Roman" w:hAnsi="Times New Roman" w:cs="Times New Roman"/>
          <w:color w:val="auto"/>
          <w:sz w:val="24"/>
          <w:szCs w:val="32"/>
          <w:lang w:val="en-US" w:eastAsia="zh-CN"/>
        </w:rPr>
        <w:t>安徽濉溪经济开发区总体发展规划（2023～2035）环境影响报告书</w:t>
      </w:r>
      <w:r>
        <w:rPr>
          <w:rFonts w:hint="eastAsia"/>
          <w:color w:val="auto"/>
          <w:sz w:val="24"/>
          <w:szCs w:val="32"/>
          <w:lang w:val="en-US" w:eastAsia="zh-CN"/>
        </w:rPr>
        <w:t>》中的“黄大庄”监测点位数据</w:t>
      </w:r>
      <w:r>
        <w:rPr>
          <w:rFonts w:hint="default" w:ascii="Times New Roman" w:hAnsi="Times New Roman" w:cs="Times New Roman"/>
          <w:color w:val="auto"/>
          <w:lang w:val="en-US" w:eastAsia="zh-CN"/>
        </w:rPr>
        <w:t>。监测结果见下表。</w:t>
      </w:r>
    </w:p>
    <w:p w14:paraId="3DD47454">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Chars="0" w:firstLine="482" w:firstLineChars="200"/>
        <w:jc w:val="center"/>
        <w:textAlignment w:val="auto"/>
        <w:rPr>
          <w:rFonts w:hint="default" w:ascii="Times New Roman" w:hAnsi="Times New Roman" w:cs="Times New Roman"/>
          <w:color w:val="auto"/>
          <w:lang w:val="en-US" w:eastAsia="zh-CN"/>
        </w:rPr>
      </w:pPr>
      <w:r>
        <w:rPr>
          <w:rFonts w:hint="default" w:ascii="Times New Roman" w:hAnsi="Times New Roman" w:cs="Times New Roman"/>
          <w:b/>
          <w:bCs/>
          <w:color w:val="auto"/>
          <w:sz w:val="24"/>
          <w:szCs w:val="32"/>
        </w:rPr>
        <w:t>表4-</w:t>
      </w:r>
      <w:r>
        <w:rPr>
          <w:rFonts w:hint="default" w:ascii="Times New Roman" w:hAnsi="Times New Roman" w:cs="Times New Roman"/>
          <w:b/>
          <w:bCs/>
          <w:color w:val="auto"/>
          <w:sz w:val="24"/>
          <w:szCs w:val="32"/>
          <w:lang w:val="en-US" w:eastAsia="zh-CN"/>
        </w:rPr>
        <w:t>17 原环评</w:t>
      </w:r>
      <w:r>
        <w:rPr>
          <w:rFonts w:hint="eastAsia" w:ascii="Times New Roman" w:hAnsi="Times New Roman" w:cs="Times New Roman"/>
          <w:b/>
          <w:bCs/>
          <w:color w:val="auto"/>
          <w:sz w:val="24"/>
          <w:szCs w:val="32"/>
          <w:lang w:val="en-US" w:eastAsia="zh-CN"/>
        </w:rPr>
        <w:t>阶段监测数据与近期数据</w:t>
      </w:r>
      <w:r>
        <w:rPr>
          <w:rFonts w:hint="default" w:ascii="Times New Roman" w:hAnsi="Times New Roman" w:cs="Times New Roman"/>
          <w:b/>
          <w:bCs/>
          <w:color w:val="auto"/>
          <w:sz w:val="24"/>
          <w:szCs w:val="32"/>
          <w:lang w:val="en-US" w:eastAsia="zh-CN"/>
        </w:rPr>
        <w:t>大气环境质量监测结果</w:t>
      </w:r>
      <w:r>
        <w:rPr>
          <w:rFonts w:hint="eastAsia" w:ascii="Times New Roman" w:hAnsi="Times New Roman" w:cs="Times New Roman"/>
          <w:b/>
          <w:bCs/>
          <w:color w:val="auto"/>
          <w:sz w:val="24"/>
          <w:szCs w:val="32"/>
          <w:lang w:val="en-US" w:eastAsia="zh-CN"/>
        </w:rPr>
        <w:t>一览表</w:t>
      </w:r>
    </w:p>
    <w:tbl>
      <w:tblPr>
        <w:tblStyle w:val="31"/>
        <w:tblW w:w="497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Layout w:type="autofit"/>
        <w:tblCellMar>
          <w:top w:w="0" w:type="dxa"/>
          <w:left w:w="108" w:type="dxa"/>
          <w:bottom w:w="0" w:type="dxa"/>
          <w:right w:w="108" w:type="dxa"/>
        </w:tblCellMar>
      </w:tblPr>
      <w:tblGrid>
        <w:gridCol w:w="1667"/>
        <w:gridCol w:w="1209"/>
        <w:gridCol w:w="1522"/>
        <w:gridCol w:w="1380"/>
        <w:gridCol w:w="1366"/>
        <w:gridCol w:w="1370"/>
        <w:gridCol w:w="1390"/>
      </w:tblGrid>
      <w:tr w14:paraId="66C7398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1669" w:type="dxa"/>
            <w:vMerge w:val="restart"/>
            <w:tcBorders>
              <w:tl2br w:val="nil"/>
              <w:tr2bl w:val="nil"/>
            </w:tcBorders>
            <w:shd w:val="clear" w:color="auto" w:fill="auto"/>
            <w:vAlign w:val="center"/>
          </w:tcPr>
          <w:p w14:paraId="3EC9352D">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项目</w:t>
            </w:r>
          </w:p>
        </w:tc>
        <w:tc>
          <w:tcPr>
            <w:tcW w:w="4111" w:type="dxa"/>
            <w:gridSpan w:val="3"/>
            <w:tcBorders>
              <w:tl2br w:val="nil"/>
              <w:tr2bl w:val="nil"/>
            </w:tcBorders>
            <w:shd w:val="clear" w:color="auto" w:fill="auto"/>
            <w:vAlign w:val="center"/>
          </w:tcPr>
          <w:p w14:paraId="5BD2EB6E">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cs="Times New Roman"/>
                <w:b/>
                <w:bCs/>
                <w:color w:val="auto"/>
                <w:sz w:val="24"/>
                <w:szCs w:val="32"/>
                <w:lang w:val="en-US" w:eastAsia="zh-CN"/>
              </w:rPr>
              <w:t>环评</w:t>
            </w:r>
            <w:r>
              <w:rPr>
                <w:rFonts w:hint="eastAsia" w:ascii="Times New Roman" w:hAnsi="Times New Roman" w:cs="Times New Roman"/>
                <w:b/>
                <w:bCs/>
                <w:color w:val="auto"/>
                <w:sz w:val="24"/>
                <w:szCs w:val="32"/>
                <w:lang w:val="en-US" w:eastAsia="zh-CN"/>
              </w:rPr>
              <w:t>阶段监测数据</w:t>
            </w:r>
          </w:p>
        </w:tc>
        <w:tc>
          <w:tcPr>
            <w:tcW w:w="4126" w:type="dxa"/>
            <w:gridSpan w:val="3"/>
            <w:tcBorders>
              <w:tl2br w:val="nil"/>
              <w:tr2bl w:val="nil"/>
            </w:tcBorders>
            <w:shd w:val="clear" w:color="auto" w:fill="auto"/>
            <w:vAlign w:val="center"/>
          </w:tcPr>
          <w:p w14:paraId="361CE7D0">
            <w:pPr>
              <w:keepNext w:val="0"/>
              <w:keepLines w:val="0"/>
              <w:widowControl/>
              <w:suppressLineNumbers w:val="0"/>
              <w:jc w:val="center"/>
              <w:textAlignment w:val="top"/>
              <w:rPr>
                <w:rFonts w:hint="default" w:ascii="Times New Roman" w:hAnsi="Times New Roman" w:eastAsia="宋体" w:cs="Times New Roman"/>
                <w:b/>
                <w:bCs/>
                <w:i w:val="0"/>
                <w:iCs w:val="0"/>
                <w:color w:val="auto"/>
                <w:kern w:val="0"/>
                <w:sz w:val="21"/>
                <w:szCs w:val="21"/>
                <w:u w:val="none"/>
                <w:lang w:val="en-US" w:eastAsia="zh-CN" w:bidi="ar"/>
              </w:rPr>
            </w:pPr>
            <w:r>
              <w:rPr>
                <w:rFonts w:hint="eastAsia" w:ascii="Times New Roman" w:hAnsi="Times New Roman" w:cs="Times New Roman"/>
                <w:b/>
                <w:bCs/>
                <w:color w:val="auto"/>
                <w:sz w:val="24"/>
                <w:szCs w:val="32"/>
                <w:lang w:val="en-US" w:eastAsia="zh-CN"/>
              </w:rPr>
              <w:t>近期监测数据</w:t>
            </w:r>
          </w:p>
        </w:tc>
      </w:tr>
      <w:tr w14:paraId="6F05806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1669" w:type="dxa"/>
            <w:vMerge w:val="continue"/>
            <w:tcBorders>
              <w:tl2br w:val="nil"/>
              <w:tr2bl w:val="nil"/>
            </w:tcBorders>
            <w:shd w:val="clear" w:color="auto" w:fill="auto"/>
            <w:vAlign w:val="center"/>
          </w:tcPr>
          <w:p w14:paraId="355D1C0B">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p>
        </w:tc>
        <w:tc>
          <w:tcPr>
            <w:tcW w:w="1209" w:type="dxa"/>
            <w:tcBorders>
              <w:tl2br w:val="nil"/>
              <w:tr2bl w:val="nil"/>
            </w:tcBorders>
            <w:shd w:val="clear" w:color="auto" w:fill="auto"/>
            <w:vAlign w:val="center"/>
          </w:tcPr>
          <w:p w14:paraId="08A524D3">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eastAsia="zh-CN"/>
              </w:rPr>
            </w:pPr>
            <w:r>
              <w:rPr>
                <w:rFonts w:hint="eastAsia" w:cs="Times New Roman"/>
                <w:b/>
                <w:bCs/>
                <w:i w:val="0"/>
                <w:iCs w:val="0"/>
                <w:color w:val="auto"/>
                <w:sz w:val="21"/>
                <w:szCs w:val="21"/>
                <w:u w:val="none"/>
                <w:lang w:val="en-US" w:eastAsia="zh-CN"/>
              </w:rPr>
              <w:t>监测点位</w:t>
            </w:r>
          </w:p>
        </w:tc>
        <w:tc>
          <w:tcPr>
            <w:tcW w:w="1522" w:type="dxa"/>
            <w:tcBorders>
              <w:tl2br w:val="nil"/>
              <w:tr2bl w:val="nil"/>
            </w:tcBorders>
            <w:shd w:val="clear" w:color="auto" w:fill="auto"/>
            <w:vAlign w:val="center"/>
          </w:tcPr>
          <w:p w14:paraId="025067AB">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rPr>
            </w:pPr>
            <w:r>
              <w:rPr>
                <w:rFonts w:hint="eastAsia" w:cs="Times New Roman"/>
                <w:b/>
                <w:bCs/>
                <w:i w:val="0"/>
                <w:iCs w:val="0"/>
                <w:color w:val="auto"/>
                <w:kern w:val="0"/>
                <w:sz w:val="21"/>
                <w:szCs w:val="21"/>
                <w:u w:val="none"/>
                <w:lang w:val="en-US" w:eastAsia="zh-CN" w:bidi="ar"/>
              </w:rPr>
              <w:t>监测时间</w:t>
            </w:r>
          </w:p>
        </w:tc>
        <w:tc>
          <w:tcPr>
            <w:tcW w:w="1380" w:type="dxa"/>
            <w:tcBorders>
              <w:tl2br w:val="nil"/>
              <w:tr2bl w:val="nil"/>
            </w:tcBorders>
            <w:shd w:val="clear" w:color="auto" w:fill="auto"/>
            <w:vAlign w:val="center"/>
          </w:tcPr>
          <w:p w14:paraId="753601CD">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1366" w:type="dxa"/>
            <w:tcBorders>
              <w:tl2br w:val="nil"/>
              <w:tr2bl w:val="nil"/>
            </w:tcBorders>
            <w:shd w:val="clear" w:color="auto" w:fill="auto"/>
            <w:vAlign w:val="center"/>
          </w:tcPr>
          <w:p w14:paraId="2F7FEB66">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eastAsia" w:cs="Times New Roman"/>
                <w:b/>
                <w:bCs/>
                <w:i w:val="0"/>
                <w:iCs w:val="0"/>
                <w:color w:val="auto"/>
                <w:sz w:val="21"/>
                <w:szCs w:val="21"/>
                <w:u w:val="none"/>
                <w:lang w:val="en-US" w:eastAsia="zh-CN"/>
              </w:rPr>
              <w:t>监测点位</w:t>
            </w:r>
          </w:p>
        </w:tc>
        <w:tc>
          <w:tcPr>
            <w:tcW w:w="1370" w:type="dxa"/>
            <w:tcBorders>
              <w:tl2br w:val="nil"/>
              <w:tr2bl w:val="nil"/>
            </w:tcBorders>
            <w:shd w:val="clear" w:color="auto" w:fill="auto"/>
            <w:vAlign w:val="center"/>
          </w:tcPr>
          <w:p w14:paraId="5E2CE7C4">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eastAsia" w:cs="Times New Roman"/>
                <w:b/>
                <w:bCs/>
                <w:i w:val="0"/>
                <w:iCs w:val="0"/>
                <w:color w:val="auto"/>
                <w:kern w:val="0"/>
                <w:sz w:val="21"/>
                <w:szCs w:val="21"/>
                <w:u w:val="none"/>
                <w:lang w:val="en-US" w:eastAsia="zh-CN" w:bidi="ar"/>
              </w:rPr>
              <w:t>监测时间</w:t>
            </w:r>
          </w:p>
        </w:tc>
        <w:tc>
          <w:tcPr>
            <w:tcW w:w="1390" w:type="dxa"/>
            <w:tcBorders>
              <w:tl2br w:val="nil"/>
              <w:tr2bl w:val="nil"/>
            </w:tcBorders>
            <w:shd w:val="clear" w:color="auto" w:fill="auto"/>
            <w:vAlign w:val="center"/>
          </w:tcPr>
          <w:p w14:paraId="6E0B22AE">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sz w:val="21"/>
                <w:szCs w:val="21"/>
                <w:u w:val="none"/>
                <w:lang w:val="en-US" w:eastAsia="zh-CN"/>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r>
      <w:tr w14:paraId="7BFF7C4E">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662" w:hRule="atLeast"/>
          <w:jc w:val="center"/>
        </w:trPr>
        <w:tc>
          <w:tcPr>
            <w:tcW w:w="1669" w:type="dxa"/>
            <w:tcBorders>
              <w:tl2br w:val="nil"/>
              <w:tr2bl w:val="nil"/>
            </w:tcBorders>
            <w:shd w:val="clear" w:color="auto" w:fill="auto"/>
            <w:vAlign w:val="center"/>
          </w:tcPr>
          <w:p w14:paraId="3397FFC5">
            <w:pPr>
              <w:keepNext w:val="0"/>
              <w:keepLines w:val="0"/>
              <w:widowControl/>
              <w:suppressLineNumbers w:val="0"/>
              <w:jc w:val="center"/>
              <w:textAlignment w:val="center"/>
              <w:rPr>
                <w:rFonts w:hint="default" w:ascii="Times New Roman" w:hAnsi="Times New Roman" w:eastAsia="宋体" w:cs="Times New Roman"/>
                <w:i w:val="0"/>
                <w:iCs w:val="0"/>
                <w:color w:val="auto"/>
                <w:sz w:val="21"/>
                <w:szCs w:val="21"/>
                <w:u w:val="none"/>
              </w:rPr>
            </w:pPr>
            <w:r>
              <w:rPr>
                <w:rFonts w:hint="eastAsia" w:cs="Times New Roman"/>
                <w:b w:val="0"/>
                <w:bCs w:val="0"/>
                <w:i w:val="0"/>
                <w:iCs w:val="0"/>
                <w:color w:val="auto"/>
                <w:kern w:val="0"/>
                <w:sz w:val="21"/>
                <w:szCs w:val="21"/>
                <w:u w:val="none"/>
                <w:lang w:val="en-US" w:eastAsia="zh-CN" w:bidi="ar"/>
              </w:rPr>
              <w:t>氯化氢</w:t>
            </w:r>
          </w:p>
        </w:tc>
        <w:tc>
          <w:tcPr>
            <w:tcW w:w="1209" w:type="dxa"/>
            <w:vMerge w:val="restart"/>
            <w:tcBorders>
              <w:tl2br w:val="nil"/>
              <w:tr2bl w:val="nil"/>
            </w:tcBorders>
            <w:shd w:val="clear" w:color="auto" w:fill="auto"/>
            <w:vAlign w:val="center"/>
          </w:tcPr>
          <w:p w14:paraId="183355C0">
            <w:pPr>
              <w:keepNext w:val="0"/>
              <w:keepLines w:val="0"/>
              <w:widowControl/>
              <w:suppressLineNumbers w:val="0"/>
              <w:jc w:val="center"/>
              <w:textAlignment w:val="top"/>
              <w:rPr>
                <w:rFonts w:hint="eastAsia"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项目地</w:t>
            </w:r>
          </w:p>
        </w:tc>
        <w:tc>
          <w:tcPr>
            <w:tcW w:w="1522" w:type="dxa"/>
            <w:vMerge w:val="restart"/>
            <w:tcBorders>
              <w:tl2br w:val="nil"/>
              <w:tr2bl w:val="nil"/>
            </w:tcBorders>
            <w:shd w:val="clear" w:color="auto" w:fill="auto"/>
            <w:vAlign w:val="center"/>
          </w:tcPr>
          <w:p w14:paraId="13AC901E">
            <w:pPr>
              <w:keepNext w:val="0"/>
              <w:keepLines w:val="0"/>
              <w:widowControl/>
              <w:suppressLineNumbers w:val="0"/>
              <w:jc w:val="center"/>
              <w:textAlignment w:val="top"/>
              <w:rPr>
                <w:rFonts w:hint="eastAsia" w:ascii="Times New Roman" w:hAnsi="Times New Roman" w:eastAsia="宋体" w:cs="Times New Roman"/>
                <w:i w:val="0"/>
                <w:iCs w:val="0"/>
                <w:color w:val="auto"/>
                <w:sz w:val="21"/>
                <w:szCs w:val="21"/>
                <w:u w:val="none"/>
                <w:lang w:val="en-US" w:eastAsia="zh-CN"/>
              </w:rPr>
            </w:pPr>
            <w:r>
              <w:rPr>
                <w:color w:val="auto"/>
                <w:sz w:val="21"/>
                <w:szCs w:val="21"/>
              </w:rPr>
              <w:t>2014</w:t>
            </w:r>
            <w:r>
              <w:rPr>
                <w:rFonts w:hint="eastAsia"/>
                <w:color w:val="auto"/>
                <w:sz w:val="21"/>
                <w:szCs w:val="21"/>
                <w:lang w:val="en-US" w:eastAsia="zh-CN"/>
              </w:rPr>
              <w:t>年</w:t>
            </w:r>
            <w:r>
              <w:rPr>
                <w:color w:val="auto"/>
                <w:sz w:val="21"/>
                <w:szCs w:val="21"/>
              </w:rPr>
              <w:t>7</w:t>
            </w:r>
            <w:r>
              <w:rPr>
                <w:rFonts w:hint="eastAsia"/>
                <w:color w:val="auto"/>
                <w:sz w:val="21"/>
                <w:szCs w:val="21"/>
                <w:lang w:val="en-US" w:eastAsia="zh-CN"/>
              </w:rPr>
              <w:t>月</w:t>
            </w:r>
            <w:r>
              <w:rPr>
                <w:color w:val="auto"/>
                <w:sz w:val="21"/>
                <w:szCs w:val="21"/>
              </w:rPr>
              <w:t>5</w:t>
            </w:r>
            <w:r>
              <w:rPr>
                <w:rFonts w:hint="eastAsia"/>
                <w:color w:val="auto"/>
                <w:sz w:val="21"/>
                <w:szCs w:val="21"/>
                <w:lang w:val="en-US" w:eastAsia="zh-CN"/>
              </w:rPr>
              <w:t>日</w:t>
            </w:r>
            <w:r>
              <w:rPr>
                <w:color w:val="auto"/>
                <w:sz w:val="21"/>
                <w:szCs w:val="21"/>
              </w:rPr>
              <w:t>～7</w:t>
            </w:r>
            <w:r>
              <w:rPr>
                <w:rFonts w:hint="eastAsia"/>
                <w:color w:val="auto"/>
                <w:sz w:val="21"/>
                <w:szCs w:val="21"/>
                <w:lang w:val="en-US" w:eastAsia="zh-CN"/>
              </w:rPr>
              <w:t>月</w:t>
            </w:r>
            <w:r>
              <w:rPr>
                <w:color w:val="auto"/>
                <w:sz w:val="21"/>
                <w:szCs w:val="21"/>
              </w:rPr>
              <w:t>11</w:t>
            </w:r>
            <w:r>
              <w:rPr>
                <w:rFonts w:hint="eastAsia"/>
                <w:color w:val="auto"/>
                <w:sz w:val="21"/>
                <w:szCs w:val="21"/>
                <w:lang w:val="en-US" w:eastAsia="zh-CN"/>
              </w:rPr>
              <w:t>日</w:t>
            </w:r>
          </w:p>
        </w:tc>
        <w:tc>
          <w:tcPr>
            <w:tcW w:w="1380" w:type="dxa"/>
            <w:tcBorders>
              <w:tl2br w:val="nil"/>
              <w:tr2bl w:val="nil"/>
            </w:tcBorders>
            <w:shd w:val="clear" w:color="auto" w:fill="auto"/>
            <w:vAlign w:val="center"/>
          </w:tcPr>
          <w:p w14:paraId="3C92D0E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ND</w:t>
            </w:r>
          </w:p>
        </w:tc>
        <w:tc>
          <w:tcPr>
            <w:tcW w:w="1366" w:type="dxa"/>
            <w:vMerge w:val="restart"/>
            <w:tcBorders>
              <w:tl2br w:val="nil"/>
              <w:tr2bl w:val="nil"/>
            </w:tcBorders>
            <w:shd w:val="clear" w:color="auto" w:fill="auto"/>
            <w:vAlign w:val="center"/>
          </w:tcPr>
          <w:p w14:paraId="7E58841D">
            <w:pPr>
              <w:keepNext w:val="0"/>
              <w:keepLines w:val="0"/>
              <w:widowControl/>
              <w:suppressLineNumbers w:val="0"/>
              <w:jc w:val="center"/>
              <w:textAlignment w:val="top"/>
              <w:rPr>
                <w:rFonts w:hint="eastAsia"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黄大庄</w:t>
            </w:r>
          </w:p>
          <w:p w14:paraId="5AACAAFE">
            <w:pPr>
              <w:keepNext w:val="0"/>
              <w:keepLines w:val="0"/>
              <w:widowControl/>
              <w:suppressLineNumbers w:val="0"/>
              <w:jc w:val="center"/>
              <w:textAlignment w:val="top"/>
              <w:rPr>
                <w:rFonts w:hint="eastAsia"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（位于项目厂址下风向）</w:t>
            </w:r>
          </w:p>
        </w:tc>
        <w:tc>
          <w:tcPr>
            <w:tcW w:w="1370" w:type="dxa"/>
            <w:vMerge w:val="restart"/>
            <w:tcBorders>
              <w:tl2br w:val="nil"/>
              <w:tr2bl w:val="nil"/>
            </w:tcBorders>
            <w:shd w:val="clear" w:color="auto" w:fill="auto"/>
            <w:vAlign w:val="center"/>
          </w:tcPr>
          <w:p w14:paraId="44556D4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2023年7月6日~12日</w:t>
            </w:r>
          </w:p>
        </w:tc>
        <w:tc>
          <w:tcPr>
            <w:tcW w:w="1390" w:type="dxa"/>
            <w:tcBorders>
              <w:tl2br w:val="nil"/>
              <w:tr2bl w:val="nil"/>
            </w:tcBorders>
            <w:shd w:val="clear" w:color="auto" w:fill="auto"/>
            <w:vAlign w:val="center"/>
          </w:tcPr>
          <w:p w14:paraId="1D0BEEC6">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r>
              <w:rPr>
                <w:rFonts w:hint="eastAsia" w:cs="Times New Roman"/>
                <w:i w:val="0"/>
                <w:iCs w:val="0"/>
                <w:color w:val="auto"/>
                <w:kern w:val="0"/>
                <w:sz w:val="21"/>
                <w:szCs w:val="21"/>
                <w:u w:val="none"/>
                <w:lang w:val="en-US" w:eastAsia="zh-CN" w:bidi="ar"/>
              </w:rPr>
              <w:t>ND</w:t>
            </w:r>
          </w:p>
        </w:tc>
      </w:tr>
      <w:tr w14:paraId="0BE636B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1669" w:type="dxa"/>
            <w:tcBorders>
              <w:tl2br w:val="nil"/>
              <w:tr2bl w:val="nil"/>
            </w:tcBorders>
            <w:shd w:val="clear" w:color="auto" w:fill="auto"/>
            <w:vAlign w:val="center"/>
          </w:tcPr>
          <w:p w14:paraId="583C42A6">
            <w:pPr>
              <w:jc w:val="center"/>
              <w:rPr>
                <w:rFonts w:hint="eastAsia"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氟化物</w:t>
            </w:r>
          </w:p>
        </w:tc>
        <w:tc>
          <w:tcPr>
            <w:tcW w:w="1209" w:type="dxa"/>
            <w:vMerge w:val="continue"/>
            <w:tcBorders>
              <w:tl2br w:val="nil"/>
              <w:tr2bl w:val="nil"/>
            </w:tcBorders>
            <w:shd w:val="clear" w:color="auto" w:fill="auto"/>
            <w:vAlign w:val="center"/>
          </w:tcPr>
          <w:p w14:paraId="6D590852">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522" w:type="dxa"/>
            <w:vMerge w:val="continue"/>
            <w:tcBorders>
              <w:tl2br w:val="nil"/>
              <w:tr2bl w:val="nil"/>
            </w:tcBorders>
            <w:shd w:val="clear" w:color="auto" w:fill="auto"/>
            <w:vAlign w:val="center"/>
          </w:tcPr>
          <w:p w14:paraId="54A96F17">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380" w:type="dxa"/>
            <w:tcBorders>
              <w:tl2br w:val="nil"/>
              <w:tr2bl w:val="nil"/>
            </w:tcBorders>
            <w:shd w:val="clear" w:color="auto" w:fill="auto"/>
            <w:vAlign w:val="center"/>
          </w:tcPr>
          <w:p w14:paraId="2D6E2DB4">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ND</w:t>
            </w:r>
          </w:p>
        </w:tc>
        <w:tc>
          <w:tcPr>
            <w:tcW w:w="1366" w:type="dxa"/>
            <w:vMerge w:val="continue"/>
            <w:tcBorders>
              <w:tl2br w:val="nil"/>
              <w:tr2bl w:val="nil"/>
            </w:tcBorders>
            <w:shd w:val="clear" w:color="auto" w:fill="auto"/>
            <w:vAlign w:val="center"/>
          </w:tcPr>
          <w:p w14:paraId="4AFCE5D9">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370" w:type="dxa"/>
            <w:vMerge w:val="continue"/>
            <w:tcBorders>
              <w:tl2br w:val="nil"/>
              <w:tr2bl w:val="nil"/>
            </w:tcBorders>
            <w:shd w:val="clear" w:color="auto" w:fill="auto"/>
            <w:vAlign w:val="center"/>
          </w:tcPr>
          <w:p w14:paraId="6E1C3C63">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p>
        </w:tc>
        <w:tc>
          <w:tcPr>
            <w:tcW w:w="1390" w:type="dxa"/>
            <w:tcBorders>
              <w:tl2br w:val="nil"/>
              <w:tr2bl w:val="nil"/>
            </w:tcBorders>
            <w:shd w:val="clear" w:color="auto" w:fill="auto"/>
            <w:vAlign w:val="center"/>
          </w:tcPr>
          <w:p w14:paraId="4F4F47F5">
            <w:pPr>
              <w:keepNext w:val="0"/>
              <w:keepLines w:val="0"/>
              <w:widowControl/>
              <w:suppressLineNumbers w:val="0"/>
              <w:jc w:val="center"/>
              <w:textAlignment w:val="center"/>
              <w:rPr>
                <w:rFonts w:hint="default"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0.79</w:t>
            </w:r>
          </w:p>
        </w:tc>
      </w:tr>
      <w:tr w14:paraId="10599F3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1669" w:type="dxa"/>
            <w:tcBorders>
              <w:tl2br w:val="nil"/>
              <w:tr2bl w:val="nil"/>
            </w:tcBorders>
            <w:shd w:val="clear" w:color="auto" w:fill="auto"/>
            <w:vAlign w:val="center"/>
          </w:tcPr>
          <w:p w14:paraId="63C87DFF">
            <w:pPr>
              <w:jc w:val="center"/>
              <w:rPr>
                <w:rFonts w:hint="default"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二噁英</w:t>
            </w:r>
          </w:p>
        </w:tc>
        <w:tc>
          <w:tcPr>
            <w:tcW w:w="1209" w:type="dxa"/>
            <w:vMerge w:val="continue"/>
            <w:tcBorders>
              <w:tl2br w:val="nil"/>
              <w:tr2bl w:val="nil"/>
            </w:tcBorders>
            <w:shd w:val="clear" w:color="auto" w:fill="auto"/>
            <w:vAlign w:val="center"/>
          </w:tcPr>
          <w:p w14:paraId="59A6E507">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522" w:type="dxa"/>
            <w:tcBorders>
              <w:tl2br w:val="nil"/>
              <w:tr2bl w:val="nil"/>
            </w:tcBorders>
            <w:shd w:val="clear" w:color="auto" w:fill="auto"/>
            <w:vAlign w:val="center"/>
          </w:tcPr>
          <w:p w14:paraId="2D2DE133">
            <w:pPr>
              <w:keepNext w:val="0"/>
              <w:keepLines w:val="0"/>
              <w:widowControl/>
              <w:suppressLineNumbers w:val="0"/>
              <w:jc w:val="center"/>
              <w:textAlignment w:val="top"/>
              <w:rPr>
                <w:color w:val="auto"/>
                <w:sz w:val="21"/>
                <w:szCs w:val="21"/>
              </w:rPr>
            </w:pPr>
            <w:r>
              <w:rPr>
                <w:color w:val="auto"/>
                <w:sz w:val="21"/>
                <w:szCs w:val="21"/>
              </w:rPr>
              <w:t>2014年7月22日～7月23日</w:t>
            </w:r>
          </w:p>
        </w:tc>
        <w:tc>
          <w:tcPr>
            <w:tcW w:w="1380" w:type="dxa"/>
            <w:tcBorders>
              <w:tl2br w:val="nil"/>
              <w:tr2bl w:val="nil"/>
            </w:tcBorders>
            <w:shd w:val="clear" w:color="auto" w:fill="auto"/>
            <w:vAlign w:val="center"/>
          </w:tcPr>
          <w:p w14:paraId="79948B8A">
            <w:pPr>
              <w:keepNext w:val="0"/>
              <w:keepLines w:val="0"/>
              <w:widowControl/>
              <w:suppressLineNumbers w:val="0"/>
              <w:jc w:val="center"/>
              <w:textAlignment w:val="top"/>
              <w:rPr>
                <w:b w:val="0"/>
                <w:bCs w:val="0"/>
                <w:color w:val="auto"/>
              </w:rPr>
            </w:pPr>
            <w:r>
              <w:rPr>
                <w:color w:val="auto"/>
              </w:rPr>
              <w:t>0.03</w:t>
            </w:r>
            <w:r>
              <w:rPr>
                <w:b w:val="0"/>
                <w:bCs w:val="0"/>
                <w:color w:val="auto"/>
              </w:rPr>
              <w:t>5</w:t>
            </w:r>
          </w:p>
          <w:p w14:paraId="58505DB4">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b w:val="0"/>
                <w:bCs w:val="0"/>
                <w:color w:val="auto"/>
              </w:rPr>
              <w:t>pg-TEQ/Nm</w:t>
            </w:r>
            <w:r>
              <w:rPr>
                <w:b w:val="0"/>
                <w:bCs w:val="0"/>
                <w:color w:val="auto"/>
                <w:vertAlign w:val="superscript"/>
              </w:rPr>
              <w:t>3</w:t>
            </w:r>
          </w:p>
        </w:tc>
        <w:tc>
          <w:tcPr>
            <w:tcW w:w="1366" w:type="dxa"/>
            <w:vMerge w:val="continue"/>
            <w:tcBorders>
              <w:tl2br w:val="nil"/>
              <w:tr2bl w:val="nil"/>
            </w:tcBorders>
            <w:shd w:val="clear" w:color="auto" w:fill="auto"/>
            <w:vAlign w:val="center"/>
          </w:tcPr>
          <w:p w14:paraId="09C42AD1">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370" w:type="dxa"/>
            <w:vMerge w:val="continue"/>
            <w:tcBorders>
              <w:tl2br w:val="nil"/>
              <w:tr2bl w:val="nil"/>
            </w:tcBorders>
            <w:shd w:val="clear" w:color="auto" w:fill="auto"/>
            <w:vAlign w:val="center"/>
          </w:tcPr>
          <w:p w14:paraId="63FB7F90">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p>
        </w:tc>
        <w:tc>
          <w:tcPr>
            <w:tcW w:w="1390" w:type="dxa"/>
            <w:tcBorders>
              <w:tl2br w:val="nil"/>
              <w:tr2bl w:val="nil"/>
            </w:tcBorders>
            <w:shd w:val="clear" w:color="auto" w:fill="auto"/>
            <w:vAlign w:val="center"/>
          </w:tcPr>
          <w:p w14:paraId="6D93D2AF">
            <w:pPr>
              <w:keepNext w:val="0"/>
              <w:keepLines w:val="0"/>
              <w:widowControl/>
              <w:suppressLineNumbers w:val="0"/>
              <w:jc w:val="center"/>
              <w:textAlignment w:val="center"/>
              <w:rPr>
                <w:rFonts w:hint="eastAsia"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0.015</w:t>
            </w:r>
          </w:p>
          <w:p w14:paraId="4EE899FB">
            <w:pPr>
              <w:keepNext w:val="0"/>
              <w:keepLines w:val="0"/>
              <w:widowControl/>
              <w:suppressLineNumbers w:val="0"/>
              <w:jc w:val="center"/>
              <w:textAlignment w:val="center"/>
              <w:rPr>
                <w:rFonts w:hint="default" w:ascii="Times New Roman" w:hAnsi="Times New Roman" w:eastAsia="宋体" w:cs="Times New Roman"/>
                <w:i w:val="0"/>
                <w:iCs w:val="0"/>
                <w:color w:val="auto"/>
                <w:sz w:val="21"/>
                <w:szCs w:val="21"/>
                <w:u w:val="none"/>
              </w:rPr>
            </w:pPr>
            <w:r>
              <w:rPr>
                <w:b w:val="0"/>
                <w:bCs w:val="0"/>
                <w:color w:val="auto"/>
              </w:rPr>
              <w:t>pg-TEQ/Nm</w:t>
            </w:r>
            <w:r>
              <w:rPr>
                <w:b w:val="0"/>
                <w:bCs w:val="0"/>
                <w:color w:val="auto"/>
                <w:vertAlign w:val="superscript"/>
              </w:rPr>
              <w:t>3</w:t>
            </w:r>
          </w:p>
        </w:tc>
      </w:tr>
    </w:tbl>
    <w:p w14:paraId="5B2E5491">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240" w:lineRule="auto"/>
        <w:ind w:leftChars="0" w:firstLine="420" w:firstLineChars="200"/>
        <w:jc w:val="both"/>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注：ND表示未检出。</w:t>
      </w:r>
    </w:p>
    <w:p w14:paraId="73F9CA2B">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Chars="0" w:firstLine="482" w:firstLineChars="200"/>
        <w:jc w:val="both"/>
        <w:textAlignment w:val="auto"/>
        <w:rPr>
          <w:rFonts w:hint="default" w:ascii="Times New Roman" w:hAnsi="Times New Roman" w:cs="Times New Roman"/>
          <w:b w:val="0"/>
          <w:bCs w:val="0"/>
          <w:color w:val="auto"/>
          <w:lang w:val="en-US" w:eastAsia="zh-CN"/>
        </w:rPr>
      </w:pPr>
      <w:r>
        <w:rPr>
          <w:rFonts w:hint="eastAsia" w:ascii="Times New Roman" w:hAnsi="Times New Roman" w:cs="Times New Roman"/>
          <w:b/>
          <w:bCs/>
          <w:color w:val="auto"/>
          <w:lang w:val="en-US" w:eastAsia="zh-CN"/>
        </w:rPr>
        <w:t>变化趋势分析：</w:t>
      </w:r>
      <w:r>
        <w:rPr>
          <w:rFonts w:hint="eastAsia" w:ascii="Times New Roman" w:hAnsi="Times New Roman" w:cs="Times New Roman"/>
          <w:b w:val="0"/>
          <w:bCs w:val="0"/>
          <w:color w:val="auto"/>
          <w:lang w:val="en-US" w:eastAsia="zh-CN"/>
        </w:rPr>
        <w:t>与环评时期对比，氯化氢、氟化物、二噁英类现状监测浓度中，氯化氢监测浓度基本无变化，二噁英类监测浓度略微下降，氟化物监测浓度略微上升，变化比很小。</w:t>
      </w:r>
    </w:p>
    <w:p w14:paraId="569BD71C">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both"/>
        <w:textAlignment w:val="auto"/>
        <w:rPr>
          <w:color w:val="auto"/>
        </w:rPr>
      </w:pPr>
      <w:r>
        <w:rPr>
          <w:color w:val="auto"/>
          <w:sz w:val="24"/>
        </w:rPr>
        <mc:AlternateContent>
          <mc:Choice Requires="wps">
            <w:drawing>
              <wp:anchor distT="0" distB="0" distL="114300" distR="114300" simplePos="0" relativeHeight="251671552" behindDoc="0" locked="0" layoutInCell="1" allowOverlap="1">
                <wp:simplePos x="0" y="0"/>
                <wp:positionH relativeFrom="column">
                  <wp:posOffset>2127885</wp:posOffset>
                </wp:positionH>
                <wp:positionV relativeFrom="paragraph">
                  <wp:posOffset>4069080</wp:posOffset>
                </wp:positionV>
                <wp:extent cx="2152650" cy="314325"/>
                <wp:effectExtent l="0" t="0" r="0" b="0"/>
                <wp:wrapNone/>
                <wp:docPr id="61" name="文本框 61"/>
                <wp:cNvGraphicFramePr/>
                <a:graphic xmlns:a="http://schemas.openxmlformats.org/drawingml/2006/main">
                  <a:graphicData uri="http://schemas.microsoft.com/office/word/2010/wordprocessingShape">
                    <wps:wsp>
                      <wps:cNvSpPr txBox="1"/>
                      <wps:spPr>
                        <a:xfrm>
                          <a:off x="3032760" y="9721850"/>
                          <a:ext cx="2152650"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A61792">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color w:val="000000" w:themeColor="text1"/>
                                <w:lang w:val="en-US" w:eastAsia="zh-CN"/>
                                <w14:textFill>
                                  <w14:solidFill>
                                    <w14:schemeClr w14:val="tx1"/>
                                  </w14:solidFill>
                                </w14:textFill>
                              </w:rPr>
                            </w:pPr>
                            <w:r>
                              <w:rPr>
                                <w:rFonts w:hint="default" w:ascii="Times New Roman" w:hAnsi="Times New Roman" w:cs="Times New Roman"/>
                                <w:b/>
                                <w:bCs/>
                                <w:color w:val="000000" w:themeColor="text1"/>
                                <w:lang w:val="en-US" w:eastAsia="zh-CN"/>
                                <w14:textFill>
                                  <w14:solidFill>
                                    <w14:schemeClr w14:val="tx1"/>
                                  </w14:solidFill>
                                </w14:textFill>
                              </w:rPr>
                              <w:t>图4-</w:t>
                            </w:r>
                            <w:r>
                              <w:rPr>
                                <w:rFonts w:hint="eastAsia" w:ascii="Times New Roman" w:hAnsi="Times New Roman" w:cs="Times New Roman"/>
                                <w:b/>
                                <w:bCs/>
                                <w:color w:val="000000" w:themeColor="text1"/>
                                <w:lang w:val="en-US" w:eastAsia="zh-CN"/>
                                <w14:textFill>
                                  <w14:solidFill>
                                    <w14:schemeClr w14:val="tx1"/>
                                  </w14:solidFill>
                                </w14:textFill>
                              </w:rPr>
                              <w:t>2</w:t>
                            </w:r>
                            <w:r>
                              <w:rPr>
                                <w:rFonts w:hint="default" w:ascii="Times New Roman" w:hAnsi="Times New Roman" w:cs="Times New Roman"/>
                                <w:b/>
                                <w:bCs/>
                                <w:color w:val="000000" w:themeColor="text1"/>
                                <w:lang w:val="en-US" w:eastAsia="zh-CN"/>
                                <w14:textFill>
                                  <w14:solidFill>
                                    <w14:schemeClr w14:val="tx1"/>
                                  </w14:solidFill>
                                </w14:textFill>
                              </w:rPr>
                              <w:t xml:space="preserve"> </w:t>
                            </w:r>
                            <w:r>
                              <w:rPr>
                                <w:rFonts w:hint="eastAsia" w:ascii="Times New Roman" w:hAnsi="Times New Roman" w:cs="Times New Roman"/>
                                <w:b/>
                                <w:bCs/>
                                <w:color w:val="000000" w:themeColor="text1"/>
                                <w:lang w:val="en-US" w:eastAsia="zh-CN"/>
                                <w14:textFill>
                                  <w14:solidFill>
                                    <w14:schemeClr w14:val="tx1"/>
                                  </w14:solidFill>
                                </w14:textFill>
                              </w:rPr>
                              <w:t>其他</w:t>
                            </w:r>
                            <w:r>
                              <w:rPr>
                                <w:rFonts w:hint="default" w:ascii="Times New Roman" w:hAnsi="Times New Roman" w:cs="Times New Roman"/>
                                <w:b/>
                                <w:bCs/>
                                <w:color w:val="000000" w:themeColor="text1"/>
                                <w:lang w:val="en-US" w:eastAsia="zh-CN"/>
                                <w14:textFill>
                                  <w14:solidFill>
                                    <w14:schemeClr w14:val="tx1"/>
                                  </w14:solidFill>
                                </w14:textFill>
                              </w:rPr>
                              <w:t>污染物变化趋势图</w:t>
                            </w:r>
                          </w:p>
                          <w:p w14:paraId="1F47B6B3"/>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55pt;margin-top:320.4pt;height:24.75pt;width:169.5pt;z-index:251671552;mso-width-relative:page;mso-height-relative:page;" filled="f" stroked="f" coordsize="21600,21600" o:gfxdata="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3uEC9wAAAALAQAADwAAAAAAAAAB&#10;ACAAAAAiAAAAZHJzL2Rvd25yZXYueG1sUEsBAhQAFAAAAAgAh07iQPF91cBFAgAAdAQAAA4AAAAA&#10;AAAAAQAgAAAAKwEAAGRycy9lMm9Eb2MueG1sUEsFBgAAAAAGAAYAWQEAAOIFAAAAAA==&#10;">
                <v:fill on="f" focussize="0,0"/>
                <v:stroke on="f" weight="0.5pt"/>
                <v:imagedata o:title=""/>
                <o:lock v:ext="edit" aspectratio="f"/>
                <v:textbox>
                  <w:txbxContent>
                    <w:p w14:paraId="27A61792">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color w:val="000000" w:themeColor="text1"/>
                          <w:lang w:val="en-US" w:eastAsia="zh-CN"/>
                          <w14:textFill>
                            <w14:solidFill>
                              <w14:schemeClr w14:val="tx1"/>
                            </w14:solidFill>
                          </w14:textFill>
                        </w:rPr>
                      </w:pPr>
                      <w:r>
                        <w:rPr>
                          <w:rFonts w:hint="default" w:ascii="Times New Roman" w:hAnsi="Times New Roman" w:cs="Times New Roman"/>
                          <w:b/>
                          <w:bCs/>
                          <w:color w:val="000000" w:themeColor="text1"/>
                          <w:lang w:val="en-US" w:eastAsia="zh-CN"/>
                          <w14:textFill>
                            <w14:solidFill>
                              <w14:schemeClr w14:val="tx1"/>
                            </w14:solidFill>
                          </w14:textFill>
                        </w:rPr>
                        <w:t>图4-</w:t>
                      </w:r>
                      <w:r>
                        <w:rPr>
                          <w:rFonts w:hint="eastAsia" w:ascii="Times New Roman" w:hAnsi="Times New Roman" w:cs="Times New Roman"/>
                          <w:b/>
                          <w:bCs/>
                          <w:color w:val="000000" w:themeColor="text1"/>
                          <w:lang w:val="en-US" w:eastAsia="zh-CN"/>
                          <w14:textFill>
                            <w14:solidFill>
                              <w14:schemeClr w14:val="tx1"/>
                            </w14:solidFill>
                          </w14:textFill>
                        </w:rPr>
                        <w:t>2</w:t>
                      </w:r>
                      <w:r>
                        <w:rPr>
                          <w:rFonts w:hint="default" w:ascii="Times New Roman" w:hAnsi="Times New Roman" w:cs="Times New Roman"/>
                          <w:b/>
                          <w:bCs/>
                          <w:color w:val="000000" w:themeColor="text1"/>
                          <w:lang w:val="en-US" w:eastAsia="zh-CN"/>
                          <w14:textFill>
                            <w14:solidFill>
                              <w14:schemeClr w14:val="tx1"/>
                            </w14:solidFill>
                          </w14:textFill>
                        </w:rPr>
                        <w:t xml:space="preserve"> </w:t>
                      </w:r>
                      <w:r>
                        <w:rPr>
                          <w:rFonts w:hint="eastAsia" w:ascii="Times New Roman" w:hAnsi="Times New Roman" w:cs="Times New Roman"/>
                          <w:b/>
                          <w:bCs/>
                          <w:color w:val="000000" w:themeColor="text1"/>
                          <w:lang w:val="en-US" w:eastAsia="zh-CN"/>
                          <w14:textFill>
                            <w14:solidFill>
                              <w14:schemeClr w14:val="tx1"/>
                            </w14:solidFill>
                          </w14:textFill>
                        </w:rPr>
                        <w:t>其他</w:t>
                      </w:r>
                      <w:r>
                        <w:rPr>
                          <w:rFonts w:hint="default" w:ascii="Times New Roman" w:hAnsi="Times New Roman" w:cs="Times New Roman"/>
                          <w:b/>
                          <w:bCs/>
                          <w:color w:val="000000" w:themeColor="text1"/>
                          <w:lang w:val="en-US" w:eastAsia="zh-CN"/>
                          <w14:textFill>
                            <w14:solidFill>
                              <w14:schemeClr w14:val="tx1"/>
                            </w14:solidFill>
                          </w14:textFill>
                        </w:rPr>
                        <w:t>污染物变化趋势图</w:t>
                      </w:r>
                    </w:p>
                    <w:p w14:paraId="1F47B6B3"/>
                  </w:txbxContent>
                </v:textbox>
              </v:shape>
            </w:pict>
          </mc:Fallback>
        </mc:AlternateContent>
      </w:r>
    </w:p>
    <w:p w14:paraId="0DD73CAA">
      <w:pPr>
        <w:spacing w:line="360" w:lineRule="auto"/>
        <w:outlineLvl w:val="2"/>
        <w:rPr>
          <w:rFonts w:hint="eastAsia"/>
          <w:b/>
          <w:bCs/>
          <w:color w:val="auto"/>
          <w:sz w:val="24"/>
        </w:rPr>
      </w:pPr>
      <w:r>
        <w:rPr>
          <w:rFonts w:hint="eastAsia"/>
          <w:b/>
          <w:bCs/>
          <w:color w:val="auto"/>
          <w:sz w:val="24"/>
        </w:rPr>
        <w:t>4.4.</w:t>
      </w:r>
      <w:r>
        <w:rPr>
          <w:rFonts w:hint="eastAsia"/>
          <w:b/>
          <w:bCs/>
          <w:color w:val="auto"/>
          <w:sz w:val="24"/>
          <w:lang w:val="en-US" w:eastAsia="zh-CN"/>
        </w:rPr>
        <w:t>2地下水</w:t>
      </w:r>
      <w:r>
        <w:rPr>
          <w:rFonts w:hint="eastAsia"/>
          <w:b/>
          <w:bCs/>
          <w:color w:val="auto"/>
          <w:sz w:val="24"/>
        </w:rPr>
        <w:t>环境质量现状</w:t>
      </w:r>
      <w:r>
        <w:rPr>
          <w:rFonts w:hint="eastAsia"/>
          <w:b/>
          <w:bCs/>
          <w:color w:val="auto"/>
          <w:sz w:val="24"/>
          <w:lang w:val="en-US" w:eastAsia="zh-CN"/>
        </w:rPr>
        <w:t>变化</w:t>
      </w:r>
    </w:p>
    <w:p w14:paraId="3331DF54">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lang w:val="en-US" w:eastAsia="zh-CN"/>
        </w:rPr>
      </w:pPr>
      <w:r>
        <w:rPr>
          <w:rFonts w:hint="default" w:ascii="Times New Roman" w:hAnsi="Times New Roman" w:cs="Times New Roman"/>
          <w:b w:val="0"/>
          <w:bCs w:val="0"/>
          <w:color w:val="auto"/>
          <w:sz w:val="24"/>
          <w:lang w:val="en-US" w:eastAsia="zh-CN"/>
        </w:rPr>
        <w:t>本次地下水环境质量现状评价选取两期监测数据进行对比。历史数据引</w:t>
      </w:r>
      <w:r>
        <w:rPr>
          <w:rFonts w:hint="eastAsia" w:ascii="Times New Roman" w:hAnsi="Times New Roman" w:cs="Times New Roman"/>
          <w:b w:val="0"/>
          <w:bCs w:val="0"/>
          <w:color w:val="auto"/>
          <w:sz w:val="24"/>
          <w:lang w:val="en-US" w:eastAsia="zh-CN"/>
        </w:rPr>
        <w:t>用环评阶段监测数据，</w:t>
      </w:r>
      <w:r>
        <w:rPr>
          <w:rFonts w:hint="default" w:ascii="Times New Roman" w:hAnsi="Times New Roman" w:cs="Times New Roman"/>
          <w:b w:val="0"/>
          <w:bCs w:val="0"/>
          <w:color w:val="auto"/>
          <w:sz w:val="24"/>
          <w:lang w:val="en-US" w:eastAsia="zh-CN"/>
        </w:rPr>
        <w:t>近期数据引用《安徽濉溪经济开发区总体发展规划（2023～2035）环境影响报告书》中“区内香樟路空地”等监测点位数据，监测时间为2023年7月12日。两期数据监测结果见下表：</w:t>
      </w:r>
    </w:p>
    <w:p w14:paraId="0EEE08C3">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b/>
          <w:bCs/>
          <w:color w:val="auto"/>
          <w:lang w:val="en-US" w:eastAsia="zh-CN"/>
        </w:rPr>
      </w:pPr>
      <w:r>
        <w:rPr>
          <w:rFonts w:hint="eastAsia" w:ascii="Times New Roman" w:hAnsi="Times New Roman" w:cs="Times New Roman"/>
          <w:b/>
          <w:bCs/>
          <w:color w:val="auto"/>
          <w:sz w:val="24"/>
          <w:lang w:val="en-US" w:eastAsia="zh-CN"/>
        </w:rPr>
        <w:t>表4-18 环评阶段与近期地下水环境质量现状监测结果对比一览表</w:t>
      </w:r>
    </w:p>
    <w:tbl>
      <w:tblPr>
        <w:tblStyle w:val="31"/>
        <w:tblW w:w="496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Layout w:type="autofit"/>
        <w:tblCellMar>
          <w:top w:w="0" w:type="dxa"/>
          <w:left w:w="108" w:type="dxa"/>
          <w:bottom w:w="0" w:type="dxa"/>
          <w:right w:w="108" w:type="dxa"/>
        </w:tblCellMar>
      </w:tblPr>
      <w:tblGrid>
        <w:gridCol w:w="1663"/>
        <w:gridCol w:w="1208"/>
        <w:gridCol w:w="1521"/>
        <w:gridCol w:w="1382"/>
        <w:gridCol w:w="1362"/>
        <w:gridCol w:w="1366"/>
        <w:gridCol w:w="1394"/>
      </w:tblGrid>
      <w:tr w14:paraId="52B954C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840" w:type="pct"/>
            <w:vMerge w:val="restart"/>
            <w:tcBorders>
              <w:tl2br w:val="nil"/>
              <w:tr2bl w:val="nil"/>
            </w:tcBorders>
            <w:shd w:val="clear" w:color="auto" w:fill="auto"/>
            <w:vAlign w:val="center"/>
          </w:tcPr>
          <w:p w14:paraId="6B5CBA9F">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项目</w:t>
            </w:r>
          </w:p>
        </w:tc>
        <w:tc>
          <w:tcPr>
            <w:tcW w:w="2076" w:type="pct"/>
            <w:gridSpan w:val="3"/>
            <w:tcBorders>
              <w:tl2br w:val="nil"/>
              <w:tr2bl w:val="nil"/>
            </w:tcBorders>
            <w:shd w:val="clear" w:color="auto" w:fill="auto"/>
            <w:vAlign w:val="center"/>
          </w:tcPr>
          <w:p w14:paraId="08B21499">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cs="Times New Roman"/>
                <w:b/>
                <w:bCs/>
                <w:color w:val="auto"/>
                <w:sz w:val="24"/>
                <w:szCs w:val="32"/>
                <w:lang w:val="en-US" w:eastAsia="zh-CN"/>
              </w:rPr>
              <w:t>环评</w:t>
            </w:r>
            <w:r>
              <w:rPr>
                <w:rFonts w:hint="eastAsia" w:ascii="Times New Roman" w:hAnsi="Times New Roman" w:cs="Times New Roman"/>
                <w:b/>
                <w:bCs/>
                <w:color w:val="auto"/>
                <w:sz w:val="24"/>
                <w:szCs w:val="32"/>
                <w:lang w:val="en-US" w:eastAsia="zh-CN"/>
              </w:rPr>
              <w:t>阶段监测数据</w:t>
            </w:r>
          </w:p>
        </w:tc>
        <w:tc>
          <w:tcPr>
            <w:tcW w:w="2082" w:type="pct"/>
            <w:gridSpan w:val="3"/>
            <w:tcBorders>
              <w:tl2br w:val="nil"/>
              <w:tr2bl w:val="nil"/>
            </w:tcBorders>
            <w:shd w:val="clear" w:color="auto" w:fill="auto"/>
            <w:vAlign w:val="center"/>
          </w:tcPr>
          <w:p w14:paraId="1E42B257">
            <w:pPr>
              <w:keepNext w:val="0"/>
              <w:keepLines w:val="0"/>
              <w:widowControl/>
              <w:suppressLineNumbers w:val="0"/>
              <w:jc w:val="center"/>
              <w:textAlignment w:val="top"/>
              <w:rPr>
                <w:rFonts w:hint="default" w:ascii="Times New Roman" w:hAnsi="Times New Roman" w:eastAsia="宋体" w:cs="Times New Roman"/>
                <w:b/>
                <w:bCs/>
                <w:i w:val="0"/>
                <w:iCs w:val="0"/>
                <w:color w:val="auto"/>
                <w:kern w:val="0"/>
                <w:sz w:val="21"/>
                <w:szCs w:val="21"/>
                <w:u w:val="none"/>
                <w:lang w:val="en-US" w:eastAsia="zh-CN" w:bidi="ar"/>
              </w:rPr>
            </w:pPr>
            <w:r>
              <w:rPr>
                <w:rFonts w:hint="eastAsia" w:ascii="Times New Roman" w:hAnsi="Times New Roman" w:cs="Times New Roman"/>
                <w:b/>
                <w:bCs/>
                <w:color w:val="auto"/>
                <w:sz w:val="24"/>
                <w:szCs w:val="32"/>
                <w:lang w:val="en-US" w:eastAsia="zh-CN"/>
              </w:rPr>
              <w:t>近期监测数据</w:t>
            </w:r>
          </w:p>
        </w:tc>
      </w:tr>
      <w:tr w14:paraId="3D49256D">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vMerge w:val="continue"/>
            <w:tcBorders>
              <w:tl2br w:val="nil"/>
              <w:tr2bl w:val="nil"/>
            </w:tcBorders>
            <w:shd w:val="clear" w:color="auto" w:fill="auto"/>
            <w:vAlign w:val="center"/>
          </w:tcPr>
          <w:p w14:paraId="55DFD89B">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p>
        </w:tc>
        <w:tc>
          <w:tcPr>
            <w:tcW w:w="610" w:type="pct"/>
            <w:tcBorders>
              <w:tl2br w:val="nil"/>
              <w:tr2bl w:val="nil"/>
            </w:tcBorders>
            <w:shd w:val="clear" w:color="auto" w:fill="auto"/>
            <w:vAlign w:val="center"/>
          </w:tcPr>
          <w:p w14:paraId="6AEC1101">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eastAsia="zh-CN"/>
              </w:rPr>
            </w:pPr>
            <w:r>
              <w:rPr>
                <w:rFonts w:hint="eastAsia" w:cs="Times New Roman"/>
                <w:b/>
                <w:bCs/>
                <w:i w:val="0"/>
                <w:iCs w:val="0"/>
                <w:color w:val="auto"/>
                <w:sz w:val="21"/>
                <w:szCs w:val="21"/>
                <w:u w:val="none"/>
                <w:lang w:val="en-US" w:eastAsia="zh-CN"/>
              </w:rPr>
              <w:t>监测点位</w:t>
            </w:r>
          </w:p>
        </w:tc>
        <w:tc>
          <w:tcPr>
            <w:tcW w:w="768" w:type="pct"/>
            <w:tcBorders>
              <w:tl2br w:val="nil"/>
              <w:tr2bl w:val="nil"/>
            </w:tcBorders>
            <w:shd w:val="clear" w:color="auto" w:fill="auto"/>
            <w:vAlign w:val="center"/>
          </w:tcPr>
          <w:p w14:paraId="6E836709">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rPr>
            </w:pPr>
            <w:r>
              <w:rPr>
                <w:rFonts w:hint="eastAsia" w:cs="Times New Roman"/>
                <w:b/>
                <w:bCs/>
                <w:i w:val="0"/>
                <w:iCs w:val="0"/>
                <w:color w:val="auto"/>
                <w:kern w:val="0"/>
                <w:sz w:val="21"/>
                <w:szCs w:val="21"/>
                <w:u w:val="none"/>
                <w:lang w:val="en-US" w:eastAsia="zh-CN" w:bidi="ar"/>
              </w:rPr>
              <w:t>监测时间</w:t>
            </w:r>
          </w:p>
        </w:tc>
        <w:tc>
          <w:tcPr>
            <w:tcW w:w="698" w:type="pct"/>
            <w:tcBorders>
              <w:tl2br w:val="nil"/>
              <w:tr2bl w:val="nil"/>
            </w:tcBorders>
            <w:shd w:val="clear" w:color="auto" w:fill="auto"/>
            <w:vAlign w:val="center"/>
          </w:tcPr>
          <w:p w14:paraId="7BCEC61D">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688" w:type="pct"/>
            <w:tcBorders>
              <w:tl2br w:val="nil"/>
              <w:tr2bl w:val="nil"/>
            </w:tcBorders>
            <w:shd w:val="clear" w:color="auto" w:fill="auto"/>
            <w:vAlign w:val="center"/>
          </w:tcPr>
          <w:p w14:paraId="43992B60">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eastAsia" w:cs="Times New Roman"/>
                <w:b/>
                <w:bCs/>
                <w:i w:val="0"/>
                <w:iCs w:val="0"/>
                <w:color w:val="auto"/>
                <w:sz w:val="21"/>
                <w:szCs w:val="21"/>
                <w:u w:val="none"/>
                <w:lang w:val="en-US" w:eastAsia="zh-CN"/>
              </w:rPr>
              <w:t>监测点位</w:t>
            </w:r>
          </w:p>
        </w:tc>
        <w:tc>
          <w:tcPr>
            <w:tcW w:w="690" w:type="pct"/>
            <w:tcBorders>
              <w:tl2br w:val="nil"/>
              <w:tr2bl w:val="nil"/>
            </w:tcBorders>
            <w:shd w:val="clear" w:color="auto" w:fill="auto"/>
            <w:vAlign w:val="center"/>
          </w:tcPr>
          <w:p w14:paraId="75927C16">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eastAsia" w:cs="Times New Roman"/>
                <w:b/>
                <w:bCs/>
                <w:i w:val="0"/>
                <w:iCs w:val="0"/>
                <w:color w:val="auto"/>
                <w:kern w:val="0"/>
                <w:sz w:val="21"/>
                <w:szCs w:val="21"/>
                <w:u w:val="none"/>
                <w:lang w:val="en-US" w:eastAsia="zh-CN" w:bidi="ar"/>
              </w:rPr>
              <w:t>监测时间</w:t>
            </w:r>
          </w:p>
        </w:tc>
        <w:tc>
          <w:tcPr>
            <w:tcW w:w="704" w:type="pct"/>
            <w:tcBorders>
              <w:tl2br w:val="nil"/>
              <w:tr2bl w:val="nil"/>
            </w:tcBorders>
            <w:shd w:val="clear" w:color="auto" w:fill="auto"/>
            <w:vAlign w:val="center"/>
          </w:tcPr>
          <w:p w14:paraId="60BF2B44">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sz w:val="21"/>
                <w:szCs w:val="21"/>
                <w:u w:val="none"/>
                <w:lang w:val="en-US" w:eastAsia="zh-CN"/>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r>
      <w:tr w14:paraId="696052B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4458360">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pH</w:t>
            </w:r>
          </w:p>
        </w:tc>
        <w:tc>
          <w:tcPr>
            <w:tcW w:w="610" w:type="pct"/>
            <w:vMerge w:val="restart"/>
            <w:tcBorders>
              <w:tl2br w:val="nil"/>
              <w:tr2bl w:val="nil"/>
            </w:tcBorders>
            <w:shd w:val="clear" w:color="auto" w:fill="auto"/>
            <w:vAlign w:val="center"/>
          </w:tcPr>
          <w:p w14:paraId="1E1B8B8D">
            <w:pPr>
              <w:spacing w:before="31" w:beforeLines="10" w:line="264" w:lineRule="auto"/>
              <w:jc w:val="center"/>
              <w:rPr>
                <w:color w:val="auto"/>
                <w:szCs w:val="21"/>
              </w:rPr>
            </w:pPr>
            <w:r>
              <w:rPr>
                <w:color w:val="auto"/>
                <w:szCs w:val="21"/>
              </w:rPr>
              <w:t>开发区</w:t>
            </w:r>
          </w:p>
          <w:p w14:paraId="7718E7E1">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r>
              <w:rPr>
                <w:color w:val="auto"/>
                <w:szCs w:val="21"/>
              </w:rPr>
              <w:t>管委会</w:t>
            </w:r>
          </w:p>
        </w:tc>
        <w:tc>
          <w:tcPr>
            <w:tcW w:w="768" w:type="pct"/>
            <w:vMerge w:val="restart"/>
            <w:tcBorders>
              <w:tl2br w:val="nil"/>
              <w:tr2bl w:val="nil"/>
            </w:tcBorders>
            <w:shd w:val="clear" w:color="auto" w:fill="auto"/>
            <w:vAlign w:val="center"/>
          </w:tcPr>
          <w:p w14:paraId="4716AC31">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r>
              <w:rPr>
                <w:rFonts w:hint="eastAsia" w:cs="Times New Roman"/>
                <w:b w:val="0"/>
                <w:bCs w:val="0"/>
                <w:i w:val="0"/>
                <w:iCs w:val="0"/>
                <w:color w:val="auto"/>
                <w:kern w:val="0"/>
                <w:sz w:val="21"/>
                <w:szCs w:val="21"/>
                <w:u w:val="none"/>
                <w:lang w:val="en-US" w:eastAsia="zh-CN" w:bidi="ar"/>
              </w:rPr>
              <w:t>2014年7月7日</w:t>
            </w:r>
          </w:p>
        </w:tc>
        <w:tc>
          <w:tcPr>
            <w:tcW w:w="698" w:type="pct"/>
            <w:tcBorders>
              <w:tl2br w:val="nil"/>
              <w:tr2bl w:val="nil"/>
            </w:tcBorders>
            <w:shd w:val="clear" w:color="auto" w:fill="auto"/>
            <w:vAlign w:val="center"/>
          </w:tcPr>
          <w:p w14:paraId="0EDF3EF9">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7.12</w:t>
            </w:r>
          </w:p>
        </w:tc>
        <w:tc>
          <w:tcPr>
            <w:tcW w:w="688" w:type="pct"/>
            <w:vMerge w:val="restart"/>
            <w:tcBorders>
              <w:tl2br w:val="nil"/>
              <w:tr2bl w:val="nil"/>
            </w:tcBorders>
            <w:shd w:val="clear" w:color="auto" w:fill="auto"/>
            <w:vAlign w:val="center"/>
          </w:tcPr>
          <w:p w14:paraId="68E0871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r>
              <w:rPr>
                <w:rFonts w:hint="eastAsia" w:cs="Times New Roman"/>
                <w:b w:val="0"/>
                <w:bCs w:val="0"/>
                <w:i w:val="0"/>
                <w:iCs w:val="0"/>
                <w:color w:val="auto"/>
                <w:sz w:val="21"/>
                <w:szCs w:val="21"/>
                <w:u w:val="none"/>
                <w:lang w:val="en-US" w:eastAsia="zh-CN"/>
              </w:rPr>
              <w:t>区内香樟路空地</w:t>
            </w:r>
          </w:p>
        </w:tc>
        <w:tc>
          <w:tcPr>
            <w:tcW w:w="690" w:type="pct"/>
            <w:vMerge w:val="restart"/>
            <w:tcBorders>
              <w:tl2br w:val="nil"/>
              <w:tr2bl w:val="nil"/>
            </w:tcBorders>
            <w:shd w:val="clear" w:color="auto" w:fill="auto"/>
            <w:vAlign w:val="center"/>
          </w:tcPr>
          <w:p w14:paraId="577D927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r>
              <w:rPr>
                <w:rFonts w:hint="eastAsia" w:cs="Times New Roman"/>
                <w:b w:val="0"/>
                <w:bCs w:val="0"/>
                <w:i w:val="0"/>
                <w:iCs w:val="0"/>
                <w:color w:val="auto"/>
                <w:kern w:val="0"/>
                <w:sz w:val="21"/>
                <w:szCs w:val="21"/>
                <w:u w:val="none"/>
                <w:lang w:val="en-US" w:eastAsia="zh-CN" w:bidi="ar"/>
              </w:rPr>
              <w:t>2023年7月12日</w:t>
            </w:r>
          </w:p>
        </w:tc>
        <w:tc>
          <w:tcPr>
            <w:tcW w:w="704" w:type="pct"/>
            <w:tcBorders>
              <w:tl2br w:val="nil"/>
              <w:tr2bl w:val="nil"/>
            </w:tcBorders>
            <w:shd w:val="clear" w:color="auto" w:fill="auto"/>
            <w:vAlign w:val="center"/>
          </w:tcPr>
          <w:p w14:paraId="47300210">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7.4</w:t>
            </w:r>
          </w:p>
        </w:tc>
      </w:tr>
      <w:tr w14:paraId="1273940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491FD76">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氟化物</w:t>
            </w:r>
          </w:p>
        </w:tc>
        <w:tc>
          <w:tcPr>
            <w:tcW w:w="610" w:type="pct"/>
            <w:vMerge w:val="continue"/>
            <w:tcBorders>
              <w:tl2br w:val="nil"/>
              <w:tr2bl w:val="nil"/>
            </w:tcBorders>
            <w:shd w:val="clear" w:color="auto" w:fill="auto"/>
            <w:vAlign w:val="center"/>
          </w:tcPr>
          <w:p w14:paraId="3CFF979A">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25BE74F6">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44B472F">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0.36</w:t>
            </w:r>
          </w:p>
        </w:tc>
        <w:tc>
          <w:tcPr>
            <w:tcW w:w="688" w:type="pct"/>
            <w:vMerge w:val="continue"/>
            <w:tcBorders>
              <w:tl2br w:val="nil"/>
              <w:tr2bl w:val="nil"/>
            </w:tcBorders>
            <w:shd w:val="clear" w:color="auto" w:fill="auto"/>
            <w:vAlign w:val="center"/>
          </w:tcPr>
          <w:p w14:paraId="029EF208">
            <w:pPr>
              <w:keepNext w:val="0"/>
              <w:keepLines w:val="0"/>
              <w:widowControl/>
              <w:suppressLineNumbers w:val="0"/>
              <w:jc w:val="center"/>
              <w:textAlignment w:val="center"/>
              <w:rPr>
                <w:rFonts w:hint="eastAsia" w:cs="Times New Roman"/>
                <w:b w:val="0"/>
                <w:bCs w:val="0"/>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50EA6499">
            <w:pPr>
              <w:keepNext w:val="0"/>
              <w:keepLines w:val="0"/>
              <w:widowControl/>
              <w:suppressLineNumbers w:val="0"/>
              <w:jc w:val="center"/>
              <w:textAlignment w:val="center"/>
              <w:rPr>
                <w:rFonts w:hint="eastAsia" w:cs="Times New Roman"/>
                <w:b w:val="0"/>
                <w:bCs w:val="0"/>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044A0165">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0.969</w:t>
            </w:r>
          </w:p>
        </w:tc>
      </w:tr>
      <w:tr w14:paraId="1A6FAC8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1919E09D">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氯化物</w:t>
            </w:r>
          </w:p>
        </w:tc>
        <w:tc>
          <w:tcPr>
            <w:tcW w:w="610" w:type="pct"/>
            <w:vMerge w:val="continue"/>
            <w:tcBorders>
              <w:tl2br w:val="nil"/>
              <w:tr2bl w:val="nil"/>
            </w:tcBorders>
            <w:shd w:val="clear" w:color="auto" w:fill="auto"/>
            <w:vAlign w:val="center"/>
          </w:tcPr>
          <w:p w14:paraId="2313A5C4">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66B182C2">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3AE0282B">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63</w:t>
            </w:r>
          </w:p>
        </w:tc>
        <w:tc>
          <w:tcPr>
            <w:tcW w:w="688" w:type="pct"/>
            <w:vMerge w:val="continue"/>
            <w:tcBorders>
              <w:tl2br w:val="nil"/>
              <w:tr2bl w:val="nil"/>
            </w:tcBorders>
            <w:shd w:val="clear" w:color="auto" w:fill="auto"/>
            <w:vAlign w:val="center"/>
          </w:tcPr>
          <w:p w14:paraId="7762DF0D">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3EBBBF7E">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46CA7C97">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55.4</w:t>
            </w:r>
          </w:p>
        </w:tc>
      </w:tr>
      <w:tr w14:paraId="1AA9A6D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47FE46E">
            <w:pPr>
              <w:spacing w:before="31" w:beforeLines="10" w:line="264" w:lineRule="auto"/>
              <w:jc w:val="center"/>
              <w:rPr>
                <w:rFonts w:hint="eastAsia" w:ascii="Times New Roman" w:hAnsi="Times New Roman" w:eastAsia="宋体" w:cs="Times New Roman"/>
                <w:b w:val="0"/>
                <w:bCs/>
                <w:i w:val="0"/>
                <w:iCs w:val="0"/>
                <w:color w:val="auto"/>
                <w:sz w:val="21"/>
                <w:szCs w:val="21"/>
                <w:u w:val="none"/>
                <w:lang w:eastAsia="zh-CN"/>
              </w:rPr>
            </w:pPr>
            <w:r>
              <w:rPr>
                <w:rFonts w:hint="eastAsia" w:eastAsia="宋体"/>
                <w:b w:val="0"/>
                <w:bCs/>
                <w:color w:val="auto"/>
                <w:szCs w:val="21"/>
                <w:lang w:val="en-US" w:eastAsia="zh-CN"/>
              </w:rPr>
              <w:t>耗氧量</w:t>
            </w:r>
          </w:p>
        </w:tc>
        <w:tc>
          <w:tcPr>
            <w:tcW w:w="610" w:type="pct"/>
            <w:vMerge w:val="continue"/>
            <w:tcBorders>
              <w:tl2br w:val="nil"/>
              <w:tr2bl w:val="nil"/>
            </w:tcBorders>
            <w:shd w:val="clear" w:color="auto" w:fill="auto"/>
            <w:vAlign w:val="center"/>
          </w:tcPr>
          <w:p w14:paraId="74E7D3FA">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6E98D435">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B0F90EC">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0.83</w:t>
            </w:r>
          </w:p>
        </w:tc>
        <w:tc>
          <w:tcPr>
            <w:tcW w:w="688" w:type="pct"/>
            <w:vMerge w:val="continue"/>
            <w:tcBorders>
              <w:tl2br w:val="nil"/>
              <w:tr2bl w:val="nil"/>
            </w:tcBorders>
            <w:shd w:val="clear" w:color="auto" w:fill="auto"/>
            <w:vAlign w:val="center"/>
          </w:tcPr>
          <w:p w14:paraId="6C6492DD">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20B0C5BF">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036C8092">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2.8</w:t>
            </w:r>
          </w:p>
        </w:tc>
      </w:tr>
      <w:tr w14:paraId="0B567EAF">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419CE3C5">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总硬度</w:t>
            </w:r>
          </w:p>
        </w:tc>
        <w:tc>
          <w:tcPr>
            <w:tcW w:w="610" w:type="pct"/>
            <w:vMerge w:val="continue"/>
            <w:tcBorders>
              <w:tl2br w:val="nil"/>
              <w:tr2bl w:val="nil"/>
            </w:tcBorders>
            <w:shd w:val="clear" w:color="auto" w:fill="auto"/>
            <w:vAlign w:val="center"/>
          </w:tcPr>
          <w:p w14:paraId="03F622D4">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641BFB1A">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C2D34E3">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257</w:t>
            </w:r>
          </w:p>
        </w:tc>
        <w:tc>
          <w:tcPr>
            <w:tcW w:w="688" w:type="pct"/>
            <w:vMerge w:val="continue"/>
            <w:tcBorders>
              <w:tl2br w:val="nil"/>
              <w:tr2bl w:val="nil"/>
            </w:tcBorders>
            <w:shd w:val="clear" w:color="auto" w:fill="auto"/>
            <w:vAlign w:val="center"/>
          </w:tcPr>
          <w:p w14:paraId="616E8DD3">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31BD0A22">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0EE5EF36">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258</w:t>
            </w:r>
          </w:p>
        </w:tc>
      </w:tr>
      <w:tr w14:paraId="35A5F65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54D201F">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溶解性总固体</w:t>
            </w:r>
          </w:p>
        </w:tc>
        <w:tc>
          <w:tcPr>
            <w:tcW w:w="610" w:type="pct"/>
            <w:vMerge w:val="continue"/>
            <w:tcBorders>
              <w:tl2br w:val="nil"/>
              <w:tr2bl w:val="nil"/>
            </w:tcBorders>
            <w:shd w:val="clear" w:color="auto" w:fill="auto"/>
            <w:vAlign w:val="center"/>
          </w:tcPr>
          <w:p w14:paraId="7D262CC1">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43612A47">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F3AACFB">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689</w:t>
            </w:r>
          </w:p>
        </w:tc>
        <w:tc>
          <w:tcPr>
            <w:tcW w:w="688" w:type="pct"/>
            <w:vMerge w:val="continue"/>
            <w:tcBorders>
              <w:tl2br w:val="nil"/>
              <w:tr2bl w:val="nil"/>
            </w:tcBorders>
            <w:shd w:val="clear" w:color="auto" w:fill="auto"/>
            <w:vAlign w:val="center"/>
          </w:tcPr>
          <w:p w14:paraId="0135AA7E">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7DA7AA23">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6E914ED1">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424</w:t>
            </w:r>
          </w:p>
        </w:tc>
      </w:tr>
      <w:tr w14:paraId="488AD131">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5F39B7E3">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铅</w:t>
            </w:r>
          </w:p>
        </w:tc>
        <w:tc>
          <w:tcPr>
            <w:tcW w:w="610" w:type="pct"/>
            <w:vMerge w:val="continue"/>
            <w:tcBorders>
              <w:tl2br w:val="nil"/>
              <w:tr2bl w:val="nil"/>
            </w:tcBorders>
            <w:shd w:val="clear" w:color="auto" w:fill="auto"/>
            <w:vAlign w:val="center"/>
          </w:tcPr>
          <w:p w14:paraId="3E74956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3BF33AF7">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7B2E41FE">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6A87D7B3">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18FBBB0A">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584D8D19">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color w:val="auto"/>
                <w:sz w:val="21"/>
                <w:szCs w:val="21"/>
                <w:lang w:val="en-US" w:eastAsia="zh-CN"/>
              </w:rPr>
              <w:t>0.00873</w:t>
            </w:r>
          </w:p>
        </w:tc>
      </w:tr>
      <w:tr w14:paraId="348F9BA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25961EE3">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铬</w:t>
            </w:r>
          </w:p>
        </w:tc>
        <w:tc>
          <w:tcPr>
            <w:tcW w:w="610" w:type="pct"/>
            <w:vMerge w:val="continue"/>
            <w:tcBorders>
              <w:tl2br w:val="nil"/>
              <w:tr2bl w:val="nil"/>
            </w:tcBorders>
            <w:shd w:val="clear" w:color="auto" w:fill="auto"/>
            <w:vAlign w:val="center"/>
          </w:tcPr>
          <w:p w14:paraId="26AFC50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016AF5EA">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096C6A6E">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01C9E52D">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40301634">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7D2C2B4F">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r>
      <w:tr w14:paraId="5856C148">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486D4F92">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砷</w:t>
            </w:r>
          </w:p>
        </w:tc>
        <w:tc>
          <w:tcPr>
            <w:tcW w:w="610" w:type="pct"/>
            <w:vMerge w:val="continue"/>
            <w:tcBorders>
              <w:tl2br w:val="nil"/>
              <w:tr2bl w:val="nil"/>
            </w:tcBorders>
            <w:shd w:val="clear" w:color="auto" w:fill="auto"/>
            <w:vAlign w:val="center"/>
          </w:tcPr>
          <w:p w14:paraId="315087D9">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42F6EA3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67039E5D">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4A48D332">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7B14504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53FEFD59">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color w:val="auto"/>
                <w:sz w:val="21"/>
                <w:szCs w:val="21"/>
                <w:lang w:val="en-US" w:eastAsia="zh-CN"/>
              </w:rPr>
              <w:t>0.000333</w:t>
            </w:r>
          </w:p>
        </w:tc>
      </w:tr>
      <w:tr w14:paraId="7FDF9F6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2437917B">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汞</w:t>
            </w:r>
          </w:p>
        </w:tc>
        <w:tc>
          <w:tcPr>
            <w:tcW w:w="610" w:type="pct"/>
            <w:vMerge w:val="continue"/>
            <w:tcBorders>
              <w:tl2br w:val="nil"/>
              <w:tr2bl w:val="nil"/>
            </w:tcBorders>
            <w:shd w:val="clear" w:color="auto" w:fill="auto"/>
            <w:vAlign w:val="center"/>
          </w:tcPr>
          <w:p w14:paraId="1B299DE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1D5D081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6C72D620">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054B2260">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314AD0D6">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32E25DDB">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r>
    </w:tbl>
    <w:p w14:paraId="3675CD64">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20" w:firstLineChars="200"/>
        <w:jc w:val="both"/>
        <w:textAlignment w:val="auto"/>
        <w:rPr>
          <w:rFonts w:hint="default" w:ascii="Times New Roman" w:hAnsi="Times New Roman" w:cs="Times New Roman"/>
          <w:b w:val="0"/>
          <w:bCs w:val="0"/>
          <w:color w:val="auto"/>
          <w:lang w:val="en-US" w:eastAsia="zh-CN"/>
        </w:rPr>
      </w:pPr>
      <w:r>
        <w:rPr>
          <w:rFonts w:hint="eastAsia" w:ascii="Times New Roman" w:hAnsi="Times New Roman" w:cs="Times New Roman"/>
          <w:b w:val="0"/>
          <w:bCs w:val="0"/>
          <w:color w:val="auto"/>
          <w:sz w:val="21"/>
          <w:szCs w:val="21"/>
          <w:lang w:val="en-US" w:eastAsia="zh-CN"/>
        </w:rPr>
        <w:t>注：ND表示未检出。</w:t>
      </w:r>
    </w:p>
    <w:p w14:paraId="0EAE35C5">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2"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b/>
          <w:bCs/>
          <w:color w:val="auto"/>
          <w:lang w:val="en-US" w:eastAsia="zh-CN"/>
        </w:rPr>
        <w:t>变化趋势分析：</w:t>
      </w:r>
      <w:r>
        <w:rPr>
          <w:rFonts w:hint="default" w:ascii="Times New Roman" w:hAnsi="Times New Roman" w:cs="Times New Roman"/>
          <w:color w:val="auto"/>
          <w:lang w:val="en-US" w:eastAsia="zh-CN"/>
        </w:rPr>
        <w:t>与环评期对比，区域地下水环境质量总体稳定。虽然</w:t>
      </w:r>
      <w:r>
        <w:rPr>
          <w:rFonts w:hint="eastAsia" w:ascii="Times New Roman" w:hAnsi="Times New Roman" w:cs="Times New Roman"/>
          <w:color w:val="auto"/>
          <w:lang w:val="en-US" w:eastAsia="zh-CN"/>
        </w:rPr>
        <w:t>氟</w:t>
      </w:r>
      <w:r>
        <w:rPr>
          <w:rFonts w:hint="default" w:ascii="Times New Roman" w:hAnsi="Times New Roman" w:cs="Times New Roman"/>
          <w:color w:val="auto"/>
          <w:lang w:val="en-US" w:eastAsia="zh-CN"/>
        </w:rPr>
        <w:t>化物</w:t>
      </w:r>
      <w:r>
        <w:rPr>
          <w:rFonts w:hint="eastAsia" w:ascii="Times New Roman" w:hAnsi="Times New Roman" w:cs="Times New Roman"/>
          <w:color w:val="auto"/>
          <w:lang w:val="en-US" w:eastAsia="zh-CN"/>
        </w:rPr>
        <w:t>、耗氧量</w:t>
      </w:r>
      <w:r>
        <w:rPr>
          <w:rFonts w:hint="default" w:ascii="Times New Roman" w:hAnsi="Times New Roman" w:cs="Times New Roman"/>
          <w:color w:val="auto"/>
          <w:lang w:val="en-US" w:eastAsia="zh-CN"/>
        </w:rPr>
        <w:t>等个别指标浓度有所上升，但关键指标如总硬度、溶解性总固体显著改善，以及特征污染物未检出</w:t>
      </w:r>
      <w:r>
        <w:rPr>
          <w:rFonts w:hint="eastAsia" w:ascii="Times New Roman" w:hAnsi="Times New Roman" w:cs="Times New Roman"/>
          <w:color w:val="auto"/>
          <w:lang w:val="en-US" w:eastAsia="zh-CN"/>
        </w:rPr>
        <w:t>，各项指标均能满足</w:t>
      </w:r>
      <w:r>
        <w:rPr>
          <w:rFonts w:hint="default" w:ascii="Times New Roman" w:hAnsi="Times New Roman" w:cs="Times New Roman"/>
          <w:color w:val="auto"/>
          <w:lang w:val="en-US" w:eastAsia="zh-CN"/>
        </w:rPr>
        <w:t>《地下水质量标准》（GB/T14848-2017）中Ⅲ类标准要求。</w:t>
      </w:r>
    </w:p>
    <w:p w14:paraId="16C1C86B">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eastAsia="宋体" w:cs="Times New Roman"/>
          <w:b w:val="0"/>
          <w:bCs w:val="0"/>
          <w:color w:val="auto"/>
          <w:lang w:val="en-US" w:eastAsia="zh-CN"/>
        </w:rPr>
      </w:pPr>
    </w:p>
    <w:p w14:paraId="22F139A3">
      <w:pPr>
        <w:spacing w:line="360" w:lineRule="auto"/>
        <w:jc w:val="center"/>
        <w:outlineLvl w:val="0"/>
        <w:rPr>
          <w:b/>
          <w:bCs/>
          <w:color w:val="auto"/>
          <w:sz w:val="32"/>
          <w:szCs w:val="40"/>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1F0FA94F">
      <w:pPr>
        <w:spacing w:line="360" w:lineRule="auto"/>
        <w:jc w:val="center"/>
        <w:outlineLvl w:val="0"/>
        <w:rPr>
          <w:b/>
          <w:bCs/>
          <w:color w:val="auto"/>
          <w:sz w:val="32"/>
          <w:szCs w:val="40"/>
        </w:rPr>
      </w:pPr>
      <w:bookmarkStart w:id="362" w:name="_Toc4745"/>
      <w:r>
        <w:rPr>
          <w:b/>
          <w:bCs/>
          <w:color w:val="auto"/>
          <w:sz w:val="32"/>
          <w:szCs w:val="40"/>
        </w:rPr>
        <w:t>5 环境保护措施有效性评估</w:t>
      </w:r>
      <w:bookmarkEnd w:id="362"/>
    </w:p>
    <w:p w14:paraId="36DF0129">
      <w:pPr>
        <w:spacing w:line="360" w:lineRule="auto"/>
        <w:rPr>
          <w:color w:val="auto"/>
          <w:sz w:val="24"/>
          <w:szCs w:val="32"/>
        </w:rPr>
      </w:pPr>
    </w:p>
    <w:p w14:paraId="726F4C96">
      <w:pPr>
        <w:spacing w:line="360" w:lineRule="auto"/>
        <w:outlineLvl w:val="1"/>
        <w:rPr>
          <w:rFonts w:hint="eastAsia"/>
          <w:b/>
          <w:bCs/>
          <w:color w:val="0000FF"/>
          <w:sz w:val="28"/>
          <w:szCs w:val="36"/>
          <w:lang w:val="en-US" w:eastAsia="zh-CN"/>
        </w:rPr>
      </w:pPr>
      <w:bookmarkStart w:id="363" w:name="_Toc7672"/>
      <w:r>
        <w:rPr>
          <w:b/>
          <w:bCs/>
          <w:color w:val="0000FF"/>
          <w:sz w:val="28"/>
          <w:szCs w:val="36"/>
        </w:rPr>
        <w:t>5.1</w:t>
      </w:r>
      <w:r>
        <w:rPr>
          <w:rFonts w:hint="eastAsia"/>
          <w:b/>
          <w:bCs/>
          <w:color w:val="0000FF"/>
          <w:sz w:val="28"/>
          <w:szCs w:val="36"/>
          <w:lang w:val="en-US" w:eastAsia="zh-CN"/>
        </w:rPr>
        <w:t xml:space="preserve"> 废气污染防治措施有效性评估</w:t>
      </w:r>
    </w:p>
    <w:p w14:paraId="28771F70">
      <w:pPr>
        <w:spacing w:line="360" w:lineRule="auto"/>
        <w:outlineLvl w:val="1"/>
        <w:rPr>
          <w:rFonts w:hint="eastAsia" w:eastAsia="宋体"/>
          <w:b/>
          <w:bCs/>
          <w:color w:val="0000FF"/>
          <w:sz w:val="28"/>
          <w:szCs w:val="36"/>
          <w:lang w:val="en-US" w:eastAsia="zh-CN"/>
        </w:rPr>
      </w:pPr>
      <w:r>
        <w:rPr>
          <w:rFonts w:hint="eastAsia"/>
          <w:b/>
          <w:bCs/>
          <w:color w:val="0000FF"/>
          <w:sz w:val="24"/>
          <w:szCs w:val="32"/>
          <w:lang w:val="en-US" w:eastAsia="zh-CN"/>
        </w:rPr>
        <w:t>5.1.1废气处理设施前后变化情况</w:t>
      </w:r>
    </w:p>
    <w:p w14:paraId="1BBF0514">
      <w:pPr>
        <w:spacing w:line="360" w:lineRule="auto"/>
        <w:ind w:firstLine="480" w:firstLineChars="200"/>
        <w:outlineLvl w:val="1"/>
        <w:rPr>
          <w:rFonts w:hint="eastAsia" w:cs="Times New Roman"/>
          <w:color w:val="0000FF"/>
          <w:sz w:val="24"/>
          <w:lang w:val="en-US" w:eastAsia="zh-CN"/>
        </w:rPr>
      </w:pPr>
      <w:r>
        <w:rPr>
          <w:rFonts w:hint="eastAsia" w:cs="Times New Roman"/>
          <w:color w:val="0000FF"/>
          <w:sz w:val="24"/>
          <w:lang w:val="en-US" w:eastAsia="zh-CN"/>
        </w:rPr>
        <w:t>项目废气处理设备调整前熔炼、精炼烟气（含天然气燃烧废气）采用1套“旋风除尘+布袋除尘+碱喷淋装置处理”，铝渣处理废气采用1套“旋风除尘+布袋除尘+碱喷淋装置处理”，处理后的废气统一经1根20m高DA001排气筒排放；废气处理设备调整熔炼、精炼烟气经“SNCR+烟气急冷”装置处理后与铝渣处理废气经“活性炭喷粉+重力沉降除尘+布袋除尘器+碱喷淋”装置处理，处理后的废气经1根24.5m高DA001排气筒排放。</w:t>
      </w:r>
    </w:p>
    <w:p w14:paraId="1E2D97EC">
      <w:pPr>
        <w:adjustRightInd w:val="0"/>
        <w:snapToGrid w:val="0"/>
        <w:spacing w:line="360" w:lineRule="auto"/>
        <w:jc w:val="center"/>
        <w:rPr>
          <w:rFonts w:hint="eastAsia" w:cs="Times New Roman"/>
          <w:b/>
          <w:bCs/>
          <w:color w:val="0000FF"/>
          <w:sz w:val="24"/>
          <w:lang w:val="en-US" w:eastAsia="zh-CN"/>
        </w:rPr>
      </w:pPr>
      <w:r>
        <w:rPr>
          <w:rFonts w:hint="eastAsia" w:cs="Times New Roman"/>
          <w:b/>
          <w:bCs/>
          <w:color w:val="0000FF"/>
          <w:sz w:val="24"/>
          <w:lang w:val="en-US" w:eastAsia="zh-CN"/>
        </w:rPr>
        <w:t>表5-1 废气处理设施调整前后对比一览表</w:t>
      </w:r>
    </w:p>
    <w:tbl>
      <w:tblPr>
        <w:tblStyle w:val="31"/>
        <w:tblW w:w="5000" w:type="pct"/>
        <w:tblInd w:w="0" w:type="dxa"/>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Layout w:type="autofit"/>
        <w:tblCellMar>
          <w:top w:w="15" w:type="dxa"/>
          <w:left w:w="15" w:type="dxa"/>
          <w:bottom w:w="15" w:type="dxa"/>
          <w:right w:w="15" w:type="dxa"/>
        </w:tblCellMar>
      </w:tblPr>
      <w:tblGrid>
        <w:gridCol w:w="2218"/>
        <w:gridCol w:w="2122"/>
        <w:gridCol w:w="3948"/>
        <w:gridCol w:w="1698"/>
      </w:tblGrid>
      <w:tr w14:paraId="3B30349B">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CellMar>
            <w:top w:w="15" w:type="dxa"/>
            <w:left w:w="15" w:type="dxa"/>
            <w:bottom w:w="15" w:type="dxa"/>
            <w:right w:w="15" w:type="dxa"/>
          </w:tblCellMar>
        </w:tblPrEx>
        <w:trPr>
          <w:tblHeader/>
        </w:trPr>
        <w:tc>
          <w:tcPr>
            <w:tcW w:w="1110" w:type="pct"/>
            <w:tcBorders>
              <w:tl2br w:val="nil"/>
              <w:tr2bl w:val="nil"/>
            </w:tcBorders>
            <w:shd w:val="clear" w:color="auto" w:fill="auto"/>
            <w:tcMar>
              <w:top w:w="120" w:type="dxa"/>
              <w:left w:w="120" w:type="dxa"/>
              <w:bottom w:w="120" w:type="dxa"/>
              <w:right w:w="120" w:type="dxa"/>
            </w:tcMar>
            <w:vAlign w:val="center"/>
          </w:tcPr>
          <w:p w14:paraId="296EBEC2">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项目</w:t>
            </w:r>
          </w:p>
        </w:tc>
        <w:tc>
          <w:tcPr>
            <w:tcW w:w="1062" w:type="pct"/>
            <w:tcBorders>
              <w:tl2br w:val="nil"/>
              <w:tr2bl w:val="nil"/>
            </w:tcBorders>
            <w:shd w:val="clear" w:color="auto" w:fill="auto"/>
            <w:tcMar>
              <w:top w:w="120" w:type="dxa"/>
              <w:left w:w="120" w:type="dxa"/>
              <w:bottom w:w="120" w:type="dxa"/>
              <w:right w:w="120" w:type="dxa"/>
            </w:tcMar>
            <w:vAlign w:val="center"/>
          </w:tcPr>
          <w:p w14:paraId="10513580">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调整前</w:t>
            </w:r>
          </w:p>
        </w:tc>
        <w:tc>
          <w:tcPr>
            <w:tcW w:w="1976" w:type="pct"/>
            <w:tcBorders>
              <w:tl2br w:val="nil"/>
              <w:tr2bl w:val="nil"/>
            </w:tcBorders>
            <w:shd w:val="clear" w:color="auto" w:fill="auto"/>
            <w:tcMar>
              <w:top w:w="120" w:type="dxa"/>
              <w:left w:w="120" w:type="dxa"/>
              <w:bottom w:w="120" w:type="dxa"/>
              <w:right w:w="120" w:type="dxa"/>
            </w:tcMar>
            <w:vAlign w:val="center"/>
          </w:tcPr>
          <w:p w14:paraId="19FB0E86">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调整后</w:t>
            </w:r>
          </w:p>
        </w:tc>
        <w:tc>
          <w:tcPr>
            <w:tcW w:w="850" w:type="pct"/>
            <w:tcBorders>
              <w:tl2br w:val="nil"/>
              <w:tr2bl w:val="nil"/>
            </w:tcBorders>
            <w:shd w:val="clear" w:color="auto" w:fill="auto"/>
            <w:tcMar>
              <w:top w:w="120" w:type="dxa"/>
              <w:left w:w="120" w:type="dxa"/>
              <w:bottom w:w="120" w:type="dxa"/>
              <w:right w:w="120" w:type="dxa"/>
            </w:tcMar>
            <w:vAlign w:val="center"/>
          </w:tcPr>
          <w:p w14:paraId="5570E964">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变化情况</w:t>
            </w:r>
          </w:p>
        </w:tc>
      </w:tr>
      <w:tr w14:paraId="6E60AC01">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tblCellMar>
            <w:top w:w="15" w:type="dxa"/>
            <w:left w:w="15" w:type="dxa"/>
            <w:bottom w:w="15" w:type="dxa"/>
            <w:right w:w="15" w:type="dxa"/>
          </w:tblCellMar>
        </w:tblPrEx>
        <w:trPr>
          <w:trHeight w:val="433" w:hRule="atLeast"/>
        </w:trPr>
        <w:tc>
          <w:tcPr>
            <w:tcW w:w="1110" w:type="pct"/>
            <w:tcBorders>
              <w:tl2br w:val="nil"/>
              <w:tr2bl w:val="nil"/>
            </w:tcBorders>
            <w:shd w:val="clear" w:color="auto" w:fill="auto"/>
            <w:tcMar>
              <w:top w:w="120" w:type="dxa"/>
              <w:left w:w="120" w:type="dxa"/>
              <w:bottom w:w="120" w:type="dxa"/>
              <w:right w:w="120" w:type="dxa"/>
            </w:tcMar>
            <w:vAlign w:val="center"/>
          </w:tcPr>
          <w:p w14:paraId="30635EE2">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熔炼、精炼烟气+铝渣处理废气总风量</w:t>
            </w:r>
          </w:p>
        </w:tc>
        <w:tc>
          <w:tcPr>
            <w:tcW w:w="1062" w:type="pct"/>
            <w:tcBorders>
              <w:tl2br w:val="nil"/>
              <w:tr2bl w:val="nil"/>
            </w:tcBorders>
            <w:shd w:val="clear" w:color="auto" w:fill="auto"/>
            <w:tcMar>
              <w:top w:w="120" w:type="dxa"/>
              <w:left w:w="120" w:type="dxa"/>
              <w:bottom w:w="120" w:type="dxa"/>
              <w:right w:w="120" w:type="dxa"/>
            </w:tcMar>
            <w:vAlign w:val="center"/>
          </w:tcPr>
          <w:p w14:paraId="4032B1A2">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100000m</w:t>
            </w:r>
            <w:r>
              <w:rPr>
                <w:rFonts w:hint="eastAsia" w:ascii="Times New Roman" w:hAnsi="Times New Roman" w:cs="Times New Roman"/>
                <w:color w:val="0000FF"/>
                <w:sz w:val="21"/>
                <w:szCs w:val="21"/>
                <w:vertAlign w:val="superscript"/>
                <w:lang w:val="en-US" w:eastAsia="zh-CN"/>
              </w:rPr>
              <w:t>3</w:t>
            </w:r>
            <w:r>
              <w:rPr>
                <w:rFonts w:hint="default" w:ascii="Times New Roman" w:hAnsi="Times New Roman" w:cs="Times New Roman"/>
                <w:color w:val="0000FF"/>
                <w:sz w:val="21"/>
                <w:szCs w:val="21"/>
                <w:lang w:val="en-US" w:eastAsia="zh-CN"/>
              </w:rPr>
              <w:t>/h</w:t>
            </w:r>
          </w:p>
        </w:tc>
        <w:tc>
          <w:tcPr>
            <w:tcW w:w="1976" w:type="pct"/>
            <w:tcBorders>
              <w:tl2br w:val="nil"/>
              <w:tr2bl w:val="nil"/>
            </w:tcBorders>
            <w:shd w:val="clear" w:color="auto" w:fill="auto"/>
            <w:tcMar>
              <w:top w:w="120" w:type="dxa"/>
              <w:left w:w="120" w:type="dxa"/>
              <w:bottom w:w="120" w:type="dxa"/>
              <w:right w:w="120" w:type="dxa"/>
            </w:tcMar>
            <w:vAlign w:val="center"/>
          </w:tcPr>
          <w:p w14:paraId="72D108E0">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200000m</w:t>
            </w:r>
            <w:r>
              <w:rPr>
                <w:rFonts w:hint="eastAsia" w:ascii="Times New Roman" w:hAnsi="Times New Roman" w:cs="Times New Roman"/>
                <w:color w:val="0000FF"/>
                <w:sz w:val="21"/>
                <w:szCs w:val="21"/>
                <w:vertAlign w:val="superscript"/>
                <w:lang w:val="en-US" w:eastAsia="zh-CN"/>
              </w:rPr>
              <w:t>3</w:t>
            </w:r>
            <w:r>
              <w:rPr>
                <w:rFonts w:hint="default" w:ascii="Times New Roman" w:hAnsi="Times New Roman" w:cs="Times New Roman"/>
                <w:color w:val="0000FF"/>
                <w:sz w:val="21"/>
                <w:szCs w:val="21"/>
                <w:lang w:val="en-US" w:eastAsia="zh-CN"/>
              </w:rPr>
              <w:t>/h</w:t>
            </w:r>
          </w:p>
        </w:tc>
        <w:tc>
          <w:tcPr>
            <w:tcW w:w="850" w:type="pct"/>
            <w:tcBorders>
              <w:tl2br w:val="nil"/>
              <w:tr2bl w:val="nil"/>
            </w:tcBorders>
            <w:shd w:val="clear" w:color="auto" w:fill="auto"/>
            <w:tcMar>
              <w:top w:w="120" w:type="dxa"/>
              <w:left w:w="120" w:type="dxa"/>
              <w:bottom w:w="120" w:type="dxa"/>
              <w:right w:w="120" w:type="dxa"/>
            </w:tcMar>
            <w:vAlign w:val="center"/>
          </w:tcPr>
          <w:p w14:paraId="5F25D9FD">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风量</w:t>
            </w:r>
            <w:r>
              <w:rPr>
                <w:rFonts w:hint="eastAsia" w:ascii="Times New Roman" w:hAnsi="Times New Roman" w:cs="Times New Roman"/>
                <w:color w:val="0000FF"/>
                <w:sz w:val="21"/>
                <w:szCs w:val="21"/>
                <w:lang w:val="en-US" w:eastAsia="zh-CN"/>
              </w:rPr>
              <w:t>增加</w:t>
            </w:r>
          </w:p>
        </w:tc>
      </w:tr>
      <w:tr w14:paraId="49E3CF21">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tblCellMar>
            <w:top w:w="15" w:type="dxa"/>
            <w:left w:w="15" w:type="dxa"/>
            <w:bottom w:w="15" w:type="dxa"/>
            <w:right w:w="15" w:type="dxa"/>
          </w:tblCellMar>
        </w:tblPrEx>
        <w:tc>
          <w:tcPr>
            <w:tcW w:w="1110" w:type="pct"/>
            <w:tcBorders>
              <w:tl2br w:val="nil"/>
              <w:tr2bl w:val="nil"/>
            </w:tcBorders>
            <w:shd w:val="clear" w:color="auto" w:fill="auto"/>
            <w:tcMar>
              <w:top w:w="120" w:type="dxa"/>
              <w:left w:w="120" w:type="dxa"/>
              <w:bottom w:w="120" w:type="dxa"/>
              <w:right w:w="120" w:type="dxa"/>
            </w:tcMar>
            <w:vAlign w:val="center"/>
          </w:tcPr>
          <w:p w14:paraId="03B46A0D">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排气筒高度</w:t>
            </w:r>
          </w:p>
        </w:tc>
        <w:tc>
          <w:tcPr>
            <w:tcW w:w="1062" w:type="pct"/>
            <w:tcBorders>
              <w:tl2br w:val="nil"/>
              <w:tr2bl w:val="nil"/>
            </w:tcBorders>
            <w:shd w:val="clear" w:color="auto" w:fill="auto"/>
            <w:tcMar>
              <w:top w:w="120" w:type="dxa"/>
              <w:left w:w="120" w:type="dxa"/>
              <w:bottom w:w="120" w:type="dxa"/>
              <w:right w:w="120" w:type="dxa"/>
            </w:tcMar>
            <w:vAlign w:val="center"/>
          </w:tcPr>
          <w:p w14:paraId="305A26DA">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20m</w:t>
            </w:r>
          </w:p>
        </w:tc>
        <w:tc>
          <w:tcPr>
            <w:tcW w:w="1976" w:type="pct"/>
            <w:tcBorders>
              <w:tl2br w:val="nil"/>
              <w:tr2bl w:val="nil"/>
            </w:tcBorders>
            <w:shd w:val="clear" w:color="auto" w:fill="auto"/>
            <w:tcMar>
              <w:top w:w="120" w:type="dxa"/>
              <w:left w:w="120" w:type="dxa"/>
              <w:bottom w:w="120" w:type="dxa"/>
              <w:right w:w="120" w:type="dxa"/>
            </w:tcMar>
            <w:vAlign w:val="center"/>
          </w:tcPr>
          <w:p w14:paraId="3AF7EAEA">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2</w:t>
            </w:r>
            <w:r>
              <w:rPr>
                <w:rFonts w:hint="eastAsia" w:ascii="Times New Roman" w:hAnsi="Times New Roman" w:cs="Times New Roman"/>
                <w:color w:val="0000FF"/>
                <w:sz w:val="21"/>
                <w:szCs w:val="21"/>
                <w:lang w:val="en-US" w:eastAsia="zh-CN"/>
              </w:rPr>
              <w:t>4</w:t>
            </w:r>
            <w:r>
              <w:rPr>
                <w:rFonts w:hint="eastAsia" w:cs="Times New Roman"/>
                <w:color w:val="0000FF"/>
                <w:sz w:val="21"/>
                <w:szCs w:val="21"/>
                <w:lang w:val="en-US" w:eastAsia="zh-CN"/>
              </w:rPr>
              <w:t>.5</w:t>
            </w:r>
            <w:r>
              <w:rPr>
                <w:rFonts w:hint="default" w:ascii="Times New Roman" w:hAnsi="Times New Roman" w:cs="Times New Roman"/>
                <w:color w:val="0000FF"/>
                <w:sz w:val="21"/>
                <w:szCs w:val="21"/>
                <w:lang w:val="en-US" w:eastAsia="zh-CN"/>
              </w:rPr>
              <w:t>m</w:t>
            </w:r>
          </w:p>
        </w:tc>
        <w:tc>
          <w:tcPr>
            <w:tcW w:w="850" w:type="pct"/>
            <w:tcBorders>
              <w:tl2br w:val="nil"/>
              <w:tr2bl w:val="nil"/>
            </w:tcBorders>
            <w:shd w:val="clear" w:color="auto" w:fill="auto"/>
            <w:tcMar>
              <w:top w:w="120" w:type="dxa"/>
              <w:left w:w="120" w:type="dxa"/>
              <w:bottom w:w="120" w:type="dxa"/>
              <w:right w:w="120" w:type="dxa"/>
            </w:tcMar>
            <w:vAlign w:val="center"/>
          </w:tcPr>
          <w:p w14:paraId="5A151289">
            <w:pPr>
              <w:bidi w:val="0"/>
              <w:jc w:val="center"/>
              <w:rPr>
                <w:rFonts w:hint="default" w:ascii="Times New Roman" w:hAnsi="Times New Roman" w:cs="Times New Roman"/>
                <w:color w:val="0000FF"/>
                <w:sz w:val="21"/>
                <w:szCs w:val="21"/>
                <w:lang w:val="en-US"/>
              </w:rPr>
            </w:pPr>
            <w:r>
              <w:rPr>
                <w:rFonts w:hint="eastAsia" w:ascii="Times New Roman" w:hAnsi="Times New Roman" w:cs="Times New Roman"/>
                <w:color w:val="0000FF"/>
                <w:sz w:val="21"/>
                <w:szCs w:val="21"/>
                <w:lang w:val="en-US" w:eastAsia="zh-CN"/>
              </w:rPr>
              <w:t>高度增加</w:t>
            </w:r>
          </w:p>
        </w:tc>
      </w:tr>
      <w:tr w14:paraId="5BA4827B">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tblCellMar>
            <w:top w:w="15" w:type="dxa"/>
            <w:left w:w="15" w:type="dxa"/>
            <w:bottom w:w="15" w:type="dxa"/>
            <w:right w:w="15" w:type="dxa"/>
          </w:tblCellMar>
        </w:tblPrEx>
        <w:trPr>
          <w:trHeight w:val="599" w:hRule="atLeast"/>
        </w:trPr>
        <w:tc>
          <w:tcPr>
            <w:tcW w:w="1110" w:type="pct"/>
            <w:tcBorders>
              <w:tl2br w:val="nil"/>
              <w:tr2bl w:val="nil"/>
            </w:tcBorders>
            <w:shd w:val="clear" w:color="auto" w:fill="auto"/>
            <w:tcMar>
              <w:top w:w="120" w:type="dxa"/>
              <w:left w:w="120" w:type="dxa"/>
              <w:bottom w:w="120" w:type="dxa"/>
              <w:right w:w="120" w:type="dxa"/>
            </w:tcMar>
            <w:vAlign w:val="center"/>
          </w:tcPr>
          <w:p w14:paraId="255474A3">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处理工艺</w:t>
            </w:r>
          </w:p>
        </w:tc>
        <w:tc>
          <w:tcPr>
            <w:tcW w:w="1062" w:type="pct"/>
            <w:tcBorders>
              <w:tl2br w:val="nil"/>
              <w:tr2bl w:val="nil"/>
            </w:tcBorders>
            <w:shd w:val="clear" w:color="auto" w:fill="auto"/>
            <w:tcMar>
              <w:top w:w="120" w:type="dxa"/>
              <w:left w:w="120" w:type="dxa"/>
              <w:bottom w:w="120" w:type="dxa"/>
              <w:right w:w="120" w:type="dxa"/>
            </w:tcMar>
            <w:vAlign w:val="center"/>
          </w:tcPr>
          <w:p w14:paraId="3DA46E86">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两套</w:t>
            </w:r>
            <w:r>
              <w:rPr>
                <w:rFonts w:hint="eastAsia" w:ascii="Times New Roman" w:hAnsi="Times New Roman" w:cs="Times New Roman"/>
                <w:color w:val="0000FF"/>
                <w:sz w:val="21"/>
                <w:szCs w:val="21"/>
                <w:lang w:val="en-US" w:eastAsia="zh-CN"/>
              </w:rPr>
              <w:t>“</w:t>
            </w:r>
            <w:r>
              <w:rPr>
                <w:rFonts w:hint="default" w:ascii="Times New Roman" w:hAnsi="Times New Roman" w:cs="Times New Roman"/>
                <w:color w:val="0000FF"/>
                <w:sz w:val="21"/>
                <w:szCs w:val="21"/>
                <w:lang w:val="en-US" w:eastAsia="zh-CN"/>
              </w:rPr>
              <w:t>旋风+布袋+碱喷淋</w:t>
            </w:r>
            <w:r>
              <w:rPr>
                <w:rFonts w:hint="eastAsia" w:ascii="Times New Roman" w:hAnsi="Times New Roman" w:cs="Times New Roman"/>
                <w:color w:val="0000FF"/>
                <w:sz w:val="21"/>
                <w:szCs w:val="21"/>
                <w:lang w:val="en-US" w:eastAsia="zh-CN"/>
              </w:rPr>
              <w:t>”</w:t>
            </w:r>
            <w:r>
              <w:rPr>
                <w:rFonts w:hint="default" w:ascii="Times New Roman" w:hAnsi="Times New Roman" w:cs="Times New Roman"/>
                <w:color w:val="0000FF"/>
                <w:sz w:val="21"/>
                <w:szCs w:val="21"/>
                <w:lang w:val="en-US" w:eastAsia="zh-CN"/>
              </w:rPr>
              <w:t>合并排放</w:t>
            </w:r>
          </w:p>
        </w:tc>
        <w:tc>
          <w:tcPr>
            <w:tcW w:w="1976" w:type="pct"/>
            <w:tcBorders>
              <w:tl2br w:val="nil"/>
              <w:tr2bl w:val="nil"/>
            </w:tcBorders>
            <w:shd w:val="clear" w:color="auto" w:fill="auto"/>
            <w:tcMar>
              <w:top w:w="120" w:type="dxa"/>
              <w:left w:w="120" w:type="dxa"/>
              <w:bottom w:w="120" w:type="dxa"/>
              <w:right w:w="120" w:type="dxa"/>
            </w:tcMar>
            <w:vAlign w:val="center"/>
          </w:tcPr>
          <w:p w14:paraId="67A98543">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熔炼烟气：SNCR + 急冷；铝渣废气：活性炭喷粉+重力沉降</w:t>
            </w:r>
            <w:r>
              <w:rPr>
                <w:rFonts w:hint="eastAsia" w:ascii="Times New Roman" w:hAnsi="Times New Roman" w:cs="Times New Roman"/>
                <w:color w:val="0000FF"/>
                <w:sz w:val="21"/>
                <w:szCs w:val="21"/>
                <w:lang w:val="en-US" w:eastAsia="zh-CN"/>
              </w:rPr>
              <w:t>除尘</w:t>
            </w:r>
            <w:r>
              <w:rPr>
                <w:rFonts w:hint="default" w:ascii="Times New Roman" w:hAnsi="Times New Roman" w:cs="Times New Roman"/>
                <w:color w:val="0000FF"/>
                <w:sz w:val="21"/>
                <w:szCs w:val="21"/>
                <w:lang w:val="en-US" w:eastAsia="zh-CN"/>
              </w:rPr>
              <w:t>+布袋</w:t>
            </w:r>
            <w:r>
              <w:rPr>
                <w:rFonts w:hint="eastAsia" w:ascii="Times New Roman" w:hAnsi="Times New Roman" w:cs="Times New Roman"/>
                <w:color w:val="0000FF"/>
                <w:sz w:val="21"/>
                <w:szCs w:val="21"/>
                <w:lang w:val="en-US" w:eastAsia="zh-CN"/>
              </w:rPr>
              <w:t>除尘</w:t>
            </w:r>
            <w:r>
              <w:rPr>
                <w:rFonts w:hint="default" w:ascii="Times New Roman" w:hAnsi="Times New Roman" w:cs="Times New Roman"/>
                <w:color w:val="0000FF"/>
                <w:sz w:val="21"/>
                <w:szCs w:val="21"/>
                <w:lang w:val="en-US" w:eastAsia="zh-CN"/>
              </w:rPr>
              <w:t>+碱喷淋，汇合排放</w:t>
            </w:r>
          </w:p>
        </w:tc>
        <w:tc>
          <w:tcPr>
            <w:tcW w:w="850" w:type="pct"/>
            <w:tcBorders>
              <w:tl2br w:val="nil"/>
              <w:tr2bl w:val="nil"/>
            </w:tcBorders>
            <w:shd w:val="clear" w:color="auto" w:fill="auto"/>
            <w:tcMar>
              <w:top w:w="120" w:type="dxa"/>
              <w:left w:w="120" w:type="dxa"/>
              <w:bottom w:w="120" w:type="dxa"/>
              <w:right w:w="120" w:type="dxa"/>
            </w:tcMar>
            <w:vAlign w:val="center"/>
          </w:tcPr>
          <w:p w14:paraId="1E20A982">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工艺分治+末端汇合</w:t>
            </w:r>
          </w:p>
        </w:tc>
      </w:tr>
    </w:tbl>
    <w:p w14:paraId="3AB198CB">
      <w:pPr>
        <w:spacing w:line="360" w:lineRule="auto"/>
        <w:ind w:firstLine="480" w:firstLineChars="200"/>
        <w:outlineLvl w:val="1"/>
        <w:rPr>
          <w:rFonts w:hint="default" w:cs="Times New Roman"/>
          <w:color w:val="0000FF"/>
          <w:sz w:val="24"/>
          <w:lang w:val="en-US" w:eastAsia="zh-CN"/>
        </w:rPr>
      </w:pPr>
      <w:r>
        <w:rPr>
          <w:rFonts w:hint="default" w:ascii="Times New Roman" w:hAnsi="Times New Roman" w:eastAsia="宋体" w:cs="Times New Roman"/>
          <w:color w:val="0000FF"/>
          <w:sz w:val="24"/>
          <w:lang w:val="en-US" w:eastAsia="zh-CN"/>
        </w:rPr>
        <w:t>本次废气治理方案调整，核心变化为原两套独立</w:t>
      </w:r>
      <w:r>
        <w:rPr>
          <w:rFonts w:hint="eastAsia" w:cs="Times New Roman"/>
          <w:color w:val="0000FF"/>
          <w:sz w:val="24"/>
          <w:lang w:val="en-US" w:eastAsia="zh-CN"/>
        </w:rPr>
        <w:t>“</w:t>
      </w:r>
      <w:r>
        <w:rPr>
          <w:rFonts w:hint="default" w:ascii="Times New Roman" w:hAnsi="Times New Roman" w:eastAsia="宋体" w:cs="Times New Roman"/>
          <w:color w:val="0000FF"/>
          <w:sz w:val="24"/>
          <w:lang w:val="en-US" w:eastAsia="zh-CN"/>
        </w:rPr>
        <w:t>旋风+布袋+碱喷淋</w:t>
      </w:r>
      <w:r>
        <w:rPr>
          <w:rFonts w:hint="eastAsia" w:cs="Times New Roman"/>
          <w:color w:val="0000FF"/>
          <w:sz w:val="24"/>
          <w:lang w:val="en-US" w:eastAsia="zh-CN"/>
        </w:rPr>
        <w:t>”系统</w:t>
      </w:r>
      <w:r>
        <w:rPr>
          <w:rFonts w:hint="default" w:ascii="Times New Roman" w:hAnsi="Times New Roman" w:eastAsia="宋体" w:cs="Times New Roman"/>
          <w:color w:val="0000FF"/>
          <w:sz w:val="24"/>
          <w:lang w:val="en-US" w:eastAsia="zh-CN"/>
        </w:rPr>
        <w:t>整合为一套分质预处理+集中后处理系统</w:t>
      </w:r>
      <w:r>
        <w:rPr>
          <w:rFonts w:hint="eastAsia" w:cs="Times New Roman"/>
          <w:color w:val="0000FF"/>
          <w:sz w:val="24"/>
          <w:lang w:val="en-US" w:eastAsia="zh-CN"/>
        </w:rPr>
        <w:t>。</w:t>
      </w:r>
    </w:p>
    <w:p w14:paraId="67723836">
      <w:pPr>
        <w:adjustRightInd w:val="0"/>
        <w:snapToGrid w:val="0"/>
        <w:spacing w:line="360" w:lineRule="auto"/>
        <w:ind w:firstLine="480" w:firstLineChars="200"/>
        <w:jc w:val="left"/>
        <w:rPr>
          <w:rFonts w:hint="default" w:ascii="Times New Roman" w:hAnsi="Times New Roman" w:eastAsia="宋体" w:cs="Times New Roman"/>
          <w:color w:val="0000FF"/>
          <w:sz w:val="24"/>
          <w:lang w:val="en-US" w:eastAsia="zh-CN"/>
        </w:rPr>
      </w:pPr>
      <w:r>
        <w:rPr>
          <w:rFonts w:hint="eastAsia" w:cs="Times New Roman"/>
          <w:color w:val="0000FF"/>
          <w:sz w:val="24"/>
          <w:lang w:val="en-US" w:eastAsia="zh-CN"/>
        </w:rPr>
        <w:t>（1）废气风量变化可行性分析</w:t>
      </w:r>
    </w:p>
    <w:p w14:paraId="572C2BAA">
      <w:pPr>
        <w:numPr>
          <w:ilvl w:val="0"/>
          <w:numId w:val="0"/>
        </w:num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①</w:t>
      </w:r>
      <w:r>
        <w:rPr>
          <w:rFonts w:hint="eastAsia" w:ascii="Times New Roman" w:hAnsi="Times New Roman" w:eastAsia="宋体" w:cs="Times New Roman"/>
          <w:color w:val="0000FF"/>
          <w:sz w:val="24"/>
          <w:lang w:val="en-US" w:eastAsia="zh-CN"/>
        </w:rPr>
        <w:t>原集气罩密闭性差、负压不足，大量烟气无组织逸散，仅部分废气被收集进入治理设施</w:t>
      </w:r>
      <w:r>
        <w:rPr>
          <w:rFonts w:hint="eastAsia" w:cs="Times New Roman"/>
          <w:color w:val="0000FF"/>
          <w:sz w:val="24"/>
          <w:lang w:val="en-US" w:eastAsia="zh-CN"/>
        </w:rPr>
        <w:t>；</w:t>
      </w:r>
    </w:p>
    <w:p w14:paraId="5601BFEA">
      <w:pPr>
        <w:numPr>
          <w:ilvl w:val="0"/>
          <w:numId w:val="0"/>
        </w:num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②</w:t>
      </w:r>
      <w:r>
        <w:rPr>
          <w:rFonts w:hint="eastAsia" w:ascii="Times New Roman" w:hAnsi="Times New Roman" w:eastAsia="宋体" w:cs="Times New Roman"/>
          <w:color w:val="0000FF"/>
          <w:sz w:val="24"/>
          <w:lang w:val="en-US" w:eastAsia="zh-CN"/>
        </w:rPr>
        <w:t>本次通过密闭集气罩改造、优化集气风口、提升系统负压，将原本逸散的废气充分捕集，导致系统设计风量翻倍，目的是从源头减少无组织排放，满足厂界无组织监控浓度限值要求</w:t>
      </w:r>
      <w:r>
        <w:rPr>
          <w:rFonts w:hint="eastAsia" w:cs="Times New Roman"/>
          <w:color w:val="0000FF"/>
          <w:sz w:val="24"/>
          <w:lang w:val="en-US" w:eastAsia="zh-CN"/>
        </w:rPr>
        <w:t>。</w:t>
      </w:r>
    </w:p>
    <w:p w14:paraId="5F528B24">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left="0" w:leftChars="0" w:firstLine="403" w:firstLineChars="0"/>
        <w:jc w:val="left"/>
        <w:textAlignment w:val="auto"/>
        <w:rPr>
          <w:rFonts w:hint="eastAsia"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③</w:t>
      </w:r>
      <w:r>
        <w:rPr>
          <w:rFonts w:hint="eastAsia" w:cs="Times New Roman"/>
          <w:color w:val="0000FF"/>
          <w:sz w:val="24"/>
          <w:lang w:val="en-US" w:eastAsia="zh-CN"/>
        </w:rPr>
        <w:t>项目排气筒调整后风量为</w:t>
      </w:r>
      <w:r>
        <w:rPr>
          <w:rFonts w:hint="default" w:ascii="Times New Roman" w:hAnsi="Times New Roman" w:cs="Times New Roman"/>
          <w:color w:val="0000FF"/>
          <w:sz w:val="24"/>
          <w:szCs w:val="24"/>
          <w:lang w:val="en-US" w:eastAsia="zh-CN"/>
        </w:rPr>
        <w:t>200000m</w:t>
      </w:r>
      <w:r>
        <w:rPr>
          <w:rFonts w:hint="eastAsia" w:ascii="Times New Roman" w:hAnsi="Times New Roman" w:cs="Times New Roman"/>
          <w:color w:val="0000FF"/>
          <w:sz w:val="24"/>
          <w:szCs w:val="24"/>
          <w:vertAlign w:val="superscript"/>
          <w:lang w:val="en-US" w:eastAsia="zh-CN"/>
        </w:rPr>
        <w:t>3</w:t>
      </w:r>
      <w:r>
        <w:rPr>
          <w:rFonts w:hint="default" w:ascii="Times New Roman" w:hAnsi="Times New Roman" w:cs="Times New Roman"/>
          <w:color w:val="0000FF"/>
          <w:sz w:val="24"/>
          <w:szCs w:val="24"/>
          <w:lang w:val="en-US" w:eastAsia="zh-CN"/>
        </w:rPr>
        <w:t>/h</w:t>
      </w:r>
      <w:r>
        <w:rPr>
          <w:rFonts w:hint="eastAsia" w:cs="Times New Roman"/>
          <w:color w:val="0000FF"/>
          <w:sz w:val="24"/>
          <w:szCs w:val="24"/>
          <w:lang w:val="en-US" w:eastAsia="zh-CN"/>
        </w:rPr>
        <w:t>，</w:t>
      </w:r>
      <w:r>
        <w:rPr>
          <w:rFonts w:hint="eastAsia" w:cs="Times New Roman"/>
          <w:color w:val="0000FF"/>
          <w:sz w:val="24"/>
          <w:lang w:val="en-US" w:eastAsia="zh-CN"/>
        </w:rPr>
        <w:t>内径为2.05m，截面积约为3.299m</w:t>
      </w:r>
      <w:r>
        <w:rPr>
          <w:rFonts w:hint="eastAsia" w:cs="Times New Roman"/>
          <w:color w:val="0000FF"/>
          <w:sz w:val="24"/>
          <w:vertAlign w:val="superscript"/>
          <w:lang w:val="en-US" w:eastAsia="zh-CN"/>
        </w:rPr>
        <w:t>2</w:t>
      </w:r>
      <w:r>
        <w:rPr>
          <w:rFonts w:hint="eastAsia" w:cs="Times New Roman"/>
          <w:color w:val="0000FF"/>
          <w:sz w:val="24"/>
          <w:vertAlign w:val="baseline"/>
          <w:lang w:val="en-US" w:eastAsia="zh-CN"/>
        </w:rPr>
        <w:t>，经计算排气筒流速约为16.83m/s，排气筒设计流速可满足《大气污染治理工程技术导则》（HJ2000-2010）中相关要求。</w:t>
      </w:r>
    </w:p>
    <w:p w14:paraId="2ABA676C">
      <w:pPr>
        <w:adjustRightInd w:val="0"/>
        <w:snapToGrid w:val="0"/>
        <w:spacing w:line="360" w:lineRule="auto"/>
        <w:ind w:firstLine="480" w:firstLineChars="200"/>
        <w:jc w:val="left"/>
        <w:rPr>
          <w:rFonts w:hint="default" w:ascii="Times New Roman" w:hAnsi="Times New Roman" w:eastAsia="宋体" w:cs="Times New Roman"/>
          <w:color w:val="0000FF"/>
          <w:sz w:val="24"/>
          <w:lang w:val="en-US" w:eastAsia="zh-CN"/>
        </w:rPr>
      </w:pPr>
      <w:r>
        <w:rPr>
          <w:rFonts w:hint="eastAsia" w:cs="Times New Roman"/>
          <w:color w:val="0000FF"/>
          <w:sz w:val="24"/>
          <w:lang w:val="en-US" w:eastAsia="zh-CN"/>
        </w:rPr>
        <w:t>（2）两套废气处理系统合并为一套的原因</w:t>
      </w:r>
    </w:p>
    <w:p w14:paraId="5E3BB5E4">
      <w:pPr>
        <w:numPr>
          <w:ilvl w:val="0"/>
          <w:numId w:val="0"/>
        </w:numPr>
        <w:adjustRightInd w:val="0"/>
        <w:snapToGrid w:val="0"/>
        <w:spacing w:line="360" w:lineRule="auto"/>
        <w:ind w:left="0" w:leftChars="0"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①</w:t>
      </w:r>
      <w:r>
        <w:rPr>
          <w:rFonts w:hint="eastAsia" w:ascii="Times New Roman" w:hAnsi="Times New Roman" w:eastAsia="宋体" w:cs="Times New Roman"/>
          <w:color w:val="0000FF"/>
          <w:sz w:val="24"/>
          <w:lang w:val="en-US" w:eastAsia="zh-CN"/>
        </w:rPr>
        <w:t>风场不平衡、串风倒灌</w:t>
      </w:r>
    </w:p>
    <w:p w14:paraId="1A02842A">
      <w:p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sz w:val="24"/>
          <w:lang w:val="en-US" w:eastAsia="zh-CN"/>
        </w:rPr>
        <w:t>两套除尘系统风机风压、阻力难以同步，易出现管路串风、废气倒灌回车间，加剧无组织逸散</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合并为单套系统后，统一风机、统一负压，流场更稳定，彻底解决风压失衡问题。</w:t>
      </w:r>
    </w:p>
    <w:p w14:paraId="0052A7F5">
      <w:pPr>
        <w:numPr>
          <w:ilvl w:val="0"/>
          <w:numId w:val="0"/>
        </w:num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②</w:t>
      </w:r>
      <w:r>
        <w:rPr>
          <w:rFonts w:hint="eastAsia" w:ascii="Times New Roman" w:hAnsi="Times New Roman" w:eastAsia="宋体" w:cs="Times New Roman"/>
          <w:color w:val="0000FF"/>
          <w:sz w:val="24"/>
          <w:lang w:val="en-US" w:eastAsia="zh-CN"/>
        </w:rPr>
        <w:t>设备冗余、管路复杂</w:t>
      </w:r>
    </w:p>
    <w:p w14:paraId="651FB2B5">
      <w:pPr>
        <w:spacing w:line="360" w:lineRule="auto"/>
        <w:ind w:firstLine="480" w:firstLineChars="200"/>
        <w:outlineLvl w:val="1"/>
        <w:rPr>
          <w:rFonts w:hint="eastAsia" w:cs="Times New Roman"/>
          <w:color w:val="0000FF"/>
          <w:sz w:val="24"/>
          <w:lang w:val="en-US" w:eastAsia="zh-CN"/>
        </w:rPr>
      </w:pPr>
      <w:r>
        <w:rPr>
          <w:rFonts w:hint="eastAsia" w:ascii="Times New Roman" w:hAnsi="Times New Roman" w:eastAsia="宋体" w:cs="Times New Roman"/>
          <w:color w:val="0000FF"/>
          <w:sz w:val="24"/>
          <w:lang w:val="en-US" w:eastAsia="zh-CN"/>
        </w:rPr>
        <w:t>原配置两套</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旋风</w:t>
      </w:r>
      <w:r>
        <w:rPr>
          <w:rFonts w:hint="eastAsia" w:cs="Times New Roman"/>
          <w:color w:val="0000FF"/>
          <w:sz w:val="24"/>
          <w:lang w:val="en-US" w:eastAsia="zh-CN"/>
        </w:rPr>
        <w:t>除尘</w:t>
      </w:r>
      <w:r>
        <w:rPr>
          <w:rFonts w:hint="eastAsia" w:ascii="Times New Roman" w:hAnsi="Times New Roman" w:eastAsia="宋体" w:cs="Times New Roman"/>
          <w:color w:val="0000FF"/>
          <w:sz w:val="24"/>
          <w:lang w:val="en-US" w:eastAsia="zh-CN"/>
        </w:rPr>
        <w:t>+布袋</w:t>
      </w:r>
      <w:r>
        <w:rPr>
          <w:rFonts w:hint="eastAsia" w:cs="Times New Roman"/>
          <w:color w:val="0000FF"/>
          <w:sz w:val="24"/>
          <w:lang w:val="en-US" w:eastAsia="zh-CN"/>
        </w:rPr>
        <w:t>除尘</w:t>
      </w:r>
      <w:r>
        <w:rPr>
          <w:rFonts w:hint="eastAsia" w:ascii="Times New Roman" w:hAnsi="Times New Roman" w:eastAsia="宋体" w:cs="Times New Roman"/>
          <w:color w:val="0000FF"/>
          <w:sz w:val="24"/>
          <w:lang w:val="en-US" w:eastAsia="zh-CN"/>
        </w:rPr>
        <w:t>+碱喷淋</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，设备、阀门、管路重复布置，占地与故障点多</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合并后简化工艺流程，减少设备数量，提升系统整体可靠性</w:t>
      </w:r>
      <w:r>
        <w:rPr>
          <w:rFonts w:hint="eastAsia" w:cs="Times New Roman"/>
          <w:color w:val="0000FF"/>
          <w:sz w:val="24"/>
          <w:lang w:val="en-US" w:eastAsia="zh-CN"/>
        </w:rPr>
        <w:t>。</w:t>
      </w:r>
    </w:p>
    <w:p w14:paraId="54F44478">
      <w:pPr>
        <w:spacing w:line="360" w:lineRule="auto"/>
        <w:ind w:firstLine="480" w:firstLineChars="200"/>
        <w:outlineLvl w:val="1"/>
        <w:rPr>
          <w:rFonts w:hint="eastAsia"/>
          <w:b/>
          <w:bCs/>
          <w:color w:val="auto"/>
          <w:sz w:val="28"/>
          <w:szCs w:val="36"/>
          <w:lang w:val="en-US" w:eastAsia="zh-CN"/>
        </w:rPr>
      </w:pPr>
      <w:r>
        <w:rPr>
          <w:rFonts w:hint="eastAsia" w:cs="Times New Roman"/>
          <w:color w:val="0000FF"/>
          <w:sz w:val="24"/>
          <w:lang w:val="en-US" w:eastAsia="zh-CN"/>
        </w:rPr>
        <w:t>本次仅为废气收集与治理系统整合优化，产能与污染物产生量均未增加，污染物排放强度不高于原工程；新工艺“重力沉降+布袋除尘+碱喷淋”对颗粒物、酸性气体的综合去除效率不低于原两套并联系统；系统合并优化了流场、消除了风不平衡问题，污染物排放更稳定、更均匀，达标可靠性进一步提升。</w:t>
      </w:r>
    </w:p>
    <w:bookmarkEnd w:id="363"/>
    <w:p w14:paraId="660CEF37">
      <w:pPr>
        <w:pStyle w:val="20"/>
        <w:spacing w:line="360" w:lineRule="auto"/>
        <w:outlineLvl w:val="2"/>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5.</w:t>
      </w:r>
      <w:r>
        <w:rPr>
          <w:rFonts w:hint="eastAsia" w:ascii="Times New Roman" w:hAnsi="Times New Roman" w:eastAsia="宋体" w:cs="Times New Roman"/>
          <w:b/>
          <w:bCs/>
          <w:color w:val="auto"/>
          <w:sz w:val="24"/>
          <w:szCs w:val="24"/>
          <w:lang w:val="en-US" w:eastAsia="zh-CN"/>
        </w:rPr>
        <w:t>2</w:t>
      </w:r>
      <w:r>
        <w:rPr>
          <w:rFonts w:ascii="Times New Roman" w:hAnsi="Times New Roman" w:eastAsia="宋体" w:cs="Times New Roman"/>
          <w:b/>
          <w:bCs/>
          <w:color w:val="auto"/>
          <w:sz w:val="24"/>
          <w:szCs w:val="24"/>
        </w:rPr>
        <w:t>.</w:t>
      </w:r>
      <w:r>
        <w:rPr>
          <w:rFonts w:hint="eastAsia" w:ascii="Times New Roman" w:hAnsi="Times New Roman" w:eastAsia="宋体" w:cs="Times New Roman"/>
          <w:b/>
          <w:bCs/>
          <w:color w:val="auto"/>
          <w:sz w:val="24"/>
          <w:szCs w:val="24"/>
          <w:lang w:val="en-US" w:eastAsia="zh-CN"/>
        </w:rPr>
        <w:t>2</w:t>
      </w:r>
      <w:r>
        <w:rPr>
          <w:rFonts w:ascii="Times New Roman" w:hAnsi="Times New Roman" w:eastAsia="宋体" w:cs="Times New Roman"/>
          <w:b/>
          <w:bCs/>
          <w:color w:val="auto"/>
          <w:sz w:val="24"/>
          <w:szCs w:val="24"/>
        </w:rPr>
        <w:t>废气治理措施评估</w:t>
      </w:r>
    </w:p>
    <w:p w14:paraId="69054024">
      <w:pPr>
        <w:spacing w:line="360" w:lineRule="auto"/>
        <w:ind w:firstLine="480" w:firstLineChars="200"/>
        <w:rPr>
          <w:color w:val="auto"/>
          <w:sz w:val="24"/>
          <w:szCs w:val="32"/>
        </w:rPr>
      </w:pPr>
      <w:r>
        <w:rPr>
          <w:color w:val="auto"/>
          <w:sz w:val="24"/>
          <w:szCs w:val="32"/>
        </w:rPr>
        <w:t>目前厂区有组织废气处理措施主要见下表：</w:t>
      </w:r>
    </w:p>
    <w:p w14:paraId="097A9600">
      <w:pPr>
        <w:spacing w:line="360" w:lineRule="auto"/>
        <w:jc w:val="center"/>
        <w:rPr>
          <w:b/>
          <w:bCs/>
          <w:color w:val="auto"/>
          <w:sz w:val="24"/>
          <w:szCs w:val="32"/>
        </w:rPr>
      </w:pPr>
      <w:r>
        <w:rPr>
          <w:b/>
          <w:bCs/>
          <w:color w:val="auto"/>
          <w:sz w:val="24"/>
          <w:szCs w:val="32"/>
        </w:rPr>
        <w:t>表5-</w:t>
      </w:r>
      <w:r>
        <w:rPr>
          <w:rFonts w:hint="eastAsia"/>
          <w:b/>
          <w:bCs/>
          <w:color w:val="auto"/>
          <w:sz w:val="24"/>
          <w:szCs w:val="32"/>
          <w:lang w:val="en-US" w:eastAsia="zh-CN"/>
        </w:rPr>
        <w:t xml:space="preserve">2 </w:t>
      </w:r>
      <w:r>
        <w:rPr>
          <w:b/>
          <w:bCs/>
          <w:color w:val="auto"/>
          <w:sz w:val="24"/>
          <w:szCs w:val="32"/>
        </w:rPr>
        <w:t>有组织废气处理措施一览表</w:t>
      </w:r>
    </w:p>
    <w:tbl>
      <w:tblPr>
        <w:tblStyle w:val="31"/>
        <w:tblW w:w="4993"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656"/>
        <w:gridCol w:w="1873"/>
        <w:gridCol w:w="1266"/>
        <w:gridCol w:w="4574"/>
        <w:gridCol w:w="1393"/>
      </w:tblGrid>
      <w:tr w14:paraId="470DD0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blHeader/>
          <w:jc w:val="center"/>
        </w:trPr>
        <w:tc>
          <w:tcPr>
            <w:tcW w:w="336" w:type="pct"/>
            <w:tcBorders>
              <w:tl2br w:val="nil"/>
              <w:tr2bl w:val="nil"/>
            </w:tcBorders>
            <w:vAlign w:val="center"/>
          </w:tcPr>
          <w:p w14:paraId="3ED92736">
            <w:pPr>
              <w:widowControl/>
              <w:spacing w:line="280" w:lineRule="exact"/>
              <w:jc w:val="center"/>
              <w:textAlignment w:val="center"/>
              <w:rPr>
                <w:b/>
                <w:bCs/>
                <w:color w:val="auto"/>
                <w:kern w:val="0"/>
                <w:sz w:val="21"/>
                <w:szCs w:val="21"/>
                <w:lang w:bidi="ar"/>
              </w:rPr>
            </w:pPr>
            <w:r>
              <w:rPr>
                <w:b/>
                <w:bCs/>
                <w:color w:val="auto"/>
                <w:kern w:val="0"/>
                <w:sz w:val="21"/>
                <w:szCs w:val="21"/>
                <w:lang w:bidi="ar"/>
              </w:rPr>
              <w:t>所在</w:t>
            </w:r>
          </w:p>
          <w:p w14:paraId="2BC218B6">
            <w:pPr>
              <w:widowControl/>
              <w:spacing w:line="280" w:lineRule="exact"/>
              <w:jc w:val="center"/>
              <w:textAlignment w:val="center"/>
              <w:rPr>
                <w:b/>
                <w:bCs/>
                <w:color w:val="auto"/>
                <w:sz w:val="21"/>
                <w:szCs w:val="21"/>
              </w:rPr>
            </w:pPr>
            <w:r>
              <w:rPr>
                <w:b/>
                <w:bCs/>
                <w:color w:val="auto"/>
                <w:kern w:val="0"/>
                <w:sz w:val="21"/>
                <w:szCs w:val="21"/>
                <w:lang w:bidi="ar"/>
              </w:rPr>
              <w:t>车间</w:t>
            </w:r>
          </w:p>
        </w:tc>
        <w:tc>
          <w:tcPr>
            <w:tcW w:w="959" w:type="pct"/>
            <w:tcBorders>
              <w:tl2br w:val="nil"/>
              <w:tr2bl w:val="nil"/>
            </w:tcBorders>
            <w:vAlign w:val="center"/>
          </w:tcPr>
          <w:p w14:paraId="503ACCA4">
            <w:pPr>
              <w:widowControl/>
              <w:spacing w:line="280" w:lineRule="exact"/>
              <w:jc w:val="center"/>
              <w:textAlignment w:val="center"/>
              <w:rPr>
                <w:b/>
                <w:bCs/>
                <w:color w:val="auto"/>
                <w:sz w:val="21"/>
                <w:szCs w:val="21"/>
              </w:rPr>
            </w:pPr>
            <w:r>
              <w:rPr>
                <w:b/>
                <w:bCs/>
                <w:color w:val="auto"/>
                <w:kern w:val="0"/>
                <w:sz w:val="21"/>
                <w:szCs w:val="21"/>
                <w:lang w:bidi="ar"/>
              </w:rPr>
              <w:t>污染源工序</w:t>
            </w:r>
          </w:p>
        </w:tc>
        <w:tc>
          <w:tcPr>
            <w:tcW w:w="648" w:type="pct"/>
            <w:tcBorders>
              <w:tl2br w:val="nil"/>
              <w:tr2bl w:val="nil"/>
            </w:tcBorders>
            <w:vAlign w:val="center"/>
          </w:tcPr>
          <w:p w14:paraId="7AC99733">
            <w:pPr>
              <w:widowControl/>
              <w:spacing w:line="280" w:lineRule="exact"/>
              <w:jc w:val="center"/>
              <w:textAlignment w:val="center"/>
              <w:rPr>
                <w:b/>
                <w:bCs/>
                <w:color w:val="auto"/>
                <w:sz w:val="21"/>
                <w:szCs w:val="21"/>
              </w:rPr>
            </w:pPr>
            <w:r>
              <w:rPr>
                <w:b/>
                <w:bCs/>
                <w:color w:val="auto"/>
                <w:kern w:val="0"/>
                <w:sz w:val="21"/>
                <w:szCs w:val="21"/>
                <w:lang w:bidi="ar"/>
              </w:rPr>
              <w:t>污染物</w:t>
            </w:r>
          </w:p>
        </w:tc>
        <w:tc>
          <w:tcPr>
            <w:tcW w:w="2342" w:type="pct"/>
            <w:tcBorders>
              <w:tl2br w:val="nil"/>
              <w:tr2bl w:val="nil"/>
            </w:tcBorders>
            <w:vAlign w:val="center"/>
          </w:tcPr>
          <w:p w14:paraId="22BA87C0">
            <w:pPr>
              <w:widowControl/>
              <w:spacing w:line="280" w:lineRule="exact"/>
              <w:jc w:val="center"/>
              <w:textAlignment w:val="center"/>
              <w:rPr>
                <w:b/>
                <w:bCs/>
                <w:color w:val="auto"/>
                <w:kern w:val="0"/>
                <w:sz w:val="21"/>
                <w:szCs w:val="21"/>
                <w:lang w:bidi="ar"/>
              </w:rPr>
            </w:pPr>
            <w:r>
              <w:rPr>
                <w:rFonts w:hint="eastAsia"/>
                <w:b/>
                <w:bCs/>
                <w:color w:val="auto"/>
                <w:kern w:val="0"/>
                <w:sz w:val="21"/>
                <w:szCs w:val="21"/>
                <w:lang w:val="en-US" w:eastAsia="zh-CN" w:bidi="ar"/>
              </w:rPr>
              <w:t>收集</w:t>
            </w:r>
            <w:r>
              <w:rPr>
                <w:b/>
                <w:bCs/>
                <w:color w:val="auto"/>
                <w:kern w:val="0"/>
                <w:sz w:val="21"/>
                <w:szCs w:val="21"/>
                <w:lang w:bidi="ar"/>
              </w:rPr>
              <w:t>治理措施</w:t>
            </w:r>
          </w:p>
        </w:tc>
        <w:tc>
          <w:tcPr>
            <w:tcW w:w="713" w:type="pct"/>
            <w:tcBorders>
              <w:tl2br w:val="nil"/>
              <w:tr2bl w:val="nil"/>
            </w:tcBorders>
            <w:vAlign w:val="center"/>
          </w:tcPr>
          <w:p w14:paraId="7FD8E8CF">
            <w:pPr>
              <w:widowControl/>
              <w:spacing w:line="280" w:lineRule="exact"/>
              <w:jc w:val="center"/>
              <w:textAlignment w:val="center"/>
              <w:rPr>
                <w:rFonts w:hint="default"/>
                <w:b/>
                <w:bCs/>
                <w:color w:val="auto"/>
                <w:kern w:val="0"/>
                <w:sz w:val="21"/>
                <w:szCs w:val="21"/>
                <w:lang w:val="en-US" w:eastAsia="zh-CN" w:bidi="ar"/>
              </w:rPr>
            </w:pPr>
            <w:r>
              <w:rPr>
                <w:rFonts w:hint="eastAsia"/>
                <w:b/>
                <w:bCs/>
                <w:color w:val="auto"/>
                <w:kern w:val="0"/>
                <w:sz w:val="21"/>
                <w:szCs w:val="21"/>
                <w:lang w:val="en-US" w:eastAsia="zh-CN" w:bidi="ar"/>
              </w:rPr>
              <w:t>备注</w:t>
            </w:r>
          </w:p>
        </w:tc>
      </w:tr>
      <w:tr w14:paraId="34CDDFE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893" w:hRule="atLeast"/>
          <w:jc w:val="center"/>
        </w:trPr>
        <w:tc>
          <w:tcPr>
            <w:tcW w:w="336" w:type="pct"/>
            <w:vMerge w:val="restart"/>
            <w:tcBorders>
              <w:tl2br w:val="nil"/>
              <w:tr2bl w:val="nil"/>
            </w:tcBorders>
            <w:vAlign w:val="center"/>
          </w:tcPr>
          <w:p w14:paraId="002F2BBC">
            <w:pPr>
              <w:widowControl/>
              <w:spacing w:line="280" w:lineRule="exact"/>
              <w:jc w:val="center"/>
              <w:textAlignment w:val="center"/>
              <w:rPr>
                <w:color w:val="auto"/>
                <w:sz w:val="21"/>
                <w:szCs w:val="21"/>
              </w:rPr>
            </w:pPr>
            <w:r>
              <w:rPr>
                <w:rFonts w:hint="eastAsia"/>
                <w:color w:val="auto"/>
                <w:kern w:val="0"/>
                <w:sz w:val="21"/>
                <w:szCs w:val="21"/>
                <w:lang w:val="en-US" w:eastAsia="zh-CN" w:bidi="ar"/>
              </w:rPr>
              <w:t>生产</w:t>
            </w:r>
            <w:r>
              <w:rPr>
                <w:color w:val="auto"/>
                <w:kern w:val="0"/>
                <w:sz w:val="21"/>
                <w:szCs w:val="21"/>
                <w:lang w:bidi="ar"/>
              </w:rPr>
              <w:t>车间</w:t>
            </w:r>
          </w:p>
        </w:tc>
        <w:tc>
          <w:tcPr>
            <w:tcW w:w="959" w:type="pct"/>
            <w:tcBorders>
              <w:tl2br w:val="nil"/>
              <w:tr2bl w:val="nil"/>
            </w:tcBorders>
            <w:vAlign w:val="center"/>
          </w:tcPr>
          <w:p w14:paraId="56C4A3F1">
            <w:pPr>
              <w:widowControl/>
              <w:spacing w:line="280" w:lineRule="exact"/>
              <w:jc w:val="center"/>
              <w:textAlignment w:val="center"/>
              <w:rPr>
                <w:rFonts w:hint="eastAsia" w:eastAsia="宋体"/>
                <w:color w:val="auto"/>
                <w:sz w:val="21"/>
                <w:szCs w:val="21"/>
                <w:lang w:val="en-US" w:eastAsia="zh-CN"/>
              </w:rPr>
            </w:pPr>
            <w:r>
              <w:rPr>
                <w:rFonts w:hint="default" w:ascii="Times New Roman" w:hAnsi="Times New Roman" w:cs="Times New Roman"/>
                <w:b w:val="0"/>
                <w:bCs w:val="0"/>
                <w:color w:val="auto"/>
                <w:sz w:val="21"/>
                <w:szCs w:val="21"/>
                <w:lang w:eastAsia="zh-CN"/>
              </w:rPr>
              <w:t>熔炼</w:t>
            </w:r>
            <w:r>
              <w:rPr>
                <w:rFonts w:hint="eastAsia" w:ascii="Times New Roman" w:hAnsi="Times New Roman" w:cs="Times New Roman"/>
                <w:b w:val="0"/>
                <w:bCs w:val="0"/>
                <w:color w:val="auto"/>
                <w:sz w:val="21"/>
                <w:szCs w:val="21"/>
                <w:lang w:eastAsia="zh-CN"/>
              </w:rPr>
              <w:t>、</w:t>
            </w:r>
            <w:r>
              <w:rPr>
                <w:rFonts w:hint="eastAsia" w:ascii="Times New Roman" w:hAnsi="Times New Roman" w:cs="Times New Roman"/>
                <w:b w:val="0"/>
                <w:bCs w:val="0"/>
                <w:color w:val="auto"/>
                <w:sz w:val="21"/>
                <w:szCs w:val="21"/>
                <w:lang w:val="en-US" w:eastAsia="zh-CN"/>
              </w:rPr>
              <w:t>精炼</w:t>
            </w:r>
            <w:r>
              <w:rPr>
                <w:rFonts w:hint="default" w:ascii="Times New Roman" w:hAnsi="Times New Roman" w:cs="Times New Roman"/>
                <w:b w:val="0"/>
                <w:bCs w:val="0"/>
                <w:color w:val="auto"/>
                <w:sz w:val="21"/>
                <w:szCs w:val="21"/>
                <w:lang w:eastAsia="zh-CN"/>
              </w:rPr>
              <w:t>烟气（含天然气燃烧废气）</w:t>
            </w:r>
          </w:p>
        </w:tc>
        <w:tc>
          <w:tcPr>
            <w:tcW w:w="648" w:type="pct"/>
            <w:tcBorders>
              <w:tl2br w:val="nil"/>
              <w:tr2bl w:val="nil"/>
            </w:tcBorders>
            <w:vAlign w:val="center"/>
          </w:tcPr>
          <w:p w14:paraId="0D241E8D">
            <w:pPr>
              <w:widowControl/>
              <w:spacing w:line="280" w:lineRule="exact"/>
              <w:jc w:val="center"/>
              <w:textAlignment w:val="center"/>
              <w:rPr>
                <w:color w:val="auto"/>
                <w:sz w:val="21"/>
                <w:szCs w:val="21"/>
              </w:rPr>
            </w:pPr>
            <w:r>
              <w:rPr>
                <w:rFonts w:hint="eastAsia" w:ascii="Times New Roman" w:hAnsi="Times New Roman" w:cs="Times New Roman"/>
                <w:color w:val="auto"/>
                <w:sz w:val="21"/>
                <w:szCs w:val="21"/>
                <w:lang w:val="en-US" w:eastAsia="zh-CN"/>
              </w:rPr>
              <w:t>颗粒物</w:t>
            </w:r>
            <w:r>
              <w:rPr>
                <w:rFonts w:hint="default" w:ascii="Times New Roman" w:hAnsi="Times New Roman" w:cs="Times New Roman"/>
                <w:color w:val="auto"/>
                <w:sz w:val="21"/>
                <w:szCs w:val="21"/>
              </w:rPr>
              <w:t>、SO</w:t>
            </w:r>
            <w:r>
              <w:rPr>
                <w:rFonts w:hint="default" w:ascii="Times New Roman" w:hAnsi="Times New Roman" w:cs="Times New Roman"/>
                <w:color w:val="auto"/>
                <w:sz w:val="21"/>
                <w:szCs w:val="21"/>
                <w:vertAlign w:val="subscript"/>
              </w:rPr>
              <w:t>2</w:t>
            </w:r>
            <w:r>
              <w:rPr>
                <w:rFonts w:hint="default" w:ascii="Times New Roman" w:hAnsi="Times New Roman" w:cs="Times New Roman"/>
                <w:color w:val="auto"/>
                <w:sz w:val="21"/>
                <w:szCs w:val="21"/>
              </w:rPr>
              <w:t>、NO</w:t>
            </w:r>
            <w:r>
              <w:rPr>
                <w:rFonts w:hint="default" w:ascii="Times New Roman" w:hAnsi="Times New Roman" w:cs="Times New Roman"/>
                <w:color w:val="auto"/>
                <w:sz w:val="21"/>
                <w:szCs w:val="21"/>
                <w:vertAlign w:val="subscript"/>
              </w:rPr>
              <w:t>X</w:t>
            </w:r>
            <w:r>
              <w:rPr>
                <w:rFonts w:hint="default" w:ascii="Times New Roman" w:hAnsi="Times New Roman" w:cs="Times New Roman"/>
                <w:color w:val="auto"/>
                <w:sz w:val="21"/>
                <w:szCs w:val="21"/>
              </w:rPr>
              <w:t>、HCl、二噁英类</w:t>
            </w:r>
          </w:p>
        </w:tc>
        <w:tc>
          <w:tcPr>
            <w:tcW w:w="2342" w:type="pct"/>
            <w:vMerge w:val="restart"/>
            <w:tcBorders>
              <w:tl2br w:val="nil"/>
              <w:tr2bl w:val="nil"/>
            </w:tcBorders>
            <w:vAlign w:val="center"/>
          </w:tcPr>
          <w:p w14:paraId="74F567A6">
            <w:pPr>
              <w:widowControl/>
              <w:spacing w:line="280" w:lineRule="exact"/>
              <w:jc w:val="center"/>
              <w:textAlignment w:val="center"/>
              <w:rPr>
                <w:color w:val="auto"/>
                <w:kern w:val="0"/>
                <w:sz w:val="21"/>
                <w:szCs w:val="21"/>
                <w:lang w:bidi="ar"/>
              </w:rPr>
            </w:pPr>
            <w:r>
              <w:rPr>
                <w:rFonts w:hint="eastAsia"/>
                <w:color w:val="auto"/>
                <w:sz w:val="21"/>
                <w:szCs w:val="21"/>
                <w:lang w:val="en-US" w:eastAsia="zh-CN"/>
              </w:rPr>
              <w:t>熔炼、精炼烟气经SNCR+烟气急冷装置处理后与</w:t>
            </w:r>
            <w:r>
              <w:rPr>
                <w:rFonts w:hint="eastAsia"/>
                <w:color w:val="auto"/>
                <w:sz w:val="21"/>
                <w:szCs w:val="21"/>
                <w:lang w:eastAsia="zh-CN"/>
              </w:rPr>
              <w:t>铝渣处理</w:t>
            </w:r>
            <w:r>
              <w:rPr>
                <w:rFonts w:hint="eastAsia"/>
                <w:color w:val="auto"/>
                <w:sz w:val="21"/>
                <w:szCs w:val="21"/>
                <w:lang w:val="en-US" w:eastAsia="zh-CN"/>
              </w:rPr>
              <w:t>废气经活性炭喷粉+重力沉降除尘+布袋除尘器+碱喷淋装置处理后通过1根24.5m高的排气筒排放</w:t>
            </w:r>
          </w:p>
        </w:tc>
        <w:tc>
          <w:tcPr>
            <w:tcW w:w="713" w:type="pct"/>
            <w:vMerge w:val="restart"/>
            <w:tcBorders>
              <w:tl2br w:val="nil"/>
              <w:tr2bl w:val="nil"/>
            </w:tcBorders>
            <w:vAlign w:val="center"/>
          </w:tcPr>
          <w:p w14:paraId="47F490E1">
            <w:pPr>
              <w:widowControl/>
              <w:spacing w:line="280" w:lineRule="exact"/>
              <w:jc w:val="center"/>
              <w:textAlignment w:val="center"/>
              <w:rPr>
                <w:rFonts w:hint="eastAsia"/>
                <w:color w:val="auto"/>
                <w:sz w:val="21"/>
                <w:szCs w:val="21"/>
                <w:lang w:val="en-US" w:eastAsia="zh-CN"/>
              </w:rPr>
            </w:pPr>
            <w:r>
              <w:rPr>
                <w:rFonts w:hint="eastAsia"/>
                <w:color w:val="auto"/>
                <w:sz w:val="21"/>
                <w:szCs w:val="21"/>
                <w:lang w:val="en-US" w:eastAsia="zh-CN"/>
              </w:rPr>
              <w:t>SNCR装置、活性炭喷粉装置为安徽瑞瑟科金属材料有限公司接手该项目后新增的环保设备</w:t>
            </w:r>
          </w:p>
        </w:tc>
      </w:tr>
      <w:tr w14:paraId="79136E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251" w:hRule="atLeast"/>
          <w:jc w:val="center"/>
        </w:trPr>
        <w:tc>
          <w:tcPr>
            <w:tcW w:w="336" w:type="pct"/>
            <w:vMerge w:val="continue"/>
            <w:tcBorders>
              <w:tl2br w:val="nil"/>
              <w:tr2bl w:val="nil"/>
            </w:tcBorders>
            <w:vAlign w:val="center"/>
          </w:tcPr>
          <w:p w14:paraId="6452AF1E">
            <w:pPr>
              <w:spacing w:line="280" w:lineRule="exact"/>
              <w:jc w:val="center"/>
              <w:rPr>
                <w:color w:val="auto"/>
                <w:sz w:val="21"/>
                <w:szCs w:val="21"/>
              </w:rPr>
            </w:pPr>
          </w:p>
        </w:tc>
        <w:tc>
          <w:tcPr>
            <w:tcW w:w="959" w:type="pct"/>
            <w:tcBorders>
              <w:tl2br w:val="nil"/>
              <w:tr2bl w:val="nil"/>
            </w:tcBorders>
            <w:vAlign w:val="center"/>
          </w:tcPr>
          <w:p w14:paraId="4C97EFEA">
            <w:pPr>
              <w:widowControl/>
              <w:spacing w:line="280" w:lineRule="exact"/>
              <w:jc w:val="center"/>
              <w:textAlignment w:val="center"/>
              <w:rPr>
                <w:color w:val="auto"/>
                <w:sz w:val="21"/>
                <w:szCs w:val="21"/>
              </w:rPr>
            </w:pPr>
            <w:r>
              <w:rPr>
                <w:rFonts w:hint="eastAsia" w:ascii="Times New Roman" w:hAnsi="Times New Roman" w:cs="Times New Roman"/>
                <w:color w:val="auto"/>
                <w:sz w:val="21"/>
                <w:szCs w:val="21"/>
                <w:lang w:val="en-US" w:eastAsia="zh-CN"/>
              </w:rPr>
              <w:t>铝渣处理废气</w:t>
            </w:r>
          </w:p>
        </w:tc>
        <w:tc>
          <w:tcPr>
            <w:tcW w:w="648" w:type="pct"/>
            <w:tcBorders>
              <w:tl2br w:val="nil"/>
              <w:tr2bl w:val="nil"/>
            </w:tcBorders>
            <w:vAlign w:val="center"/>
          </w:tcPr>
          <w:p w14:paraId="7318FF6F">
            <w:pPr>
              <w:widowControl/>
              <w:spacing w:line="280" w:lineRule="exact"/>
              <w:jc w:val="center"/>
              <w:textAlignment w:val="center"/>
              <w:rPr>
                <w:rFonts w:hint="eastAsia" w:eastAsia="宋体"/>
                <w:color w:val="auto"/>
                <w:sz w:val="21"/>
                <w:szCs w:val="21"/>
                <w:lang w:val="en-US" w:eastAsia="zh-CN"/>
              </w:rPr>
            </w:pPr>
            <w:r>
              <w:rPr>
                <w:rFonts w:hint="eastAsia"/>
                <w:color w:val="auto"/>
                <w:sz w:val="21"/>
                <w:szCs w:val="21"/>
                <w:lang w:val="en-US" w:eastAsia="zh-CN"/>
              </w:rPr>
              <w:t>颗粒物</w:t>
            </w:r>
          </w:p>
        </w:tc>
        <w:tc>
          <w:tcPr>
            <w:tcW w:w="2342" w:type="pct"/>
            <w:vMerge w:val="continue"/>
            <w:tcBorders>
              <w:tl2br w:val="nil"/>
              <w:tr2bl w:val="nil"/>
            </w:tcBorders>
            <w:vAlign w:val="center"/>
          </w:tcPr>
          <w:p w14:paraId="65928A71">
            <w:pPr>
              <w:widowControl/>
              <w:spacing w:line="280" w:lineRule="exact"/>
              <w:jc w:val="center"/>
              <w:textAlignment w:val="center"/>
              <w:rPr>
                <w:color w:val="auto"/>
                <w:sz w:val="21"/>
                <w:szCs w:val="21"/>
              </w:rPr>
            </w:pPr>
          </w:p>
        </w:tc>
        <w:tc>
          <w:tcPr>
            <w:tcW w:w="713" w:type="pct"/>
            <w:vMerge w:val="continue"/>
            <w:tcBorders>
              <w:tl2br w:val="nil"/>
              <w:tr2bl w:val="nil"/>
            </w:tcBorders>
            <w:vAlign w:val="center"/>
          </w:tcPr>
          <w:p w14:paraId="69A8B11C">
            <w:pPr>
              <w:widowControl/>
              <w:spacing w:line="280" w:lineRule="exact"/>
              <w:jc w:val="center"/>
              <w:textAlignment w:val="center"/>
              <w:rPr>
                <w:color w:val="auto"/>
                <w:sz w:val="21"/>
                <w:szCs w:val="21"/>
              </w:rPr>
            </w:pPr>
          </w:p>
        </w:tc>
      </w:tr>
      <w:tr w14:paraId="067D5F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336" w:type="pct"/>
            <w:tcBorders>
              <w:tl2br w:val="nil"/>
              <w:tr2bl w:val="nil"/>
            </w:tcBorders>
            <w:vAlign w:val="center"/>
          </w:tcPr>
          <w:p w14:paraId="378F7A33">
            <w:pPr>
              <w:spacing w:line="280" w:lineRule="exact"/>
              <w:jc w:val="center"/>
              <w:rPr>
                <w:rFonts w:hint="default" w:eastAsia="宋体"/>
                <w:color w:val="auto"/>
                <w:sz w:val="21"/>
                <w:szCs w:val="21"/>
                <w:lang w:val="en-US" w:eastAsia="zh-CN"/>
              </w:rPr>
            </w:pPr>
            <w:r>
              <w:rPr>
                <w:rFonts w:hint="eastAsia"/>
                <w:color w:val="auto"/>
                <w:sz w:val="21"/>
                <w:szCs w:val="21"/>
                <w:lang w:val="en-US" w:eastAsia="zh-CN"/>
              </w:rPr>
              <w:t>危废库</w:t>
            </w:r>
          </w:p>
        </w:tc>
        <w:tc>
          <w:tcPr>
            <w:tcW w:w="959" w:type="pct"/>
            <w:tcBorders>
              <w:tl2br w:val="nil"/>
              <w:tr2bl w:val="nil"/>
            </w:tcBorders>
            <w:vAlign w:val="center"/>
          </w:tcPr>
          <w:p w14:paraId="164FD6AA">
            <w:pPr>
              <w:widowControl/>
              <w:spacing w:line="280" w:lineRule="exact"/>
              <w:jc w:val="center"/>
              <w:textAlignment w:val="center"/>
              <w:rPr>
                <w:rFonts w:hint="eastAsia" w:eastAsia="宋体"/>
                <w:color w:val="auto"/>
                <w:kern w:val="0"/>
                <w:sz w:val="21"/>
                <w:szCs w:val="21"/>
                <w:lang w:eastAsia="zh-CN" w:bidi="ar"/>
              </w:rPr>
            </w:pPr>
            <w:r>
              <w:rPr>
                <w:rFonts w:hint="eastAsia"/>
                <w:color w:val="auto"/>
                <w:kern w:val="0"/>
                <w:sz w:val="21"/>
                <w:szCs w:val="21"/>
                <w:lang w:val="en-US" w:eastAsia="zh-CN" w:bidi="ar"/>
              </w:rPr>
              <w:t>/</w:t>
            </w:r>
          </w:p>
        </w:tc>
        <w:tc>
          <w:tcPr>
            <w:tcW w:w="648" w:type="pct"/>
            <w:tcBorders>
              <w:tl2br w:val="nil"/>
              <w:tr2bl w:val="nil"/>
            </w:tcBorders>
            <w:vAlign w:val="center"/>
          </w:tcPr>
          <w:p w14:paraId="0FEAECF6">
            <w:pPr>
              <w:widowControl/>
              <w:spacing w:line="280" w:lineRule="exact"/>
              <w:jc w:val="center"/>
              <w:textAlignment w:val="center"/>
              <w:rPr>
                <w:rFonts w:hint="eastAsia" w:eastAsia="宋体"/>
                <w:b/>
                <w:color w:val="auto"/>
                <w:sz w:val="21"/>
                <w:szCs w:val="21"/>
                <w:lang w:eastAsia="zh-CN"/>
              </w:rPr>
            </w:pPr>
            <w:r>
              <w:rPr>
                <w:rFonts w:hint="eastAsia"/>
                <w:bCs/>
                <w:color w:val="auto"/>
                <w:sz w:val="21"/>
                <w:szCs w:val="21"/>
                <w:lang w:val="en-US" w:eastAsia="zh-CN"/>
              </w:rPr>
              <w:t>氨</w:t>
            </w:r>
          </w:p>
        </w:tc>
        <w:tc>
          <w:tcPr>
            <w:tcW w:w="2342" w:type="pct"/>
            <w:tcBorders>
              <w:tl2br w:val="nil"/>
              <w:tr2bl w:val="nil"/>
            </w:tcBorders>
            <w:vAlign w:val="center"/>
          </w:tcPr>
          <w:p w14:paraId="3E8FCE66">
            <w:pPr>
              <w:spacing w:line="280" w:lineRule="exact"/>
              <w:jc w:val="center"/>
              <w:textAlignment w:val="center"/>
              <w:rPr>
                <w:color w:val="auto"/>
                <w:kern w:val="0"/>
                <w:sz w:val="21"/>
                <w:szCs w:val="21"/>
                <w:lang w:bidi="ar"/>
              </w:rPr>
            </w:pPr>
            <w:r>
              <w:rPr>
                <w:rFonts w:hint="eastAsia"/>
                <w:color w:val="auto"/>
                <w:kern w:val="0"/>
                <w:sz w:val="21"/>
                <w:szCs w:val="21"/>
                <w:lang w:val="en-US" w:eastAsia="zh-CN" w:bidi="ar"/>
              </w:rPr>
              <w:t>密闭负压收集后经</w:t>
            </w:r>
            <w:r>
              <w:rPr>
                <w:color w:val="auto"/>
                <w:kern w:val="0"/>
                <w:sz w:val="21"/>
                <w:szCs w:val="21"/>
                <w:lang w:bidi="ar"/>
              </w:rPr>
              <w:t>1套</w:t>
            </w:r>
            <w:r>
              <w:rPr>
                <w:rFonts w:hint="eastAsia"/>
                <w:color w:val="auto"/>
                <w:kern w:val="0"/>
                <w:sz w:val="21"/>
                <w:szCs w:val="21"/>
                <w:lang w:val="en-US" w:eastAsia="zh-CN" w:bidi="ar"/>
              </w:rPr>
              <w:t>水</w:t>
            </w:r>
            <w:r>
              <w:rPr>
                <w:color w:val="auto"/>
                <w:kern w:val="0"/>
                <w:sz w:val="21"/>
                <w:szCs w:val="21"/>
                <w:lang w:bidi="ar"/>
              </w:rPr>
              <w:t>喷淋装置处理</w:t>
            </w:r>
            <w:r>
              <w:rPr>
                <w:rFonts w:hint="eastAsia"/>
                <w:color w:val="auto"/>
                <w:kern w:val="0"/>
                <w:sz w:val="21"/>
                <w:szCs w:val="21"/>
                <w:lang w:val="en-US" w:eastAsia="zh-CN" w:bidi="ar"/>
              </w:rPr>
              <w:t>后</w:t>
            </w:r>
            <w:r>
              <w:rPr>
                <w:rFonts w:hint="eastAsia"/>
                <w:color w:val="auto"/>
                <w:sz w:val="21"/>
                <w:szCs w:val="21"/>
                <w:lang w:val="en-US" w:eastAsia="zh-CN"/>
              </w:rPr>
              <w:t>通过1根15m高的排气筒排放（为安徽瑞瑟科金属材料有限公司接手该项目后新增的环保设备）</w:t>
            </w:r>
          </w:p>
        </w:tc>
        <w:tc>
          <w:tcPr>
            <w:tcW w:w="713" w:type="pct"/>
            <w:tcBorders>
              <w:tl2br w:val="nil"/>
              <w:tr2bl w:val="nil"/>
            </w:tcBorders>
            <w:vAlign w:val="center"/>
          </w:tcPr>
          <w:p w14:paraId="45ECC79E">
            <w:pPr>
              <w:spacing w:line="280" w:lineRule="exact"/>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本次新增</w:t>
            </w:r>
          </w:p>
        </w:tc>
      </w:tr>
    </w:tbl>
    <w:p w14:paraId="68525A2E">
      <w:pPr>
        <w:spacing w:line="360" w:lineRule="auto"/>
        <w:ind w:firstLine="480" w:firstLineChars="200"/>
        <w:rPr>
          <w:color w:val="auto"/>
          <w:sz w:val="24"/>
          <w:szCs w:val="32"/>
        </w:rPr>
      </w:pPr>
      <w:r>
        <w:rPr>
          <w:rFonts w:hint="eastAsia"/>
          <w:color w:val="auto"/>
          <w:sz w:val="24"/>
          <w:szCs w:val="32"/>
        </w:rPr>
        <w:t>治理措施有效性评估：</w:t>
      </w:r>
    </w:p>
    <w:p w14:paraId="72AE8568">
      <w:pPr>
        <w:spacing w:line="360" w:lineRule="auto"/>
        <w:ind w:firstLine="480" w:firstLineChars="200"/>
        <w:rPr>
          <w:rFonts w:hint="eastAsia"/>
          <w:color w:val="auto"/>
          <w:sz w:val="24"/>
          <w:lang w:val="en-US" w:eastAsia="zh-CN"/>
        </w:rPr>
      </w:pPr>
      <w:r>
        <w:rPr>
          <w:rFonts w:hint="eastAsia"/>
          <w:color w:val="auto"/>
          <w:sz w:val="24"/>
          <w:lang w:val="en-US" w:eastAsia="zh-CN"/>
        </w:rPr>
        <w:t>安徽瑞瑟科金属材料有限公司接手该项目后</w:t>
      </w:r>
      <w:r>
        <w:rPr>
          <w:rFonts w:hint="eastAsia" w:cs="Times New Roman"/>
          <w:color w:val="auto"/>
          <w:sz w:val="24"/>
          <w:szCs w:val="24"/>
          <w:lang w:val="en-US" w:eastAsia="zh-CN"/>
        </w:rPr>
        <w:t>为提升废气污染物防治措施</w:t>
      </w:r>
      <w:r>
        <w:rPr>
          <w:rFonts w:hint="eastAsia" w:ascii="Times New Roman" w:hAnsi="Times New Roman" w:eastAsia="宋体" w:cs="Times New Roman"/>
          <w:color w:val="auto"/>
          <w:sz w:val="24"/>
          <w:szCs w:val="24"/>
          <w:lang w:val="en-US" w:eastAsia="zh-CN"/>
        </w:rPr>
        <w:t>，新增</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SNCR</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废气处理设施</w:t>
      </w:r>
      <w:r>
        <w:rPr>
          <w:rFonts w:hint="eastAsia" w:cs="Times New Roman"/>
          <w:color w:val="auto"/>
          <w:sz w:val="24"/>
          <w:szCs w:val="24"/>
          <w:lang w:val="en-US" w:eastAsia="zh-CN"/>
        </w:rPr>
        <w:t>用于处理氮氧化物废气、新增“活性炭喷粉”处理设施用于处理二噁英废气</w:t>
      </w:r>
      <w:r>
        <w:rPr>
          <w:rFonts w:hint="eastAsia" w:ascii="Times New Roman" w:hAnsi="Times New Roman" w:eastAsia="宋体" w:cs="Times New Roman"/>
          <w:color w:val="auto"/>
          <w:sz w:val="24"/>
          <w:szCs w:val="24"/>
          <w:lang w:val="en-US" w:eastAsia="zh-CN"/>
        </w:rPr>
        <w:t>；并新增一套</w:t>
      </w:r>
      <w:r>
        <w:rPr>
          <w:rFonts w:hint="eastAsia" w:cs="Times New Roman"/>
          <w:color w:val="auto"/>
          <w:sz w:val="24"/>
          <w:highlight w:val="none"/>
          <w:lang w:val="en-US" w:eastAsia="zh-CN"/>
        </w:rPr>
        <w:t>“一级水喷淋装置”用于处理</w:t>
      </w:r>
      <w:r>
        <w:rPr>
          <w:rFonts w:hint="eastAsia" w:cs="Times New Roman"/>
          <w:b w:val="0"/>
          <w:bCs w:val="0"/>
          <w:color w:val="auto"/>
          <w:sz w:val="24"/>
          <w:szCs w:val="24"/>
          <w:lang w:val="en-US" w:eastAsia="zh-CN"/>
        </w:rPr>
        <w:t>危废库在</w:t>
      </w:r>
      <w:r>
        <w:rPr>
          <w:rFonts w:hint="default" w:ascii="Times New Roman" w:hAnsi="Times New Roman" w:eastAsia="宋体" w:cs="Times New Roman"/>
          <w:color w:val="auto"/>
          <w:sz w:val="24"/>
          <w:highlight w:val="none"/>
          <w:lang w:val="en-US" w:eastAsia="zh-CN"/>
        </w:rPr>
        <w:t>铝灰</w:t>
      </w:r>
      <w:r>
        <w:rPr>
          <w:rFonts w:hint="eastAsia" w:cs="Times New Roman"/>
          <w:color w:val="auto"/>
          <w:sz w:val="24"/>
          <w:highlight w:val="none"/>
          <w:lang w:val="en-US" w:eastAsia="zh-CN"/>
        </w:rPr>
        <w:t>暂存过程</w:t>
      </w:r>
      <w:r>
        <w:rPr>
          <w:rFonts w:hint="default" w:ascii="Times New Roman" w:hAnsi="Times New Roman" w:eastAsia="宋体" w:cs="Times New Roman"/>
          <w:color w:val="auto"/>
          <w:sz w:val="24"/>
          <w:highlight w:val="none"/>
          <w:lang w:val="en-US" w:eastAsia="zh-CN"/>
        </w:rPr>
        <w:t>中的氮化铝与空气中的水蒸气反应生成氨气</w:t>
      </w:r>
      <w:r>
        <w:rPr>
          <w:rFonts w:hint="eastAsia"/>
          <w:color w:val="auto"/>
          <w:sz w:val="24"/>
          <w:lang w:val="en-US" w:eastAsia="zh-CN"/>
        </w:rPr>
        <w:t>。</w:t>
      </w:r>
    </w:p>
    <w:p w14:paraId="219D467F">
      <w:pPr>
        <w:spacing w:line="360" w:lineRule="auto"/>
        <w:ind w:firstLine="480" w:firstLineChars="200"/>
        <w:rPr>
          <w:rFonts w:hint="eastAsia" w:ascii="Times New Roman" w:hAnsi="Times New Roman" w:eastAsia="宋体" w:cs="Times New Roman"/>
          <w:color w:val="auto"/>
          <w:kern w:val="0"/>
          <w:sz w:val="24"/>
          <w:lang w:eastAsia="zh-CN"/>
        </w:rPr>
      </w:pP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1</w:t>
      </w: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氮氧化物防治（脱硝）技术可行性分析</w:t>
      </w:r>
    </w:p>
    <w:p w14:paraId="184BB3FF">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本项目烟气采用选择性非催化还原脱硝技术</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SNCR</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脱硝</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本项目工程非催化还原脱硝技术</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SNCR</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脱硝是将尿素通过喷射系统直接喷入锅炉炉膛出口合适温度区域</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900~1100℃</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，尿素迅速分解为氨，雾化后氨与NOx</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NO、NO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等混合物</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进行选择性非催化还原反应，将NOx转化成无污染的N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。当反应区温度过低时，反应效率会降低；当反应区温度过高时，氨会直接被氧化成N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和NO。</w:t>
      </w:r>
    </w:p>
    <w:p w14:paraId="3D61AB43">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炉内发生的主要化学反应有：</w:t>
      </w:r>
    </w:p>
    <w:p w14:paraId="463444C4">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4NO+4NH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→4N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+6H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034E6188">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6NO+4NH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→5N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+6H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7D3F75BC">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6NO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+8NH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→7N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+12H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29267D09">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2NO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+4NH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→3N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+6H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24711B9A">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SNCR法脱硝装置包括尿素输送供给系统、还原剂喷射系统等部分。</w:t>
      </w:r>
    </w:p>
    <w:p w14:paraId="1D5FE391">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SNCR技术不需要催化剂，投资成本较低。</w:t>
      </w:r>
    </w:p>
    <w:p w14:paraId="05D2A5FD">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综合以上分析，本项目采用选择性非催化还原脱硝技术(SNCR)脱硝，配套采用低温燃烧和分段燃烧技术控制，脱硝效率可达50%的目标要求。根据《排污许可申请与核发技术规范</w:t>
      </w:r>
      <w:r>
        <w:rPr>
          <w:rFonts w:hint="eastAsia" w:cs="Times New Roman"/>
          <w:color w:val="auto"/>
          <w:kern w:val="0"/>
          <w:sz w:val="24"/>
          <w:lang w:val="en-US" w:eastAsia="zh-CN"/>
        </w:rPr>
        <w:t xml:space="preserve"> 有色金属工业—</w:t>
      </w:r>
      <w:r>
        <w:rPr>
          <w:rFonts w:hint="default" w:ascii="Times New Roman" w:hAnsi="Times New Roman" w:eastAsia="宋体" w:cs="Times New Roman"/>
          <w:color w:val="auto"/>
          <w:kern w:val="0"/>
          <w:sz w:val="24"/>
        </w:rPr>
        <w:t>再生金属》（HJ863.4-2018）再生铝废气污染防</w:t>
      </w:r>
      <w:r>
        <w:rPr>
          <w:rFonts w:hint="eastAsia" w:cs="Times New Roman"/>
          <w:color w:val="auto"/>
          <w:kern w:val="0"/>
          <w:sz w:val="24"/>
          <w:lang w:val="en-US" w:eastAsia="zh-CN"/>
        </w:rPr>
        <w:t>治</w:t>
      </w:r>
      <w:r>
        <w:rPr>
          <w:rFonts w:hint="default" w:ascii="Times New Roman" w:hAnsi="Times New Roman" w:eastAsia="宋体" w:cs="Times New Roman"/>
          <w:color w:val="auto"/>
          <w:kern w:val="0"/>
          <w:sz w:val="24"/>
        </w:rPr>
        <w:t>可行推荐技术，SNCR为再生铝废气污染防</w:t>
      </w:r>
      <w:r>
        <w:rPr>
          <w:rFonts w:hint="eastAsia" w:cs="Times New Roman"/>
          <w:color w:val="auto"/>
          <w:kern w:val="0"/>
          <w:sz w:val="24"/>
          <w:lang w:val="en-US" w:eastAsia="zh-CN"/>
        </w:rPr>
        <w:t>治</w:t>
      </w:r>
      <w:r>
        <w:rPr>
          <w:rFonts w:hint="default" w:ascii="Times New Roman" w:hAnsi="Times New Roman" w:eastAsia="宋体" w:cs="Times New Roman"/>
          <w:color w:val="auto"/>
          <w:kern w:val="0"/>
          <w:sz w:val="24"/>
        </w:rPr>
        <w:t>可行推荐技术，因此采取SNCR脱硝是可行的。</w:t>
      </w:r>
    </w:p>
    <w:p w14:paraId="693ADA77">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jc w:val="center"/>
        <w:textAlignment w:val="baseline"/>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lang w:val="en-US" w:eastAsia="zh-CN"/>
        </w:rPr>
        <w:t>表</w:t>
      </w:r>
      <w:r>
        <w:rPr>
          <w:rFonts w:hint="eastAsia" w:ascii="Times New Roman" w:hAnsi="Times New Roman" w:eastAsia="宋体" w:cs="Times New Roman"/>
          <w:b/>
          <w:bCs/>
          <w:color w:val="auto"/>
          <w:kern w:val="0"/>
          <w:sz w:val="24"/>
          <w:lang w:val="en-US" w:eastAsia="zh-CN"/>
        </w:rPr>
        <w:t>5-</w:t>
      </w:r>
      <w:r>
        <w:rPr>
          <w:rFonts w:hint="eastAsia" w:cs="Times New Roman"/>
          <w:b/>
          <w:bCs/>
          <w:color w:val="auto"/>
          <w:kern w:val="0"/>
          <w:sz w:val="24"/>
          <w:lang w:val="en-US" w:eastAsia="zh-CN"/>
        </w:rPr>
        <w:t>3</w:t>
      </w:r>
      <w:r>
        <w:rPr>
          <w:rFonts w:hint="default" w:ascii="Times New Roman" w:hAnsi="Times New Roman" w:eastAsia="宋体" w:cs="Times New Roman"/>
          <w:b/>
          <w:bCs/>
          <w:color w:val="auto"/>
          <w:kern w:val="0"/>
          <w:sz w:val="24"/>
          <w:lang w:val="en-US" w:eastAsia="zh-CN"/>
        </w:rPr>
        <w:t xml:space="preserve"> 再生铝废气污染防治措施可行推荐技术</w:t>
      </w:r>
    </w:p>
    <w:tbl>
      <w:tblPr>
        <w:tblStyle w:val="32"/>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75"/>
        <w:gridCol w:w="2181"/>
        <w:gridCol w:w="3741"/>
        <w:gridCol w:w="2063"/>
        <w:gridCol w:w="1202"/>
      </w:tblGrid>
      <w:tr w14:paraId="52F1F1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9" w:type="pct"/>
            <w:vAlign w:val="center"/>
          </w:tcPr>
          <w:p w14:paraId="6C0733B8">
            <w:pPr>
              <w:widowControl w:val="0"/>
              <w:adjustRightInd w:val="0"/>
              <w:snapToGrid w:val="0"/>
              <w:jc w:val="center"/>
              <w:rPr>
                <w:rFonts w:hint="default" w:ascii="Times New Roman" w:hAnsi="Times New Roman" w:eastAsia="宋体" w:cs="Times New Roman"/>
                <w:b/>
                <w:bCs/>
                <w:color w:val="auto"/>
                <w:kern w:val="0"/>
                <w:sz w:val="21"/>
                <w:szCs w:val="21"/>
              </w:rPr>
            </w:pPr>
            <w:bookmarkStart w:id="364" w:name="OLE_LINK516"/>
            <w:r>
              <w:rPr>
                <w:rFonts w:hint="default" w:ascii="Times New Roman" w:hAnsi="Times New Roman" w:eastAsia="宋体" w:cs="Times New Roman"/>
                <w:b/>
                <w:bCs/>
                <w:color w:val="auto"/>
                <w:kern w:val="0"/>
                <w:sz w:val="21"/>
                <w:szCs w:val="21"/>
              </w:rPr>
              <w:t>污染类型</w:t>
            </w:r>
          </w:p>
        </w:tc>
        <w:tc>
          <w:tcPr>
            <w:tcW w:w="1094" w:type="pct"/>
            <w:vAlign w:val="center"/>
          </w:tcPr>
          <w:p w14:paraId="7B978121">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污染因子</w:t>
            </w:r>
          </w:p>
        </w:tc>
        <w:tc>
          <w:tcPr>
            <w:tcW w:w="1877" w:type="pct"/>
            <w:vAlign w:val="center"/>
          </w:tcPr>
          <w:p w14:paraId="3D7E0847">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可行技术</w:t>
            </w:r>
          </w:p>
        </w:tc>
        <w:tc>
          <w:tcPr>
            <w:tcW w:w="1035" w:type="pct"/>
            <w:vAlign w:val="center"/>
          </w:tcPr>
          <w:p w14:paraId="56F1F655">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本</w:t>
            </w:r>
            <w:r>
              <w:rPr>
                <w:rFonts w:hint="eastAsia" w:ascii="Times New Roman" w:hAnsi="Times New Roman" w:eastAsia="宋体" w:cs="Times New Roman"/>
                <w:b/>
                <w:bCs/>
                <w:color w:val="auto"/>
                <w:kern w:val="0"/>
                <w:sz w:val="21"/>
                <w:szCs w:val="21"/>
                <w:lang w:val="en-US" w:eastAsia="zh-CN"/>
              </w:rPr>
              <w:t>次</w:t>
            </w:r>
            <w:r>
              <w:rPr>
                <w:rFonts w:hint="default" w:ascii="Times New Roman" w:hAnsi="Times New Roman" w:eastAsia="宋体" w:cs="Times New Roman"/>
                <w:b/>
                <w:bCs/>
                <w:color w:val="auto"/>
                <w:kern w:val="0"/>
                <w:sz w:val="21"/>
                <w:szCs w:val="21"/>
              </w:rPr>
              <w:t>采用的废气处理技术</w:t>
            </w:r>
          </w:p>
        </w:tc>
        <w:tc>
          <w:tcPr>
            <w:tcW w:w="603" w:type="pct"/>
            <w:vAlign w:val="center"/>
          </w:tcPr>
          <w:p w14:paraId="4A0B2580">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符合性</w:t>
            </w:r>
          </w:p>
        </w:tc>
      </w:tr>
      <w:tr w14:paraId="5D47DA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30" w:hRule="atLeast"/>
        </w:trPr>
        <w:tc>
          <w:tcPr>
            <w:tcW w:w="389" w:type="pct"/>
            <w:vAlign w:val="center"/>
          </w:tcPr>
          <w:p w14:paraId="23F14B34">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废气</w:t>
            </w:r>
          </w:p>
        </w:tc>
        <w:tc>
          <w:tcPr>
            <w:tcW w:w="1094" w:type="pct"/>
            <w:vAlign w:val="center"/>
          </w:tcPr>
          <w:p w14:paraId="6F516853">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氮氧化物</w:t>
            </w:r>
          </w:p>
        </w:tc>
        <w:tc>
          <w:tcPr>
            <w:tcW w:w="1877" w:type="pct"/>
            <w:vAlign w:val="center"/>
          </w:tcPr>
          <w:p w14:paraId="17C6A077">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选择性还原催化法（SCR）、选择性非还原催化法（SNCR）</w:t>
            </w:r>
          </w:p>
        </w:tc>
        <w:tc>
          <w:tcPr>
            <w:tcW w:w="1035" w:type="pct"/>
            <w:vAlign w:val="center"/>
          </w:tcPr>
          <w:p w14:paraId="6000F4E0">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配套SNCR脱硝设施</w:t>
            </w:r>
          </w:p>
        </w:tc>
        <w:tc>
          <w:tcPr>
            <w:tcW w:w="603" w:type="pct"/>
            <w:vAlign w:val="center"/>
          </w:tcPr>
          <w:p w14:paraId="08F0795D">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符合</w:t>
            </w:r>
          </w:p>
        </w:tc>
      </w:tr>
      <w:bookmarkEnd w:id="364"/>
    </w:tbl>
    <w:p w14:paraId="326098D8">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jc w:val="left"/>
        <w:textAlignment w:val="baseline"/>
        <w:rPr>
          <w:rFonts w:hint="default" w:ascii="Times New Roman" w:hAnsi="Times New Roman" w:eastAsia="宋体" w:cs="Times New Roman"/>
          <w:color w:val="auto"/>
          <w:kern w:val="0"/>
          <w:sz w:val="24"/>
        </w:rPr>
      </w:pPr>
    </w:p>
    <w:p w14:paraId="3974D7B9">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color w:val="auto"/>
          <w:kern w:val="0"/>
          <w:sz w:val="24"/>
          <w:lang w:val="en-US" w:eastAsia="zh-CN"/>
        </w:rPr>
      </w:pP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2</w:t>
      </w:r>
      <w:r>
        <w:rPr>
          <w:rFonts w:hint="eastAsia" w:ascii="Times New Roman" w:hAnsi="Times New Roman" w:eastAsia="宋体" w:cs="Times New Roman"/>
          <w:color w:val="auto"/>
          <w:kern w:val="0"/>
          <w:sz w:val="24"/>
          <w:lang w:eastAsia="zh-CN"/>
        </w:rPr>
        <w:t>）</w:t>
      </w:r>
      <w:r>
        <w:rPr>
          <w:rFonts w:hint="eastAsia" w:cs="Times New Roman"/>
          <w:color w:val="auto"/>
          <w:kern w:val="0"/>
          <w:sz w:val="24"/>
          <w:lang w:val="en-US" w:eastAsia="zh-CN"/>
        </w:rPr>
        <w:t>二噁英防治技术可行性分析</w:t>
      </w:r>
    </w:p>
    <w:p w14:paraId="60891EC2">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color w:val="auto"/>
          <w:kern w:val="0"/>
          <w:sz w:val="24"/>
          <w:lang w:val="en-US" w:eastAsia="zh-CN"/>
        </w:rPr>
      </w:pPr>
      <w:r>
        <w:rPr>
          <w:rFonts w:hint="default" w:ascii="Times New Roman" w:hAnsi="Times New Roman" w:cs="Times New Roman"/>
          <w:color w:val="auto"/>
          <w:kern w:val="0"/>
          <w:sz w:val="24"/>
          <w:lang w:val="en-US" w:eastAsia="zh-CN"/>
        </w:rPr>
        <w:t>再生铝生产核心废气来源为熔炼、精炼及渣处理工段，烟气具有温度波动范围适中、含尘量较高、同时伴随重金属（铅、砷等）及酸性气体（HCI、氟化物）等特点，二噁英排放浓度受原料特性（如含油、含涂层废铝）影响较大，其中颗粒态二噁英吸附于≤1μm的超细飞灰上，气态二噁英则以分子形式存在，难以通过简单除尘去除。</w:t>
      </w:r>
    </w:p>
    <w:p w14:paraId="2AD4DBAD">
      <w:pPr>
        <w:spacing w:line="360" w:lineRule="auto"/>
        <w:ind w:firstLine="480"/>
        <w:rPr>
          <w:color w:val="auto"/>
          <w:sz w:val="24"/>
          <w:szCs w:val="32"/>
        </w:rPr>
      </w:pPr>
      <w:r>
        <w:rPr>
          <w:color w:val="auto"/>
          <w:sz w:val="24"/>
          <w:szCs w:val="32"/>
        </w:rPr>
        <w:t>根据PCDD/Fs的生成机理，PCDD/Fs生成方式以</w:t>
      </w:r>
      <w:r>
        <w:rPr>
          <w:rFonts w:hint="eastAsia"/>
          <w:color w:val="auto"/>
          <w:sz w:val="24"/>
          <w:szCs w:val="32"/>
          <w:lang w:eastAsia="zh-CN"/>
        </w:rPr>
        <w:t>“</w:t>
      </w:r>
      <w:r>
        <w:rPr>
          <w:color w:val="auto"/>
          <w:sz w:val="24"/>
          <w:szCs w:val="32"/>
        </w:rPr>
        <w:t>前驱体合成</w:t>
      </w:r>
      <w:r>
        <w:rPr>
          <w:rFonts w:hint="eastAsia"/>
          <w:color w:val="auto"/>
          <w:sz w:val="24"/>
          <w:szCs w:val="32"/>
          <w:lang w:eastAsia="zh-CN"/>
        </w:rPr>
        <w:t>”</w:t>
      </w:r>
      <w:r>
        <w:rPr>
          <w:color w:val="auto"/>
          <w:sz w:val="24"/>
          <w:szCs w:val="32"/>
        </w:rPr>
        <w:t>和</w:t>
      </w:r>
      <w:r>
        <w:rPr>
          <w:rFonts w:hint="eastAsia"/>
          <w:color w:val="auto"/>
          <w:sz w:val="24"/>
          <w:szCs w:val="32"/>
          <w:lang w:eastAsia="zh-CN"/>
        </w:rPr>
        <w:t>“</w:t>
      </w:r>
      <w:r>
        <w:rPr>
          <w:color w:val="auto"/>
          <w:sz w:val="24"/>
          <w:szCs w:val="32"/>
        </w:rPr>
        <w:t>热分解反应合成</w:t>
      </w:r>
      <w:r>
        <w:rPr>
          <w:rFonts w:hint="eastAsia"/>
          <w:color w:val="auto"/>
          <w:sz w:val="24"/>
          <w:szCs w:val="32"/>
          <w:lang w:eastAsia="zh-CN"/>
        </w:rPr>
        <w:t>”</w:t>
      </w:r>
      <w:r>
        <w:rPr>
          <w:color w:val="auto"/>
          <w:sz w:val="24"/>
          <w:szCs w:val="32"/>
        </w:rPr>
        <w:t>为主</w:t>
      </w:r>
      <w:r>
        <w:rPr>
          <w:rFonts w:hint="eastAsia"/>
          <w:color w:val="auto"/>
          <w:sz w:val="24"/>
          <w:szCs w:val="32"/>
          <w:lang w:eastAsia="zh-CN"/>
        </w:rPr>
        <w:t>，</w:t>
      </w:r>
      <w:r>
        <w:rPr>
          <w:rFonts w:hint="eastAsia" w:cs="Times New Roman"/>
          <w:color w:val="auto"/>
          <w:sz w:val="24"/>
          <w:szCs w:val="24"/>
          <w:lang w:val="en-US" w:eastAsia="zh-CN"/>
        </w:rPr>
        <w:t>安徽瑞瑟科金属材料有限公司</w:t>
      </w:r>
      <w:r>
        <w:rPr>
          <w:rFonts w:hint="eastAsia"/>
          <w:color w:val="auto"/>
          <w:sz w:val="24"/>
          <w:szCs w:val="32"/>
          <w:lang w:val="en-US" w:eastAsia="zh-CN"/>
        </w:rPr>
        <w:t>实际建设过程中</w:t>
      </w:r>
      <w:r>
        <w:rPr>
          <w:color w:val="auto"/>
          <w:sz w:val="24"/>
          <w:szCs w:val="32"/>
        </w:rPr>
        <w:t>采取以下三种措施避免二噁英合成：</w:t>
      </w:r>
    </w:p>
    <w:p w14:paraId="4425D6C5">
      <w:pPr>
        <w:spacing w:line="360" w:lineRule="auto"/>
        <w:ind w:firstLine="480"/>
        <w:rPr>
          <w:color w:val="auto"/>
          <w:sz w:val="24"/>
          <w:szCs w:val="32"/>
        </w:rPr>
      </w:pPr>
      <w:r>
        <w:rPr>
          <w:rFonts w:hint="eastAsia" w:ascii="宋体" w:hAnsi="宋体" w:cs="宋体"/>
          <w:color w:val="auto"/>
          <w:sz w:val="24"/>
          <w:szCs w:val="32"/>
        </w:rPr>
        <w:t>①</w:t>
      </w:r>
      <w:r>
        <w:rPr>
          <w:color w:val="auto"/>
          <w:sz w:val="24"/>
          <w:szCs w:val="32"/>
        </w:rPr>
        <w:t>采用清洁废铝，减少有机物带入，可有效抑制前驱体化合物（如氯酚、氯苯、多氯联苯等）氧化反应生成PCDD/Fs。</w:t>
      </w:r>
    </w:p>
    <w:p w14:paraId="61834D73">
      <w:pPr>
        <w:spacing w:line="360" w:lineRule="auto"/>
        <w:ind w:firstLine="480"/>
        <w:rPr>
          <w:color w:val="auto"/>
          <w:sz w:val="24"/>
          <w:szCs w:val="32"/>
        </w:rPr>
      </w:pPr>
      <w:r>
        <w:rPr>
          <w:rFonts w:hint="eastAsia" w:ascii="宋体" w:hAnsi="宋体" w:cs="宋体"/>
          <w:color w:val="auto"/>
          <w:sz w:val="24"/>
          <w:szCs w:val="32"/>
        </w:rPr>
        <w:t>②</w:t>
      </w:r>
      <w:r>
        <w:rPr>
          <w:color w:val="auto"/>
          <w:sz w:val="24"/>
          <w:szCs w:val="32"/>
        </w:rPr>
        <w:t>根据PCDD/Fs在700～800℃即可高温分解特性，本项目熔炼炉燃烧温度超过800℃，PCDD/Fs几乎完成分解。</w:t>
      </w:r>
    </w:p>
    <w:p w14:paraId="12868F4F">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color w:val="auto"/>
          <w:kern w:val="0"/>
          <w:sz w:val="24"/>
          <w:lang w:val="en-US" w:eastAsia="zh-CN"/>
        </w:rPr>
      </w:pPr>
      <w:r>
        <w:rPr>
          <w:rFonts w:hint="eastAsia" w:ascii="宋体" w:hAnsi="宋体" w:cs="宋体"/>
          <w:color w:val="auto"/>
          <w:sz w:val="24"/>
          <w:szCs w:val="32"/>
        </w:rPr>
        <w:t>③</w:t>
      </w:r>
      <w:r>
        <w:rPr>
          <w:color w:val="auto"/>
          <w:sz w:val="24"/>
          <w:szCs w:val="32"/>
        </w:rPr>
        <w:t>采用</w:t>
      </w:r>
      <w:r>
        <w:rPr>
          <w:rFonts w:hint="eastAsia"/>
          <w:color w:val="auto"/>
          <w:sz w:val="24"/>
          <w:szCs w:val="32"/>
          <w:lang w:eastAsia="zh-CN"/>
        </w:rPr>
        <w:t>“</w:t>
      </w:r>
      <w:r>
        <w:rPr>
          <w:color w:val="auto"/>
          <w:sz w:val="24"/>
          <w:szCs w:val="32"/>
        </w:rPr>
        <w:t>蜂窝蓄热陶瓷急冷</w:t>
      </w:r>
      <w:r>
        <w:rPr>
          <w:rFonts w:hint="eastAsia"/>
          <w:color w:val="auto"/>
          <w:sz w:val="24"/>
          <w:szCs w:val="32"/>
          <w:lang w:eastAsia="zh-CN"/>
        </w:rPr>
        <w:t>”</w:t>
      </w:r>
      <w:r>
        <w:rPr>
          <w:color w:val="auto"/>
          <w:sz w:val="24"/>
          <w:szCs w:val="32"/>
        </w:rPr>
        <w:t>工艺，蜂窝蓄热陶瓷急冷装置是由进风管、出风管、烟气交换室、蓄热室组成。</w:t>
      </w:r>
    </w:p>
    <w:p w14:paraId="65ED4A5C">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eastAsia" w:cs="Times New Roman"/>
          <w:color w:val="auto"/>
          <w:kern w:val="0"/>
          <w:sz w:val="24"/>
          <w:lang w:val="en-US" w:eastAsia="zh-CN"/>
        </w:rPr>
      </w:pPr>
      <w:r>
        <w:rPr>
          <w:rFonts w:hint="eastAsia" w:cs="Times New Roman"/>
          <w:color w:val="auto"/>
          <w:kern w:val="0"/>
          <w:sz w:val="24"/>
          <w:lang w:val="en-US" w:eastAsia="zh-CN"/>
        </w:rPr>
        <w:t>同时本项目新增“活性炭喷粉”装置用于处理二噁英废气。具体工艺原理如下：</w:t>
      </w:r>
    </w:p>
    <w:p w14:paraId="6B896434">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color w:val="auto"/>
          <w:kern w:val="0"/>
          <w:sz w:val="24"/>
          <w:lang w:val="en-US" w:eastAsia="zh-CN"/>
        </w:rPr>
      </w:pPr>
      <w:r>
        <w:rPr>
          <w:rFonts w:hint="default" w:ascii="Times New Roman" w:hAnsi="Times New Roman" w:cs="Times New Roman"/>
          <w:color w:val="auto"/>
          <w:kern w:val="0"/>
          <w:sz w:val="24"/>
          <w:lang w:val="en-US" w:eastAsia="zh-CN"/>
        </w:rPr>
        <w:t>粉末活性炭</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PAC</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具有比表面积大</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≥500m</w:t>
      </w:r>
      <w:r>
        <w:rPr>
          <w:rFonts w:hint="default" w:ascii="Times New Roman" w:hAnsi="Times New Roman" w:cs="Times New Roman"/>
          <w:color w:val="auto"/>
          <w:kern w:val="0"/>
          <w:sz w:val="24"/>
          <w:vertAlign w:val="superscript"/>
          <w:lang w:val="en-US" w:eastAsia="zh-CN"/>
        </w:rPr>
        <w:t>2</w:t>
      </w:r>
      <w:r>
        <w:rPr>
          <w:rFonts w:hint="default" w:ascii="Times New Roman" w:hAnsi="Times New Roman" w:cs="Times New Roman"/>
          <w:color w:val="auto"/>
          <w:kern w:val="0"/>
          <w:sz w:val="24"/>
          <w:lang w:val="en-US" w:eastAsia="zh-CN"/>
        </w:rPr>
        <w:t>/g</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、微孔发达、吸附容量强的特性，其微孔尺寸</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0.3</w:t>
      </w:r>
      <w:r>
        <w:rPr>
          <w:rFonts w:hint="eastAsia" w:ascii="Times New Roman" w:hAnsi="Times New Roman" w:cs="Times New Roman"/>
          <w:color w:val="auto"/>
          <w:kern w:val="0"/>
          <w:sz w:val="24"/>
          <w:lang w:val="en-US" w:eastAsia="zh-CN"/>
        </w:rPr>
        <w:t>~</w:t>
      </w:r>
      <w:r>
        <w:rPr>
          <w:rFonts w:hint="default" w:ascii="Times New Roman" w:hAnsi="Times New Roman" w:cs="Times New Roman"/>
          <w:color w:val="auto"/>
          <w:kern w:val="0"/>
          <w:sz w:val="24"/>
          <w:lang w:val="en-US" w:eastAsia="zh-CN"/>
        </w:rPr>
        <w:t>2nm</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与二噁英分子尺寸高度匹配，可通过范德华力快速捕获气态二噁英，并同步吸附附着于飞灰上的颗粒态二噁英，再通过后续布袋除尘设施截留活性炭及吸附污染物，实现二噁英的高效去除。该技术无需复杂的化学反应装置，反应迅速</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烟道内接触1</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3秒即可完成初步吸附</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，运行灵活，可根据再生铝生产负荷、烟气量及二噁英浓度动态调整投加量，适配再生铝原料繁杂</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洁净废铝、含油废铝、含涂层废铝等</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、工况波动较大的生产特点。</w:t>
      </w:r>
    </w:p>
    <w:p w14:paraId="61F3DA35">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eastAsia" w:cs="Times New Roman"/>
          <w:color w:val="auto"/>
          <w:kern w:val="0"/>
          <w:sz w:val="24"/>
          <w:lang w:val="en-US" w:eastAsia="zh-CN"/>
        </w:rPr>
      </w:pPr>
      <w:r>
        <w:rPr>
          <w:rFonts w:hint="default" w:ascii="Times New Roman" w:hAnsi="Times New Roman" w:eastAsia="宋体" w:cs="Times New Roman"/>
          <w:color w:val="auto"/>
          <w:kern w:val="0"/>
          <w:sz w:val="24"/>
        </w:rPr>
        <w:t>根据《排污许可申请与核发技术规范</w:t>
      </w:r>
      <w:r>
        <w:rPr>
          <w:rFonts w:hint="eastAsia" w:cs="Times New Roman"/>
          <w:color w:val="auto"/>
          <w:kern w:val="0"/>
          <w:sz w:val="24"/>
          <w:lang w:val="en-US" w:eastAsia="zh-CN"/>
        </w:rPr>
        <w:t xml:space="preserve"> 有色金属工业—</w:t>
      </w:r>
      <w:r>
        <w:rPr>
          <w:rFonts w:hint="default" w:ascii="Times New Roman" w:hAnsi="Times New Roman" w:eastAsia="宋体" w:cs="Times New Roman"/>
          <w:color w:val="auto"/>
          <w:kern w:val="0"/>
          <w:sz w:val="24"/>
        </w:rPr>
        <w:t>再生金属》（HJ863.4-2018）再生铝废气污染</w:t>
      </w:r>
      <w:r>
        <w:rPr>
          <w:rFonts w:hint="eastAsia" w:cs="Times New Roman"/>
          <w:color w:val="auto"/>
          <w:kern w:val="0"/>
          <w:sz w:val="24"/>
          <w:lang w:eastAsia="zh-CN"/>
        </w:rPr>
        <w:t>防治</w:t>
      </w:r>
      <w:r>
        <w:rPr>
          <w:rFonts w:hint="default" w:ascii="Times New Roman" w:hAnsi="Times New Roman" w:eastAsia="宋体" w:cs="Times New Roman"/>
          <w:color w:val="auto"/>
          <w:kern w:val="0"/>
          <w:sz w:val="24"/>
        </w:rPr>
        <w:t>可行推荐技术，</w:t>
      </w:r>
      <w:r>
        <w:rPr>
          <w:rFonts w:hint="eastAsia" w:cs="Times New Roman"/>
          <w:color w:val="auto"/>
          <w:kern w:val="0"/>
          <w:sz w:val="24"/>
          <w:lang w:val="en-US" w:eastAsia="zh-CN"/>
        </w:rPr>
        <w:t>活性炭喷粉</w:t>
      </w:r>
      <w:r>
        <w:rPr>
          <w:rFonts w:hint="default" w:ascii="Times New Roman" w:hAnsi="Times New Roman" w:eastAsia="宋体" w:cs="Times New Roman"/>
          <w:color w:val="auto"/>
          <w:kern w:val="0"/>
          <w:sz w:val="24"/>
        </w:rPr>
        <w:t>为再生铝废气污染防</w:t>
      </w:r>
      <w:r>
        <w:rPr>
          <w:rFonts w:hint="eastAsia" w:cs="Times New Roman"/>
          <w:color w:val="auto"/>
          <w:kern w:val="0"/>
          <w:sz w:val="24"/>
          <w:lang w:val="en-US" w:eastAsia="zh-CN"/>
        </w:rPr>
        <w:t>治</w:t>
      </w:r>
      <w:r>
        <w:rPr>
          <w:rFonts w:hint="default" w:ascii="Times New Roman" w:hAnsi="Times New Roman" w:eastAsia="宋体" w:cs="Times New Roman"/>
          <w:color w:val="auto"/>
          <w:kern w:val="0"/>
          <w:sz w:val="24"/>
        </w:rPr>
        <w:t>可行推荐技术，因此</w:t>
      </w:r>
      <w:r>
        <w:rPr>
          <w:rFonts w:hint="eastAsia" w:cs="Times New Roman"/>
          <w:color w:val="auto"/>
          <w:kern w:val="0"/>
          <w:sz w:val="24"/>
          <w:lang w:val="en-US" w:eastAsia="zh-CN"/>
        </w:rPr>
        <w:t>采用活性炭喷粉用于处理含二噁英废气</w:t>
      </w:r>
      <w:r>
        <w:rPr>
          <w:rFonts w:hint="default" w:ascii="Times New Roman" w:hAnsi="Times New Roman" w:eastAsia="宋体" w:cs="Times New Roman"/>
          <w:color w:val="auto"/>
          <w:kern w:val="0"/>
          <w:sz w:val="24"/>
        </w:rPr>
        <w:t>是可行的</w:t>
      </w:r>
    </w:p>
    <w:p w14:paraId="1F49CBD2">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eastAsia" w:ascii="Times New Roman" w:hAnsi="Times New Roman" w:eastAsia="宋体" w:cs="Times New Roman"/>
          <w:color w:val="auto"/>
          <w:kern w:val="0"/>
          <w:sz w:val="24"/>
          <w:lang w:eastAsia="zh-CN"/>
        </w:rPr>
      </w:pPr>
      <w:r>
        <w:rPr>
          <w:rFonts w:hint="eastAsia" w:cs="Times New Roman"/>
          <w:color w:val="auto"/>
          <w:kern w:val="0"/>
          <w:sz w:val="24"/>
          <w:lang w:val="en-US" w:eastAsia="zh-CN"/>
        </w:rPr>
        <w:t>（3）</w:t>
      </w:r>
      <w:r>
        <w:rPr>
          <w:rFonts w:hint="eastAsia" w:ascii="Times New Roman" w:hAnsi="Times New Roman" w:eastAsia="宋体" w:cs="Times New Roman"/>
          <w:color w:val="auto"/>
          <w:kern w:val="0"/>
          <w:sz w:val="24"/>
          <w:lang w:val="en-US" w:eastAsia="zh-CN"/>
        </w:rPr>
        <w:t>氨防治技术可行性分析</w:t>
      </w:r>
    </w:p>
    <w:p w14:paraId="7485F8ED">
      <w:pPr>
        <w:numPr>
          <w:ilvl w:val="0"/>
          <w:numId w:val="0"/>
        </w:numPr>
        <w:spacing w:line="360" w:lineRule="auto"/>
        <w:ind w:firstLine="480" w:firstLineChars="200"/>
        <w:jc w:val="left"/>
        <w:rPr>
          <w:rFonts w:hint="eastAsia" w:ascii="Times New Roman" w:hAnsi="Times New Roman" w:eastAsia="宋体" w:cs="Times New Roman"/>
          <w:b w:val="0"/>
          <w:bCs w:val="0"/>
          <w:color w:val="auto"/>
          <w:sz w:val="24"/>
          <w:szCs w:val="32"/>
          <w:highlight w:val="yellow"/>
          <w:lang w:val="en-US" w:eastAsia="zh-CN"/>
        </w:rPr>
      </w:pPr>
      <w:r>
        <w:rPr>
          <w:rFonts w:hint="eastAsia" w:cs="Times New Roman"/>
          <w:b w:val="0"/>
          <w:bCs w:val="0"/>
          <w:color w:val="auto"/>
          <w:sz w:val="24"/>
          <w:szCs w:val="32"/>
          <w:highlight w:val="none"/>
          <w:lang w:val="en-US" w:eastAsia="zh-CN"/>
        </w:rPr>
        <w:t>危废库</w:t>
      </w:r>
      <w:r>
        <w:rPr>
          <w:rFonts w:hint="eastAsia" w:ascii="Times New Roman" w:hAnsi="Times New Roman" w:eastAsia="宋体" w:cs="Times New Roman"/>
          <w:b w:val="0"/>
          <w:bCs w:val="0"/>
          <w:color w:val="auto"/>
          <w:sz w:val="24"/>
          <w:szCs w:val="32"/>
          <w:highlight w:val="none"/>
          <w:lang w:val="en-US" w:eastAsia="zh-CN"/>
        </w:rPr>
        <w:t>中铝灰渣存储区域空气湿度较大时，高温铝灰渣中的氮化铝与空气中的水蒸气反应生成氨气。根据废气产生的特点，采用一定的换气次数，废气采用负压收集，经收集后采用“</w:t>
      </w:r>
      <w:r>
        <w:rPr>
          <w:rFonts w:hint="eastAsia" w:cs="Times New Roman"/>
          <w:b w:val="0"/>
          <w:bCs w:val="0"/>
          <w:color w:val="auto"/>
          <w:sz w:val="24"/>
          <w:szCs w:val="32"/>
          <w:highlight w:val="none"/>
          <w:lang w:val="en-US" w:eastAsia="zh-CN"/>
        </w:rPr>
        <w:t>水</w:t>
      </w:r>
      <w:r>
        <w:rPr>
          <w:rFonts w:hint="eastAsia" w:ascii="Times New Roman" w:hAnsi="Times New Roman" w:eastAsia="宋体" w:cs="Times New Roman"/>
          <w:b w:val="0"/>
          <w:bCs w:val="0"/>
          <w:color w:val="auto"/>
          <w:sz w:val="24"/>
          <w:szCs w:val="32"/>
          <w:highlight w:val="none"/>
          <w:lang w:val="en-US" w:eastAsia="zh-CN"/>
        </w:rPr>
        <w:t>喷淋”装置处理。</w:t>
      </w:r>
    </w:p>
    <w:p w14:paraId="3940367C">
      <w:pPr>
        <w:adjustRightInd w:val="0"/>
        <w:snapToGrid w:val="0"/>
        <w:spacing w:line="360" w:lineRule="auto"/>
        <w:ind w:firstLine="480" w:firstLineChars="200"/>
        <w:jc w:val="left"/>
        <w:rPr>
          <w:rFonts w:ascii="Times New Roman" w:hAnsi="Times New Roman" w:eastAsia="宋体" w:cs="Times New Roman"/>
          <w:color w:val="auto"/>
          <w:sz w:val="24"/>
        </w:rPr>
      </w:pPr>
      <w:r>
        <w:rPr>
          <w:rFonts w:ascii="Times New Roman" w:hAnsi="Times New Roman" w:eastAsia="宋体" w:cs="Times New Roman"/>
          <w:color w:val="auto"/>
          <w:sz w:val="24"/>
        </w:rPr>
        <w:t>喷淋法工作原理：利用气体与液体间接触</w:t>
      </w:r>
      <w:r>
        <w:rPr>
          <w:rFonts w:hint="eastAsia" w:cs="Times New Roman"/>
          <w:color w:val="auto"/>
          <w:sz w:val="24"/>
          <w:lang w:eastAsia="zh-CN"/>
        </w:rPr>
        <w:t>，从</w:t>
      </w:r>
      <w:r>
        <w:rPr>
          <w:rFonts w:ascii="Times New Roman" w:hAnsi="Times New Roman" w:eastAsia="宋体" w:cs="Times New Roman"/>
          <w:color w:val="auto"/>
          <w:sz w:val="24"/>
        </w:rPr>
        <w:t>而将气体中的污染物传送到液体中，然后再将清洁气体与被污染的液体分离达到净化废气的目的。废气经由填充式洗涤塔，采用气液逆向吸收方式处理，即液体自塔顶向下以雾状（或小液滴）喷洒而下。废气则由塔体（逆向流）达到气液充分接触的目的。</w:t>
      </w:r>
    </w:p>
    <w:p w14:paraId="42066773">
      <w:pPr>
        <w:adjustRightInd w:val="0"/>
        <w:snapToGrid w:val="0"/>
        <w:spacing w:line="360" w:lineRule="auto"/>
        <w:ind w:firstLine="480" w:firstLineChars="200"/>
        <w:jc w:val="left"/>
        <w:rPr>
          <w:rFonts w:hint="eastAsia" w:cs="Times New Roman"/>
          <w:color w:val="auto"/>
          <w:sz w:val="24"/>
          <w:lang w:eastAsia="zh-CN"/>
        </w:rPr>
      </w:pPr>
      <w:r>
        <w:rPr>
          <w:rFonts w:hint="eastAsia" w:cs="Times New Roman"/>
          <w:color w:val="auto"/>
          <w:sz w:val="24"/>
          <w:lang w:val="en-US" w:eastAsia="zh-CN"/>
        </w:rPr>
        <w:t>水</w:t>
      </w:r>
      <w:r>
        <w:rPr>
          <w:rFonts w:ascii="Times New Roman" w:hAnsi="Times New Roman" w:eastAsia="宋体" w:cs="Times New Roman"/>
          <w:color w:val="auto"/>
          <w:sz w:val="24"/>
        </w:rPr>
        <w:t>吸收液通过水泵泵入净化塔顶部，经由布水器和填料层回落至塔底溶液箱，如此反复循环使用。熔炼、精炼过程产生的烟气经布袋除尘处理后引入喷淋塔进风段，气体经均风板向上流动经过填料层，与每层喷嘴喷出的中和液接触</w:t>
      </w:r>
      <w:r>
        <w:rPr>
          <w:rFonts w:hint="eastAsia" w:cs="Times New Roman"/>
          <w:color w:val="auto"/>
          <w:sz w:val="24"/>
          <w:lang w:eastAsia="zh-CN"/>
        </w:rPr>
        <w:t>反应</w:t>
      </w:r>
      <w:r>
        <w:rPr>
          <w:rFonts w:ascii="Times New Roman" w:hAnsi="Times New Roman" w:eastAsia="宋体" w:cs="Times New Roman"/>
          <w:color w:val="auto"/>
          <w:sz w:val="24"/>
        </w:rPr>
        <w:t>，气液进行充分中和吸收后由塔顶烟囱排入大气。本项目</w:t>
      </w:r>
      <w:r>
        <w:rPr>
          <w:rFonts w:hint="eastAsia" w:cs="Times New Roman"/>
          <w:color w:val="auto"/>
          <w:sz w:val="24"/>
          <w:lang w:val="en-US" w:eastAsia="zh-CN"/>
        </w:rPr>
        <w:t>水</w:t>
      </w:r>
      <w:r>
        <w:rPr>
          <w:rFonts w:ascii="Times New Roman" w:hAnsi="Times New Roman" w:eastAsia="宋体" w:cs="Times New Roman"/>
          <w:color w:val="auto"/>
          <w:sz w:val="24"/>
        </w:rPr>
        <w:t>喷淋塔内设置中心柱，并配置上下2层旋流板塔层，使烟气从主塔底部切向进入后呈螺旋上升，加大烟气与水雾接触的时间与距离；塔内设置2层喷淋系统，采用1寸大口径碳化硅空心锥雾化喷嘴，每层采用耐腐耐磨卧式水泵单独供水，使去除效果达到最佳；主塔上部设置不锈钢Z型高效阻水除雾器时，水汽被阻止，净气被排出。通常</w:t>
      </w:r>
      <w:r>
        <w:rPr>
          <w:rFonts w:hint="eastAsia" w:cs="Times New Roman"/>
          <w:color w:val="auto"/>
          <w:sz w:val="24"/>
          <w:lang w:val="en-US" w:eastAsia="zh-CN"/>
        </w:rPr>
        <w:t>水</w:t>
      </w:r>
      <w:r>
        <w:rPr>
          <w:rFonts w:ascii="Times New Roman" w:hAnsi="Times New Roman" w:eastAsia="宋体" w:cs="Times New Roman"/>
          <w:color w:val="auto"/>
          <w:sz w:val="24"/>
        </w:rPr>
        <w:t>喷淋系统对</w:t>
      </w:r>
      <w:r>
        <w:rPr>
          <w:rFonts w:hint="eastAsia" w:ascii="Times New Roman" w:hAnsi="Times New Roman" w:eastAsia="宋体" w:cs="Times New Roman"/>
          <w:color w:val="auto"/>
          <w:sz w:val="24"/>
          <w:lang w:val="en-US" w:eastAsia="zh-CN"/>
        </w:rPr>
        <w:t>氨气</w:t>
      </w:r>
      <w:r>
        <w:rPr>
          <w:rFonts w:ascii="Times New Roman" w:hAnsi="Times New Roman" w:eastAsia="宋体" w:cs="Times New Roman"/>
          <w:color w:val="auto"/>
          <w:sz w:val="24"/>
        </w:rPr>
        <w:t>的去除率可达到9</w:t>
      </w:r>
      <w:r>
        <w:rPr>
          <w:rFonts w:hint="eastAsia" w:cs="Times New Roman"/>
          <w:color w:val="auto"/>
          <w:sz w:val="24"/>
          <w:lang w:val="en-US" w:eastAsia="zh-CN"/>
        </w:rPr>
        <w:t>0</w:t>
      </w:r>
      <w:r>
        <w:rPr>
          <w:rFonts w:ascii="Times New Roman" w:hAnsi="Times New Roman" w:eastAsia="宋体" w:cs="Times New Roman"/>
          <w:color w:val="auto"/>
          <w:sz w:val="24"/>
        </w:rPr>
        <w:t>%以上</w:t>
      </w:r>
      <w:r>
        <w:rPr>
          <w:rFonts w:hint="eastAsia" w:cs="Times New Roman"/>
          <w:color w:val="auto"/>
          <w:sz w:val="24"/>
          <w:lang w:eastAsia="zh-CN"/>
        </w:rPr>
        <w:t>。</w:t>
      </w:r>
    </w:p>
    <w:p w14:paraId="7FA601A9">
      <w:pPr>
        <w:adjustRightInd w:val="0"/>
        <w:snapToGrid w:val="0"/>
        <w:spacing w:line="360" w:lineRule="auto"/>
        <w:ind w:firstLine="480" w:firstLineChars="200"/>
        <w:jc w:val="left"/>
        <w:rPr>
          <w:rFonts w:hint="eastAsia" w:ascii="Times New Roman" w:hAnsi="Times New Roman" w:eastAsia="宋体" w:cs="Times New Roman"/>
          <w:b w:val="0"/>
          <w:bCs w:val="0"/>
          <w:color w:val="0000FF"/>
          <w:sz w:val="24"/>
          <w:szCs w:val="24"/>
          <w:highlight w:val="none"/>
          <w:lang w:val="en-US" w:eastAsia="zh-CN"/>
        </w:rPr>
      </w:pPr>
      <w:r>
        <w:rPr>
          <w:rFonts w:hint="default" w:ascii="Times New Roman" w:hAnsi="Times New Roman" w:eastAsia="宋体" w:cs="Times New Roman"/>
          <w:b w:val="0"/>
          <w:bCs w:val="0"/>
          <w:color w:val="0000FF"/>
          <w:sz w:val="24"/>
          <w:szCs w:val="24"/>
          <w:highlight w:val="none"/>
          <w:lang w:val="en-US" w:eastAsia="zh-CN"/>
        </w:rPr>
        <w:t>项目废气处理工艺为</w:t>
      </w:r>
      <w:r>
        <w:rPr>
          <w:rFonts w:hint="eastAsia" w:ascii="Times New Roman" w:hAnsi="Times New Roman" w:eastAsia="宋体" w:cs="Times New Roman"/>
          <w:b w:val="0"/>
          <w:bCs w:val="0"/>
          <w:color w:val="0000FF"/>
          <w:sz w:val="24"/>
          <w:szCs w:val="24"/>
          <w:highlight w:val="none"/>
          <w:lang w:val="en-US" w:eastAsia="zh-CN"/>
        </w:rPr>
        <w:t>“</w:t>
      </w:r>
      <w:r>
        <w:rPr>
          <w:rFonts w:hint="eastAsia"/>
          <w:b w:val="0"/>
          <w:bCs w:val="0"/>
          <w:color w:val="0000FF"/>
          <w:sz w:val="24"/>
          <w:szCs w:val="32"/>
          <w:highlight w:val="none"/>
          <w:lang w:val="en-US" w:eastAsia="zh-CN"/>
        </w:rPr>
        <w:t>SNCR+烟气急冷急冷+活性炭喷粉+重力沉降除尘+布袋除尘+碱喷淋</w:t>
      </w:r>
      <w:r>
        <w:rPr>
          <w:rFonts w:hint="eastAsia" w:ascii="Times New Roman" w:hAnsi="Times New Roman" w:eastAsia="宋体" w:cs="Times New Roman"/>
          <w:b w:val="0"/>
          <w:bCs w:val="0"/>
          <w:color w:val="0000FF"/>
          <w:sz w:val="24"/>
          <w:szCs w:val="24"/>
          <w:highlight w:val="none"/>
          <w:lang w:val="en-US" w:eastAsia="zh-CN"/>
        </w:rPr>
        <w:t>”。《排污许可申请与核发技术规范 有色金属工业—再生金属》（HJ863.4-2018）中附录A再生铝废气污染防治可行推荐技术如下所示：</w:t>
      </w:r>
    </w:p>
    <w:p w14:paraId="6ADF7316">
      <w:pPr>
        <w:bidi w:val="0"/>
        <w:spacing w:line="360" w:lineRule="auto"/>
        <w:jc w:val="center"/>
        <w:rPr>
          <w:rFonts w:hint="eastAsia" w:ascii="Times New Roman" w:hAnsi="Times New Roman" w:eastAsia="宋体" w:cs="Times New Roman"/>
          <w:b/>
          <w:bCs/>
          <w:color w:val="0000FF"/>
          <w:sz w:val="24"/>
          <w:szCs w:val="24"/>
          <w:highlight w:val="none"/>
          <w:lang w:val="en-US" w:eastAsia="zh-CN"/>
        </w:rPr>
      </w:pPr>
    </w:p>
    <w:p w14:paraId="24463D69">
      <w:pPr>
        <w:bidi w:val="0"/>
        <w:spacing w:line="360" w:lineRule="auto"/>
        <w:jc w:val="center"/>
        <w:rPr>
          <w:rFonts w:hint="default" w:ascii="Times New Roman" w:hAnsi="Times New Roman" w:eastAsia="宋体" w:cs="Times New Roman"/>
          <w:b/>
          <w:bCs/>
          <w:color w:val="0000FF"/>
          <w:sz w:val="24"/>
          <w:szCs w:val="24"/>
          <w:highlight w:val="none"/>
          <w:lang w:val="en-US" w:eastAsia="zh-CN"/>
        </w:rPr>
      </w:pPr>
      <w:r>
        <w:rPr>
          <w:rFonts w:hint="eastAsia" w:ascii="Times New Roman" w:hAnsi="Times New Roman" w:eastAsia="宋体" w:cs="Times New Roman"/>
          <w:b/>
          <w:bCs/>
          <w:color w:val="0000FF"/>
          <w:sz w:val="24"/>
          <w:szCs w:val="24"/>
          <w:highlight w:val="none"/>
          <w:lang w:val="en-US" w:eastAsia="zh-CN"/>
        </w:rPr>
        <w:t>表5-4 再生铝废气污染防治可行推荐技术一览表</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326"/>
        <w:gridCol w:w="3047"/>
        <w:gridCol w:w="4205"/>
      </w:tblGrid>
      <w:tr w14:paraId="0FFE65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326" w:type="dxa"/>
            <w:tcBorders>
              <w:tl2br w:val="nil"/>
              <w:tr2bl w:val="nil"/>
            </w:tcBorders>
            <w:vAlign w:val="center"/>
          </w:tcPr>
          <w:p w14:paraId="5C9CB067">
            <w:pPr>
              <w:bidi w:val="0"/>
              <w:spacing w:line="360" w:lineRule="auto"/>
              <w:jc w:val="center"/>
              <w:rPr>
                <w:rFonts w:hint="default" w:ascii="Times New Roman" w:hAnsi="Times New Roman" w:eastAsia="宋体" w:cs="Times New Roman"/>
                <w:b/>
                <w:bCs/>
                <w:color w:val="0000FF"/>
                <w:sz w:val="22"/>
                <w:szCs w:val="22"/>
                <w:highlight w:val="none"/>
                <w:vertAlign w:val="baseline"/>
                <w:lang w:val="en-US" w:eastAsia="zh-CN"/>
              </w:rPr>
            </w:pPr>
            <w:r>
              <w:rPr>
                <w:rFonts w:hint="eastAsia" w:ascii="Times New Roman" w:hAnsi="Times New Roman" w:eastAsia="宋体" w:cs="Times New Roman"/>
                <w:b/>
                <w:bCs/>
                <w:color w:val="0000FF"/>
                <w:sz w:val="22"/>
                <w:szCs w:val="22"/>
                <w:highlight w:val="none"/>
                <w:vertAlign w:val="baseline"/>
                <w:lang w:val="en-US" w:eastAsia="zh-CN"/>
              </w:rPr>
              <w:t>污染类型</w:t>
            </w:r>
          </w:p>
        </w:tc>
        <w:tc>
          <w:tcPr>
            <w:tcW w:w="3047" w:type="dxa"/>
            <w:tcBorders>
              <w:tl2br w:val="nil"/>
              <w:tr2bl w:val="nil"/>
            </w:tcBorders>
            <w:vAlign w:val="center"/>
          </w:tcPr>
          <w:p w14:paraId="0C206F1B">
            <w:pPr>
              <w:bidi w:val="0"/>
              <w:spacing w:line="360" w:lineRule="auto"/>
              <w:jc w:val="center"/>
              <w:rPr>
                <w:rFonts w:hint="default" w:ascii="Times New Roman" w:hAnsi="Times New Roman" w:eastAsia="宋体" w:cs="Times New Roman"/>
                <w:b/>
                <w:bCs/>
                <w:color w:val="0000FF"/>
                <w:sz w:val="22"/>
                <w:szCs w:val="22"/>
                <w:highlight w:val="none"/>
                <w:vertAlign w:val="baseline"/>
                <w:lang w:val="en-US" w:eastAsia="zh-CN"/>
              </w:rPr>
            </w:pPr>
            <w:r>
              <w:rPr>
                <w:rFonts w:hint="eastAsia" w:ascii="Times New Roman" w:hAnsi="Times New Roman" w:eastAsia="宋体" w:cs="Times New Roman"/>
                <w:b/>
                <w:bCs/>
                <w:color w:val="0000FF"/>
                <w:sz w:val="22"/>
                <w:szCs w:val="22"/>
                <w:highlight w:val="none"/>
                <w:vertAlign w:val="baseline"/>
                <w:lang w:val="en-US" w:eastAsia="zh-CN"/>
              </w:rPr>
              <w:t>污染因子</w:t>
            </w:r>
          </w:p>
        </w:tc>
        <w:tc>
          <w:tcPr>
            <w:tcW w:w="4205" w:type="dxa"/>
            <w:tcBorders>
              <w:tl2br w:val="nil"/>
              <w:tr2bl w:val="nil"/>
            </w:tcBorders>
            <w:vAlign w:val="center"/>
          </w:tcPr>
          <w:p w14:paraId="02AE87A1">
            <w:pPr>
              <w:bidi w:val="0"/>
              <w:spacing w:line="360" w:lineRule="auto"/>
              <w:jc w:val="center"/>
              <w:rPr>
                <w:rFonts w:hint="default" w:ascii="Times New Roman" w:hAnsi="Times New Roman" w:eastAsia="宋体" w:cs="Times New Roman"/>
                <w:b/>
                <w:bCs/>
                <w:color w:val="0000FF"/>
                <w:sz w:val="22"/>
                <w:szCs w:val="22"/>
                <w:highlight w:val="none"/>
                <w:vertAlign w:val="baseline"/>
                <w:lang w:val="en-US" w:eastAsia="zh-CN"/>
              </w:rPr>
            </w:pPr>
            <w:r>
              <w:rPr>
                <w:rFonts w:hint="eastAsia" w:ascii="Times New Roman" w:hAnsi="Times New Roman" w:eastAsia="宋体" w:cs="Times New Roman"/>
                <w:b/>
                <w:bCs/>
                <w:color w:val="0000FF"/>
                <w:sz w:val="22"/>
                <w:szCs w:val="22"/>
                <w:highlight w:val="none"/>
                <w:vertAlign w:val="baseline"/>
                <w:lang w:val="en-US" w:eastAsia="zh-CN"/>
              </w:rPr>
              <w:t>可行技术</w:t>
            </w:r>
          </w:p>
        </w:tc>
      </w:tr>
      <w:tr w14:paraId="7D080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326" w:type="dxa"/>
            <w:vMerge w:val="restart"/>
            <w:tcBorders>
              <w:tl2br w:val="nil"/>
              <w:tr2bl w:val="nil"/>
            </w:tcBorders>
            <w:vAlign w:val="center"/>
          </w:tcPr>
          <w:p w14:paraId="3847F344">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eastAsia" w:ascii="Times New Roman" w:hAnsi="Times New Roman" w:eastAsia="宋体" w:cs="Times New Roman"/>
                <w:color w:val="0000FF"/>
                <w:sz w:val="22"/>
                <w:szCs w:val="22"/>
                <w:highlight w:val="none"/>
                <w:vertAlign w:val="baseline"/>
                <w:lang w:val="en-US" w:eastAsia="zh-CN"/>
              </w:rPr>
              <w:t>废气</w:t>
            </w:r>
          </w:p>
        </w:tc>
        <w:tc>
          <w:tcPr>
            <w:tcW w:w="3047" w:type="dxa"/>
            <w:tcBorders>
              <w:tl2br w:val="nil"/>
              <w:tr2bl w:val="nil"/>
            </w:tcBorders>
            <w:vAlign w:val="center"/>
          </w:tcPr>
          <w:p w14:paraId="542D4DD6">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颗粒物</w:t>
            </w:r>
          </w:p>
          <w:p w14:paraId="7F3350F7">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砷及其化合物</w:t>
            </w:r>
          </w:p>
          <w:p w14:paraId="6C4A8BF4">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铅及其化合物</w:t>
            </w:r>
          </w:p>
          <w:p w14:paraId="128BCC21">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锡及其化合物</w:t>
            </w:r>
          </w:p>
          <w:p w14:paraId="10824DAC">
            <w:pPr>
              <w:bidi w:val="0"/>
              <w:spacing w:line="240" w:lineRule="auto"/>
              <w:jc w:val="center"/>
              <w:rPr>
                <w:rFonts w:hint="default"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镉及其化</w:t>
            </w:r>
            <w:r>
              <w:rPr>
                <w:rFonts w:hint="default" w:ascii="Times New Roman" w:hAnsi="Times New Roman" w:eastAsia="宋体" w:cs="Times New Roman"/>
                <w:color w:val="0000FF"/>
                <w:sz w:val="24"/>
                <w:szCs w:val="24"/>
                <w:highlight w:val="none"/>
                <w:lang w:val="en-US" w:eastAsia="zh-CN"/>
              </w:rPr>
              <w:t>合物</w:t>
            </w:r>
          </w:p>
          <w:p w14:paraId="5961FD1C">
            <w:pPr>
              <w:bidi w:val="0"/>
              <w:spacing w:line="240" w:lineRule="auto"/>
              <w:jc w:val="center"/>
              <w:rPr>
                <w:rFonts w:hint="default" w:ascii="Times New Roman" w:hAnsi="Times New Roman" w:eastAsia="宋体" w:cs="Times New Roman"/>
                <w:color w:val="0000FF"/>
                <w:sz w:val="24"/>
                <w:szCs w:val="24"/>
                <w:highlight w:val="none"/>
                <w:lang w:val="en-US" w:eastAsia="zh-CN"/>
              </w:rPr>
            </w:pPr>
            <w:r>
              <w:rPr>
                <w:rFonts w:hint="default" w:ascii="Times New Roman" w:hAnsi="Times New Roman" w:eastAsia="宋体" w:cs="Times New Roman"/>
                <w:color w:val="0000FF"/>
                <w:sz w:val="24"/>
                <w:szCs w:val="24"/>
                <w:highlight w:val="none"/>
                <w:lang w:val="en-US" w:eastAsia="zh-CN"/>
              </w:rPr>
              <w:t>铬及其化合物</w:t>
            </w:r>
          </w:p>
        </w:tc>
        <w:tc>
          <w:tcPr>
            <w:tcW w:w="4205" w:type="dxa"/>
            <w:tcBorders>
              <w:tl2br w:val="nil"/>
              <w:tr2bl w:val="nil"/>
            </w:tcBorders>
            <w:vAlign w:val="center"/>
          </w:tcPr>
          <w:p w14:paraId="3784290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湿法除尘技术</w:t>
            </w:r>
          </w:p>
          <w:p w14:paraId="65EFCF44">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电除尘技术</w:t>
            </w:r>
          </w:p>
          <w:p w14:paraId="0E3AC46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袋式除尘技术</w:t>
            </w:r>
          </w:p>
        </w:tc>
      </w:tr>
      <w:tr w14:paraId="5EE15A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326" w:type="dxa"/>
            <w:vMerge w:val="continue"/>
            <w:tcBorders>
              <w:tl2br w:val="nil"/>
              <w:tr2bl w:val="nil"/>
            </w:tcBorders>
            <w:vAlign w:val="center"/>
          </w:tcPr>
          <w:p w14:paraId="23F4ED92">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p>
        </w:tc>
        <w:tc>
          <w:tcPr>
            <w:tcW w:w="3047" w:type="dxa"/>
            <w:tcBorders>
              <w:tl2br w:val="nil"/>
              <w:tr2bl w:val="nil"/>
            </w:tcBorders>
            <w:vAlign w:val="center"/>
          </w:tcPr>
          <w:p w14:paraId="3E6828E8">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二氧化硫</w:t>
            </w:r>
          </w:p>
          <w:p w14:paraId="1271E77D">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氟化物</w:t>
            </w:r>
          </w:p>
          <w:p w14:paraId="51E64342">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氯化氢</w:t>
            </w:r>
          </w:p>
        </w:tc>
        <w:tc>
          <w:tcPr>
            <w:tcW w:w="4205" w:type="dxa"/>
            <w:tcBorders>
              <w:tl2br w:val="nil"/>
              <w:tr2bl w:val="nil"/>
            </w:tcBorders>
            <w:vAlign w:val="center"/>
          </w:tcPr>
          <w:p w14:paraId="7BFAD45F">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石灰-石膏法脱硫技术</w:t>
            </w:r>
          </w:p>
          <w:p w14:paraId="5CAC291B">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有机溶液循环吸收法脱硫技术</w:t>
            </w:r>
          </w:p>
          <w:p w14:paraId="0ED88E4E">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活性焦吸附法脱硫技术</w:t>
            </w:r>
          </w:p>
          <w:p w14:paraId="15572FDF">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氨法脱硫技术</w:t>
            </w:r>
          </w:p>
          <w:p w14:paraId="216B1905">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钠碱法脱硫技术</w:t>
            </w:r>
          </w:p>
        </w:tc>
      </w:tr>
      <w:tr w14:paraId="576FA1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326" w:type="dxa"/>
            <w:vMerge w:val="continue"/>
            <w:tcBorders>
              <w:tl2br w:val="nil"/>
              <w:tr2bl w:val="nil"/>
            </w:tcBorders>
            <w:vAlign w:val="center"/>
          </w:tcPr>
          <w:p w14:paraId="6A745429">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p>
        </w:tc>
        <w:tc>
          <w:tcPr>
            <w:tcW w:w="3047" w:type="dxa"/>
            <w:tcBorders>
              <w:tl2br w:val="nil"/>
              <w:tr2bl w:val="nil"/>
            </w:tcBorders>
            <w:vAlign w:val="center"/>
          </w:tcPr>
          <w:p w14:paraId="607F45D6">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氮氧化物</w:t>
            </w:r>
          </w:p>
        </w:tc>
        <w:tc>
          <w:tcPr>
            <w:tcW w:w="4205" w:type="dxa"/>
            <w:tcBorders>
              <w:tl2br w:val="nil"/>
              <w:tr2bl w:val="nil"/>
            </w:tcBorders>
            <w:vAlign w:val="center"/>
          </w:tcPr>
          <w:p w14:paraId="5B540AD4">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选择性还原催化法(SCR)</w:t>
            </w:r>
          </w:p>
          <w:p w14:paraId="422B1AF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选择性非还原催化法(SNCR)</w:t>
            </w:r>
          </w:p>
        </w:tc>
      </w:tr>
      <w:tr w14:paraId="5A89E2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326" w:type="dxa"/>
            <w:vMerge w:val="continue"/>
            <w:tcBorders>
              <w:tl2br w:val="nil"/>
              <w:tr2bl w:val="nil"/>
            </w:tcBorders>
            <w:vAlign w:val="center"/>
          </w:tcPr>
          <w:p w14:paraId="719758FB">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p>
        </w:tc>
        <w:tc>
          <w:tcPr>
            <w:tcW w:w="3047" w:type="dxa"/>
            <w:tcBorders>
              <w:tl2br w:val="nil"/>
              <w:tr2bl w:val="nil"/>
            </w:tcBorders>
            <w:vAlign w:val="center"/>
          </w:tcPr>
          <w:p w14:paraId="4883D1A4">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二噁英</w:t>
            </w:r>
          </w:p>
        </w:tc>
        <w:tc>
          <w:tcPr>
            <w:tcW w:w="4205" w:type="dxa"/>
            <w:tcBorders>
              <w:tl2br w:val="nil"/>
              <w:tr2bl w:val="nil"/>
            </w:tcBorders>
            <w:vAlign w:val="center"/>
          </w:tcPr>
          <w:p w14:paraId="37C71945">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烟气骤冷+袋式除尘+SCR</w:t>
            </w:r>
          </w:p>
          <w:p w14:paraId="731EBC1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烟气骤冷+活性炭注入+袋式除尘</w:t>
            </w:r>
          </w:p>
          <w:p w14:paraId="592891A0">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袋式除尘+活性炭吸附</w:t>
            </w:r>
          </w:p>
          <w:p w14:paraId="512BCAB3">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活性炭注入+袋式除尘+活性炭吸附</w:t>
            </w:r>
          </w:p>
        </w:tc>
      </w:tr>
    </w:tbl>
    <w:p w14:paraId="408F6616">
      <w:pPr>
        <w:adjustRightInd w:val="0"/>
        <w:snapToGrid w:val="0"/>
        <w:spacing w:line="360" w:lineRule="auto"/>
        <w:jc w:val="left"/>
        <w:rPr>
          <w:rFonts w:hint="eastAsia" w:cs="Times New Roman"/>
          <w:color w:val="auto"/>
          <w:sz w:val="24"/>
          <w:lang w:eastAsia="zh-CN"/>
        </w:rPr>
      </w:pPr>
    </w:p>
    <w:p w14:paraId="592A3A44">
      <w:pPr>
        <w:adjustRightInd w:val="0"/>
        <w:snapToGrid w:val="0"/>
        <w:spacing w:line="360" w:lineRule="auto"/>
        <w:ind w:firstLine="480" w:firstLineChars="200"/>
        <w:jc w:val="left"/>
        <w:rPr>
          <w:rFonts w:hint="eastAsia" w:cs="Times New Roman"/>
          <w:color w:val="auto"/>
          <w:sz w:val="24"/>
          <w:lang w:eastAsia="zh-CN"/>
        </w:rPr>
      </w:pPr>
      <w:r>
        <w:rPr>
          <w:rFonts w:hint="eastAsia" w:ascii="Times New Roman" w:hAnsi="Times New Roman" w:eastAsia="宋体" w:cs="Times New Roman"/>
          <w:color w:val="0000FF"/>
          <w:sz w:val="24"/>
          <w:szCs w:val="24"/>
          <w:highlight w:val="none"/>
          <w:lang w:val="en-US" w:eastAsia="zh-CN"/>
        </w:rPr>
        <w:t>根据上表可知，本项目废气处理工艺均属于</w:t>
      </w:r>
      <w:r>
        <w:rPr>
          <w:rFonts w:hint="eastAsia" w:ascii="Times New Roman" w:hAnsi="Times New Roman" w:eastAsia="宋体" w:cs="Times New Roman"/>
          <w:b w:val="0"/>
          <w:bCs w:val="0"/>
          <w:color w:val="0000FF"/>
          <w:sz w:val="24"/>
          <w:szCs w:val="24"/>
          <w:highlight w:val="none"/>
          <w:lang w:val="en-US" w:eastAsia="zh-CN"/>
        </w:rPr>
        <w:t>《排污许可申请与核发技术规范 有色金属工业—再生金属》（HJ863.4-2018）中废气污染防治可行推荐技术</w:t>
      </w:r>
      <w:r>
        <w:rPr>
          <w:rFonts w:hint="default" w:ascii="Times New Roman" w:hAnsi="Times New Roman" w:eastAsia="宋体" w:cs="Times New Roman"/>
          <w:color w:val="0000FF"/>
          <w:sz w:val="24"/>
          <w:szCs w:val="24"/>
          <w:highlight w:val="none"/>
          <w:lang w:val="en-US" w:eastAsia="zh-CN"/>
        </w:rPr>
        <w:t>。</w:t>
      </w:r>
    </w:p>
    <w:p w14:paraId="109957E1">
      <w:pPr>
        <w:spacing w:line="360" w:lineRule="auto"/>
        <w:outlineLvl w:val="1"/>
        <w:rPr>
          <w:b/>
          <w:bCs/>
          <w:color w:val="auto"/>
          <w:sz w:val="28"/>
          <w:szCs w:val="28"/>
        </w:rPr>
      </w:pPr>
      <w:bookmarkStart w:id="365" w:name="_Toc26515"/>
      <w:r>
        <w:rPr>
          <w:b/>
          <w:bCs/>
          <w:color w:val="auto"/>
          <w:sz w:val="28"/>
          <w:szCs w:val="28"/>
        </w:rPr>
        <w:t>5.2废水污染防治措施有效性评估</w:t>
      </w:r>
      <w:bookmarkEnd w:id="365"/>
    </w:p>
    <w:p w14:paraId="65CD0829">
      <w:pPr>
        <w:spacing w:line="360" w:lineRule="auto"/>
        <w:outlineLvl w:val="2"/>
        <w:rPr>
          <w:b/>
          <w:bCs/>
          <w:color w:val="auto"/>
          <w:sz w:val="24"/>
        </w:rPr>
      </w:pPr>
      <w:r>
        <w:rPr>
          <w:b/>
          <w:bCs/>
          <w:color w:val="auto"/>
          <w:sz w:val="24"/>
        </w:rPr>
        <w:t>5.2.1厂区污水处理措施</w:t>
      </w:r>
    </w:p>
    <w:p w14:paraId="123857E3">
      <w:pPr>
        <w:spacing w:line="360" w:lineRule="auto"/>
        <w:ind w:firstLine="480" w:firstLineChars="200"/>
        <w:outlineLvl w:val="2"/>
        <w:rPr>
          <w:rFonts w:hint="eastAsia"/>
          <w:bCs/>
          <w:color w:val="auto"/>
          <w:spacing w:val="6"/>
          <w:szCs w:val="21"/>
          <w:lang w:eastAsia="zh-CN"/>
        </w:rPr>
      </w:pPr>
      <w:r>
        <w:rPr>
          <w:rFonts w:hint="eastAsia"/>
          <w:color w:val="auto"/>
          <w:sz w:val="24"/>
          <w:szCs w:val="24"/>
          <w:lang w:val="en-US" w:eastAsia="zh-CN"/>
        </w:rPr>
        <w:t>项目无生产废水外排，项目采用“雨污分流、清污分流”系统。循环冷却水回用于生产，不外排；生活污水经化粪池处理后排入开发区污水管网</w:t>
      </w:r>
      <w:r>
        <w:rPr>
          <w:rFonts w:hint="eastAsia"/>
          <w:bCs/>
          <w:color w:val="auto"/>
          <w:spacing w:val="6"/>
          <w:sz w:val="24"/>
          <w:szCs w:val="24"/>
        </w:rPr>
        <w:t>进入滩溪县第二污水处理厂集中处理</w:t>
      </w:r>
      <w:r>
        <w:rPr>
          <w:rFonts w:hint="eastAsia"/>
          <w:bCs/>
          <w:color w:val="auto"/>
          <w:spacing w:val="6"/>
          <w:szCs w:val="21"/>
          <w:lang w:eastAsia="zh-CN"/>
        </w:rPr>
        <w:t>。</w:t>
      </w:r>
    </w:p>
    <w:p w14:paraId="0A94CA38">
      <w:pPr>
        <w:spacing w:line="360" w:lineRule="auto"/>
        <w:outlineLvl w:val="2"/>
        <w:rPr>
          <w:b/>
          <w:bCs/>
          <w:color w:val="auto"/>
          <w:sz w:val="24"/>
        </w:rPr>
      </w:pPr>
      <w:r>
        <w:rPr>
          <w:b/>
          <w:bCs/>
          <w:color w:val="auto"/>
          <w:sz w:val="24"/>
        </w:rPr>
        <w:t>5.2.2废水处理措施评估</w:t>
      </w:r>
    </w:p>
    <w:p w14:paraId="091E77F3">
      <w:pPr>
        <w:spacing w:line="360" w:lineRule="auto"/>
        <w:ind w:firstLine="480" w:firstLineChars="200"/>
        <w:rPr>
          <w:color w:val="auto"/>
          <w:sz w:val="24"/>
        </w:rPr>
      </w:pPr>
      <w:bookmarkStart w:id="366" w:name="OLE_LINK3"/>
      <w:r>
        <w:rPr>
          <w:color w:val="auto"/>
          <w:sz w:val="24"/>
          <w:szCs w:val="32"/>
        </w:rPr>
        <w:t>根据</w:t>
      </w:r>
      <w:r>
        <w:rPr>
          <w:rFonts w:hint="eastAsia"/>
          <w:color w:val="auto"/>
          <w:kern w:val="24"/>
          <w:sz w:val="24"/>
          <w:lang w:val="en-US" w:eastAsia="zh-CN"/>
        </w:rPr>
        <w:t>安徽省裕康铝业有限公司经营该项目期间的</w:t>
      </w:r>
      <w:r>
        <w:rPr>
          <w:color w:val="auto"/>
          <w:sz w:val="24"/>
          <w:szCs w:val="32"/>
        </w:rPr>
        <w:t>例行监测结果，</w:t>
      </w:r>
      <w:r>
        <w:rPr>
          <w:rFonts w:hint="eastAsia"/>
          <w:color w:val="auto"/>
          <w:kern w:val="24"/>
          <w:sz w:val="24"/>
          <w:lang w:val="en-US" w:eastAsia="zh-CN"/>
        </w:rPr>
        <w:t>厂区</w:t>
      </w:r>
      <w:r>
        <w:rPr>
          <w:color w:val="auto"/>
          <w:kern w:val="24"/>
          <w:sz w:val="24"/>
        </w:rPr>
        <w:t>废水排放口</w:t>
      </w:r>
      <w:r>
        <w:rPr>
          <w:color w:val="auto"/>
          <w:sz w:val="24"/>
          <w:szCs w:val="32"/>
        </w:rPr>
        <w:t>达标排放情况分析见下表。</w:t>
      </w:r>
    </w:p>
    <w:bookmarkEnd w:id="366"/>
    <w:p w14:paraId="4B182D1F">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ascii="Times New Roman" w:hAnsi="Times New Roman" w:eastAsia="宋体" w:cs="Times New Roman"/>
          <w:b/>
          <w:bCs/>
          <w:color w:val="auto"/>
          <w:sz w:val="24"/>
          <w:szCs w:val="32"/>
          <w:lang w:val="en-US" w:eastAsia="zh-CN"/>
        </w:rPr>
      </w:pPr>
      <w:r>
        <w:rPr>
          <w:rFonts w:hint="default" w:ascii="Times New Roman" w:hAnsi="Times New Roman" w:cs="Times New Roman"/>
          <w:b/>
          <w:bCs/>
          <w:color w:val="auto"/>
          <w:sz w:val="24"/>
          <w:szCs w:val="32"/>
        </w:rPr>
        <w:t>表5-</w:t>
      </w:r>
      <w:r>
        <w:rPr>
          <w:rFonts w:hint="eastAsia" w:ascii="Times New Roman" w:hAnsi="Times New Roman" w:cs="Times New Roman"/>
          <w:b/>
          <w:bCs/>
          <w:color w:val="auto"/>
          <w:sz w:val="24"/>
          <w:szCs w:val="32"/>
          <w:lang w:val="en-US" w:eastAsia="zh-CN"/>
        </w:rPr>
        <w:t>5</w:t>
      </w:r>
      <w:r>
        <w:rPr>
          <w:rFonts w:hint="default" w:ascii="Times New Roman" w:hAnsi="Times New Roman" w:cs="Times New Roman"/>
          <w:b/>
          <w:bCs/>
          <w:color w:val="auto"/>
          <w:sz w:val="24"/>
          <w:szCs w:val="32"/>
        </w:rPr>
        <w:t xml:space="preserve"> </w:t>
      </w:r>
      <w:r>
        <w:rPr>
          <w:rFonts w:hint="default" w:ascii="Times New Roman" w:hAnsi="Times New Roman" w:cs="Times New Roman"/>
          <w:b/>
          <w:bCs/>
          <w:color w:val="auto"/>
          <w:sz w:val="24"/>
          <w:szCs w:val="32"/>
          <w:lang w:val="en-US" w:eastAsia="zh-CN"/>
        </w:rPr>
        <w:t>厂区污水排放口监测结果一览表  单位：mg/L，pH无量纲</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1563"/>
        <w:gridCol w:w="1422"/>
        <w:gridCol w:w="1422"/>
        <w:gridCol w:w="1422"/>
        <w:gridCol w:w="1423"/>
        <w:gridCol w:w="1423"/>
      </w:tblGrid>
      <w:tr w14:paraId="46DFE2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1282" w:type="dxa"/>
            <w:tcBorders>
              <w:tl2br w:val="nil"/>
              <w:tr2bl w:val="nil"/>
            </w:tcBorders>
            <w:vAlign w:val="center"/>
          </w:tcPr>
          <w:p w14:paraId="53E60A02">
            <w:pPr>
              <w:bidi w:val="0"/>
              <w:jc w:val="center"/>
              <w:rPr>
                <w:rFonts w:hint="default"/>
                <w:b/>
                <w:bCs/>
                <w:color w:val="auto"/>
                <w:lang w:val="en-US" w:eastAsia="zh-CN"/>
              </w:rPr>
            </w:pPr>
            <w:r>
              <w:rPr>
                <w:rFonts w:hint="eastAsia"/>
                <w:b/>
                <w:bCs/>
                <w:color w:val="auto"/>
                <w:lang w:val="en-US" w:eastAsia="zh-CN"/>
              </w:rPr>
              <w:t>监测点位</w:t>
            </w:r>
          </w:p>
        </w:tc>
        <w:tc>
          <w:tcPr>
            <w:tcW w:w="1563" w:type="dxa"/>
            <w:tcBorders>
              <w:tl2br w:val="nil"/>
              <w:tr2bl w:val="nil"/>
            </w:tcBorders>
            <w:vAlign w:val="center"/>
          </w:tcPr>
          <w:p w14:paraId="69F0AC5F">
            <w:pPr>
              <w:bidi w:val="0"/>
              <w:jc w:val="center"/>
              <w:rPr>
                <w:rFonts w:hint="default"/>
                <w:b/>
                <w:bCs/>
                <w:color w:val="auto"/>
                <w:lang w:val="en-US" w:eastAsia="zh-CN"/>
              </w:rPr>
            </w:pPr>
            <w:r>
              <w:rPr>
                <w:rFonts w:hint="eastAsia"/>
                <w:b/>
                <w:bCs/>
                <w:color w:val="auto"/>
                <w:lang w:val="en-US" w:eastAsia="zh-CN"/>
              </w:rPr>
              <w:t>监测日期</w:t>
            </w:r>
          </w:p>
        </w:tc>
        <w:tc>
          <w:tcPr>
            <w:tcW w:w="1422" w:type="dxa"/>
            <w:tcBorders>
              <w:tl2br w:val="nil"/>
              <w:tr2bl w:val="nil"/>
            </w:tcBorders>
            <w:vAlign w:val="center"/>
          </w:tcPr>
          <w:p w14:paraId="367B6C11">
            <w:pPr>
              <w:bidi w:val="0"/>
              <w:jc w:val="center"/>
              <w:rPr>
                <w:rFonts w:hint="default"/>
                <w:b/>
                <w:bCs/>
                <w:color w:val="auto"/>
                <w:lang w:val="en-US" w:eastAsia="zh-CN"/>
              </w:rPr>
            </w:pPr>
            <w:r>
              <w:rPr>
                <w:rFonts w:hint="eastAsia"/>
                <w:b/>
                <w:bCs/>
                <w:color w:val="auto"/>
                <w:lang w:val="en-US" w:eastAsia="zh-CN"/>
              </w:rPr>
              <w:t>监测项目</w:t>
            </w:r>
          </w:p>
        </w:tc>
        <w:tc>
          <w:tcPr>
            <w:tcW w:w="1422" w:type="dxa"/>
            <w:tcBorders>
              <w:tl2br w:val="nil"/>
              <w:tr2bl w:val="nil"/>
            </w:tcBorders>
            <w:vAlign w:val="center"/>
          </w:tcPr>
          <w:p w14:paraId="205329C6">
            <w:pPr>
              <w:bidi w:val="0"/>
              <w:jc w:val="center"/>
              <w:rPr>
                <w:rFonts w:hint="default"/>
                <w:b/>
                <w:bCs/>
                <w:color w:val="auto"/>
                <w:lang w:val="en-US" w:eastAsia="zh-CN"/>
              </w:rPr>
            </w:pPr>
            <w:r>
              <w:rPr>
                <w:rFonts w:hint="eastAsia"/>
                <w:b/>
                <w:bCs/>
                <w:color w:val="auto"/>
                <w:lang w:val="en-US" w:eastAsia="zh-CN"/>
              </w:rPr>
              <w:t>监测频次</w:t>
            </w:r>
          </w:p>
        </w:tc>
        <w:tc>
          <w:tcPr>
            <w:tcW w:w="1422" w:type="dxa"/>
            <w:tcBorders>
              <w:tl2br w:val="nil"/>
              <w:tr2bl w:val="nil"/>
            </w:tcBorders>
            <w:vAlign w:val="center"/>
          </w:tcPr>
          <w:p w14:paraId="5A654642">
            <w:pPr>
              <w:bidi w:val="0"/>
              <w:jc w:val="center"/>
              <w:rPr>
                <w:rFonts w:hint="default"/>
                <w:b/>
                <w:bCs/>
                <w:color w:val="auto"/>
                <w:lang w:val="en-US" w:eastAsia="zh-CN"/>
              </w:rPr>
            </w:pPr>
            <w:r>
              <w:rPr>
                <w:rFonts w:hint="eastAsia"/>
                <w:b/>
                <w:bCs/>
                <w:color w:val="auto"/>
                <w:lang w:val="en-US" w:eastAsia="zh-CN"/>
              </w:rPr>
              <w:t>监测浓度</w:t>
            </w:r>
          </w:p>
        </w:tc>
        <w:tc>
          <w:tcPr>
            <w:tcW w:w="1423" w:type="dxa"/>
            <w:tcBorders>
              <w:tl2br w:val="nil"/>
              <w:tr2bl w:val="nil"/>
            </w:tcBorders>
            <w:vAlign w:val="center"/>
          </w:tcPr>
          <w:p w14:paraId="2C4B95F2">
            <w:pPr>
              <w:bidi w:val="0"/>
              <w:jc w:val="center"/>
              <w:rPr>
                <w:rFonts w:hint="default"/>
                <w:b/>
                <w:bCs/>
                <w:color w:val="auto"/>
                <w:lang w:val="en-US" w:eastAsia="zh-CN"/>
              </w:rPr>
            </w:pPr>
            <w:r>
              <w:rPr>
                <w:rFonts w:hint="eastAsia"/>
                <w:b/>
                <w:bCs/>
                <w:color w:val="auto"/>
                <w:lang w:val="en-US" w:eastAsia="zh-CN"/>
              </w:rPr>
              <w:t>标准限值</w:t>
            </w:r>
          </w:p>
        </w:tc>
        <w:tc>
          <w:tcPr>
            <w:tcW w:w="1423" w:type="dxa"/>
            <w:tcBorders>
              <w:tl2br w:val="nil"/>
              <w:tr2bl w:val="nil"/>
            </w:tcBorders>
            <w:vAlign w:val="center"/>
          </w:tcPr>
          <w:p w14:paraId="0ED86510">
            <w:pPr>
              <w:bidi w:val="0"/>
              <w:jc w:val="center"/>
              <w:rPr>
                <w:rFonts w:hint="default"/>
                <w:b/>
                <w:bCs/>
                <w:color w:val="auto"/>
                <w:lang w:val="en-US" w:eastAsia="zh-CN"/>
              </w:rPr>
            </w:pPr>
            <w:r>
              <w:rPr>
                <w:rFonts w:hint="eastAsia"/>
                <w:b/>
                <w:bCs/>
                <w:color w:val="auto"/>
                <w:lang w:val="en-US" w:eastAsia="zh-CN"/>
              </w:rPr>
              <w:t>是否达标</w:t>
            </w:r>
          </w:p>
        </w:tc>
      </w:tr>
      <w:tr w14:paraId="78E05C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restart"/>
            <w:tcBorders>
              <w:tl2br w:val="nil"/>
              <w:tr2bl w:val="nil"/>
            </w:tcBorders>
            <w:vAlign w:val="center"/>
          </w:tcPr>
          <w:p w14:paraId="06B2A0E0">
            <w:pPr>
              <w:bidi w:val="0"/>
              <w:jc w:val="center"/>
              <w:rPr>
                <w:rFonts w:hint="default"/>
                <w:color w:val="auto"/>
                <w:lang w:val="en-US" w:eastAsia="zh-CN"/>
              </w:rPr>
            </w:pPr>
            <w:r>
              <w:rPr>
                <w:rFonts w:hint="eastAsia"/>
                <w:color w:val="auto"/>
                <w:lang w:val="en-US" w:eastAsia="zh-CN"/>
              </w:rPr>
              <w:t>DW001生活污水排放口</w:t>
            </w:r>
          </w:p>
        </w:tc>
        <w:tc>
          <w:tcPr>
            <w:tcW w:w="1563" w:type="dxa"/>
            <w:vMerge w:val="restart"/>
            <w:tcBorders>
              <w:tl2br w:val="nil"/>
              <w:tr2bl w:val="nil"/>
            </w:tcBorders>
            <w:vAlign w:val="center"/>
          </w:tcPr>
          <w:p w14:paraId="351A1DFB">
            <w:pPr>
              <w:bidi w:val="0"/>
              <w:jc w:val="center"/>
              <w:rPr>
                <w:rFonts w:hint="default"/>
                <w:color w:val="auto"/>
                <w:lang w:val="en-US" w:eastAsia="zh-CN"/>
              </w:rPr>
            </w:pPr>
            <w:r>
              <w:rPr>
                <w:rFonts w:hint="eastAsia"/>
                <w:color w:val="auto"/>
                <w:lang w:val="en-US" w:eastAsia="zh-CN"/>
              </w:rPr>
              <w:t>2024年8月27日</w:t>
            </w:r>
          </w:p>
        </w:tc>
        <w:tc>
          <w:tcPr>
            <w:tcW w:w="1422" w:type="dxa"/>
            <w:vMerge w:val="restart"/>
            <w:tcBorders>
              <w:tl2br w:val="nil"/>
              <w:tr2bl w:val="nil"/>
            </w:tcBorders>
            <w:vAlign w:val="center"/>
          </w:tcPr>
          <w:p w14:paraId="6EDE53F0">
            <w:pPr>
              <w:bidi w:val="0"/>
              <w:jc w:val="center"/>
              <w:rPr>
                <w:rFonts w:hint="default"/>
                <w:color w:val="auto"/>
                <w:lang w:val="en-US" w:eastAsia="zh-CN"/>
              </w:rPr>
            </w:pPr>
            <w:r>
              <w:rPr>
                <w:rFonts w:hint="eastAsia"/>
                <w:color w:val="auto"/>
                <w:lang w:val="en-US" w:eastAsia="zh-CN"/>
              </w:rPr>
              <w:t>pH</w:t>
            </w:r>
          </w:p>
        </w:tc>
        <w:tc>
          <w:tcPr>
            <w:tcW w:w="1422" w:type="dxa"/>
            <w:tcBorders>
              <w:tl2br w:val="nil"/>
              <w:tr2bl w:val="nil"/>
            </w:tcBorders>
            <w:vAlign w:val="center"/>
          </w:tcPr>
          <w:p w14:paraId="13AB5E82">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71939DD5">
            <w:pPr>
              <w:bidi w:val="0"/>
              <w:jc w:val="center"/>
              <w:rPr>
                <w:rFonts w:hint="default"/>
                <w:color w:val="auto"/>
                <w:lang w:val="en-US" w:eastAsia="zh-CN"/>
              </w:rPr>
            </w:pPr>
            <w:r>
              <w:rPr>
                <w:rFonts w:hint="eastAsia"/>
                <w:color w:val="auto"/>
                <w:lang w:val="en-US" w:eastAsia="zh-CN"/>
              </w:rPr>
              <w:t>7.6</w:t>
            </w:r>
          </w:p>
        </w:tc>
        <w:tc>
          <w:tcPr>
            <w:tcW w:w="1423" w:type="dxa"/>
            <w:vMerge w:val="restart"/>
            <w:tcBorders>
              <w:tl2br w:val="nil"/>
              <w:tr2bl w:val="nil"/>
            </w:tcBorders>
            <w:vAlign w:val="center"/>
          </w:tcPr>
          <w:p w14:paraId="1B35EC0C">
            <w:pPr>
              <w:bidi w:val="0"/>
              <w:jc w:val="center"/>
              <w:rPr>
                <w:rFonts w:hint="default"/>
                <w:color w:val="auto"/>
                <w:lang w:val="en-US" w:eastAsia="zh-CN"/>
              </w:rPr>
            </w:pPr>
            <w:r>
              <w:rPr>
                <w:rFonts w:hint="eastAsia"/>
                <w:color w:val="auto"/>
                <w:lang w:val="en-US" w:eastAsia="zh-CN"/>
              </w:rPr>
              <w:t>6.0~9.0</w:t>
            </w:r>
          </w:p>
        </w:tc>
        <w:tc>
          <w:tcPr>
            <w:tcW w:w="1423" w:type="dxa"/>
            <w:vMerge w:val="restart"/>
            <w:tcBorders>
              <w:tl2br w:val="nil"/>
              <w:tr2bl w:val="nil"/>
            </w:tcBorders>
            <w:vAlign w:val="center"/>
          </w:tcPr>
          <w:p w14:paraId="594626A5">
            <w:pPr>
              <w:bidi w:val="0"/>
              <w:jc w:val="center"/>
              <w:rPr>
                <w:rFonts w:hint="default"/>
                <w:color w:val="auto"/>
                <w:lang w:val="en-US" w:eastAsia="zh-CN"/>
              </w:rPr>
            </w:pPr>
            <w:r>
              <w:rPr>
                <w:rFonts w:hint="eastAsia"/>
                <w:color w:val="auto"/>
                <w:lang w:val="en-US" w:eastAsia="zh-CN"/>
              </w:rPr>
              <w:t>达标</w:t>
            </w:r>
          </w:p>
        </w:tc>
      </w:tr>
      <w:tr w14:paraId="58A805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18A0B21">
            <w:pPr>
              <w:bidi w:val="0"/>
              <w:jc w:val="center"/>
              <w:rPr>
                <w:rFonts w:hint="eastAsia"/>
                <w:color w:val="auto"/>
                <w:lang w:val="en-US" w:eastAsia="zh-CN"/>
              </w:rPr>
            </w:pPr>
          </w:p>
        </w:tc>
        <w:tc>
          <w:tcPr>
            <w:tcW w:w="1563" w:type="dxa"/>
            <w:vMerge w:val="continue"/>
            <w:tcBorders>
              <w:tl2br w:val="nil"/>
              <w:tr2bl w:val="nil"/>
            </w:tcBorders>
            <w:vAlign w:val="center"/>
          </w:tcPr>
          <w:p w14:paraId="7C1C14DD">
            <w:pPr>
              <w:bidi w:val="0"/>
              <w:jc w:val="center"/>
              <w:rPr>
                <w:rFonts w:hint="eastAsia"/>
                <w:color w:val="auto"/>
                <w:lang w:val="en-US" w:eastAsia="zh-CN"/>
              </w:rPr>
            </w:pPr>
          </w:p>
        </w:tc>
        <w:tc>
          <w:tcPr>
            <w:tcW w:w="1422" w:type="dxa"/>
            <w:vMerge w:val="continue"/>
            <w:tcBorders>
              <w:tl2br w:val="nil"/>
              <w:tr2bl w:val="nil"/>
            </w:tcBorders>
            <w:vAlign w:val="center"/>
          </w:tcPr>
          <w:p w14:paraId="2E180296">
            <w:pPr>
              <w:bidi w:val="0"/>
              <w:jc w:val="center"/>
              <w:rPr>
                <w:rFonts w:hint="eastAsia"/>
                <w:color w:val="auto"/>
                <w:lang w:val="en-US" w:eastAsia="zh-CN"/>
              </w:rPr>
            </w:pPr>
          </w:p>
        </w:tc>
        <w:tc>
          <w:tcPr>
            <w:tcW w:w="1422" w:type="dxa"/>
            <w:tcBorders>
              <w:tl2br w:val="nil"/>
              <w:tr2bl w:val="nil"/>
            </w:tcBorders>
            <w:vAlign w:val="center"/>
          </w:tcPr>
          <w:p w14:paraId="5F4C06B9">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2B476E40">
            <w:pPr>
              <w:bidi w:val="0"/>
              <w:jc w:val="center"/>
              <w:rPr>
                <w:rFonts w:hint="default"/>
                <w:color w:val="auto"/>
                <w:lang w:val="en-US" w:eastAsia="zh-CN"/>
              </w:rPr>
            </w:pPr>
            <w:r>
              <w:rPr>
                <w:rFonts w:hint="eastAsia"/>
                <w:color w:val="auto"/>
                <w:lang w:val="en-US" w:eastAsia="zh-CN"/>
              </w:rPr>
              <w:t>7.7</w:t>
            </w:r>
          </w:p>
        </w:tc>
        <w:tc>
          <w:tcPr>
            <w:tcW w:w="1423" w:type="dxa"/>
            <w:vMerge w:val="continue"/>
            <w:tcBorders>
              <w:tl2br w:val="nil"/>
              <w:tr2bl w:val="nil"/>
            </w:tcBorders>
            <w:vAlign w:val="center"/>
          </w:tcPr>
          <w:p w14:paraId="2A59A0DA">
            <w:pPr>
              <w:bidi w:val="0"/>
              <w:jc w:val="center"/>
              <w:rPr>
                <w:rFonts w:hint="eastAsia"/>
                <w:color w:val="auto"/>
                <w:lang w:val="en-US" w:eastAsia="zh-CN"/>
              </w:rPr>
            </w:pPr>
          </w:p>
        </w:tc>
        <w:tc>
          <w:tcPr>
            <w:tcW w:w="1423" w:type="dxa"/>
            <w:vMerge w:val="continue"/>
            <w:tcBorders>
              <w:tl2br w:val="nil"/>
              <w:tr2bl w:val="nil"/>
            </w:tcBorders>
            <w:vAlign w:val="center"/>
          </w:tcPr>
          <w:p w14:paraId="292BF2E0">
            <w:pPr>
              <w:bidi w:val="0"/>
              <w:jc w:val="center"/>
              <w:rPr>
                <w:rFonts w:hint="eastAsia"/>
                <w:color w:val="auto"/>
                <w:lang w:val="en-US" w:eastAsia="zh-CN"/>
              </w:rPr>
            </w:pPr>
          </w:p>
        </w:tc>
      </w:tr>
      <w:tr w14:paraId="0B212F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0A66A4B">
            <w:pPr>
              <w:bidi w:val="0"/>
              <w:jc w:val="center"/>
              <w:rPr>
                <w:rFonts w:hint="eastAsia"/>
                <w:color w:val="auto"/>
                <w:lang w:val="en-US" w:eastAsia="zh-CN"/>
              </w:rPr>
            </w:pPr>
          </w:p>
        </w:tc>
        <w:tc>
          <w:tcPr>
            <w:tcW w:w="1563" w:type="dxa"/>
            <w:vMerge w:val="continue"/>
            <w:tcBorders>
              <w:tl2br w:val="nil"/>
              <w:tr2bl w:val="nil"/>
            </w:tcBorders>
            <w:vAlign w:val="center"/>
          </w:tcPr>
          <w:p w14:paraId="41FC610E">
            <w:pPr>
              <w:bidi w:val="0"/>
              <w:jc w:val="center"/>
              <w:rPr>
                <w:rFonts w:hint="eastAsia"/>
                <w:color w:val="auto"/>
                <w:lang w:val="en-US" w:eastAsia="zh-CN"/>
              </w:rPr>
            </w:pPr>
          </w:p>
        </w:tc>
        <w:tc>
          <w:tcPr>
            <w:tcW w:w="1422" w:type="dxa"/>
            <w:vMerge w:val="continue"/>
            <w:tcBorders>
              <w:tl2br w:val="nil"/>
              <w:tr2bl w:val="nil"/>
            </w:tcBorders>
            <w:vAlign w:val="center"/>
          </w:tcPr>
          <w:p w14:paraId="2DA780F7">
            <w:pPr>
              <w:bidi w:val="0"/>
              <w:jc w:val="center"/>
              <w:rPr>
                <w:rFonts w:hint="eastAsia"/>
                <w:color w:val="auto"/>
                <w:lang w:val="en-US" w:eastAsia="zh-CN"/>
              </w:rPr>
            </w:pPr>
          </w:p>
        </w:tc>
        <w:tc>
          <w:tcPr>
            <w:tcW w:w="1422" w:type="dxa"/>
            <w:tcBorders>
              <w:tl2br w:val="nil"/>
              <w:tr2bl w:val="nil"/>
            </w:tcBorders>
            <w:vAlign w:val="center"/>
          </w:tcPr>
          <w:p w14:paraId="33C14458">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541151FF">
            <w:pPr>
              <w:bidi w:val="0"/>
              <w:jc w:val="center"/>
              <w:rPr>
                <w:rFonts w:hint="default"/>
                <w:color w:val="auto"/>
                <w:lang w:val="en-US" w:eastAsia="zh-CN"/>
              </w:rPr>
            </w:pPr>
            <w:r>
              <w:rPr>
                <w:rFonts w:hint="eastAsia"/>
                <w:color w:val="auto"/>
                <w:lang w:val="en-US" w:eastAsia="zh-CN"/>
              </w:rPr>
              <w:t>7.6</w:t>
            </w:r>
          </w:p>
        </w:tc>
        <w:tc>
          <w:tcPr>
            <w:tcW w:w="1423" w:type="dxa"/>
            <w:vMerge w:val="continue"/>
            <w:tcBorders>
              <w:tl2br w:val="nil"/>
              <w:tr2bl w:val="nil"/>
            </w:tcBorders>
            <w:vAlign w:val="center"/>
          </w:tcPr>
          <w:p w14:paraId="672B36A5">
            <w:pPr>
              <w:bidi w:val="0"/>
              <w:jc w:val="center"/>
              <w:rPr>
                <w:rFonts w:hint="eastAsia"/>
                <w:color w:val="auto"/>
                <w:lang w:val="en-US" w:eastAsia="zh-CN"/>
              </w:rPr>
            </w:pPr>
          </w:p>
        </w:tc>
        <w:tc>
          <w:tcPr>
            <w:tcW w:w="1423" w:type="dxa"/>
            <w:vMerge w:val="continue"/>
            <w:tcBorders>
              <w:tl2br w:val="nil"/>
              <w:tr2bl w:val="nil"/>
            </w:tcBorders>
            <w:vAlign w:val="center"/>
          </w:tcPr>
          <w:p w14:paraId="6B79D032">
            <w:pPr>
              <w:bidi w:val="0"/>
              <w:jc w:val="center"/>
              <w:rPr>
                <w:rFonts w:hint="eastAsia"/>
                <w:color w:val="auto"/>
                <w:lang w:val="en-US" w:eastAsia="zh-CN"/>
              </w:rPr>
            </w:pPr>
          </w:p>
        </w:tc>
      </w:tr>
      <w:tr w14:paraId="3F5AFE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65DF1F9">
            <w:pPr>
              <w:bidi w:val="0"/>
              <w:jc w:val="center"/>
              <w:rPr>
                <w:rFonts w:hint="eastAsia"/>
                <w:color w:val="auto"/>
                <w:lang w:val="en-US" w:eastAsia="zh-CN"/>
              </w:rPr>
            </w:pPr>
          </w:p>
        </w:tc>
        <w:tc>
          <w:tcPr>
            <w:tcW w:w="1563" w:type="dxa"/>
            <w:vMerge w:val="continue"/>
            <w:tcBorders>
              <w:tl2br w:val="nil"/>
              <w:tr2bl w:val="nil"/>
            </w:tcBorders>
            <w:vAlign w:val="center"/>
          </w:tcPr>
          <w:p w14:paraId="64E803B2">
            <w:pPr>
              <w:bidi w:val="0"/>
              <w:jc w:val="center"/>
              <w:rPr>
                <w:rFonts w:hint="eastAsia"/>
                <w:color w:val="auto"/>
                <w:lang w:val="en-US" w:eastAsia="zh-CN"/>
              </w:rPr>
            </w:pPr>
          </w:p>
        </w:tc>
        <w:tc>
          <w:tcPr>
            <w:tcW w:w="1422" w:type="dxa"/>
            <w:vMerge w:val="continue"/>
            <w:tcBorders>
              <w:tl2br w:val="nil"/>
              <w:tr2bl w:val="nil"/>
            </w:tcBorders>
            <w:vAlign w:val="center"/>
          </w:tcPr>
          <w:p w14:paraId="685C246C">
            <w:pPr>
              <w:bidi w:val="0"/>
              <w:jc w:val="center"/>
              <w:rPr>
                <w:rFonts w:hint="eastAsia"/>
                <w:color w:val="auto"/>
                <w:lang w:val="en-US" w:eastAsia="zh-CN"/>
              </w:rPr>
            </w:pPr>
          </w:p>
        </w:tc>
        <w:tc>
          <w:tcPr>
            <w:tcW w:w="1422" w:type="dxa"/>
            <w:tcBorders>
              <w:tl2br w:val="nil"/>
              <w:tr2bl w:val="nil"/>
            </w:tcBorders>
            <w:vAlign w:val="center"/>
          </w:tcPr>
          <w:p w14:paraId="33DFE469">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28F840B3">
            <w:pPr>
              <w:bidi w:val="0"/>
              <w:jc w:val="center"/>
              <w:rPr>
                <w:rFonts w:hint="default"/>
                <w:color w:val="auto"/>
                <w:lang w:val="en-US" w:eastAsia="zh-CN"/>
              </w:rPr>
            </w:pPr>
            <w:r>
              <w:rPr>
                <w:rFonts w:hint="eastAsia"/>
                <w:color w:val="auto"/>
                <w:lang w:val="en-US" w:eastAsia="zh-CN"/>
              </w:rPr>
              <w:t>7.5</w:t>
            </w:r>
          </w:p>
        </w:tc>
        <w:tc>
          <w:tcPr>
            <w:tcW w:w="1423" w:type="dxa"/>
            <w:vMerge w:val="continue"/>
            <w:tcBorders>
              <w:tl2br w:val="nil"/>
              <w:tr2bl w:val="nil"/>
            </w:tcBorders>
            <w:vAlign w:val="center"/>
          </w:tcPr>
          <w:p w14:paraId="5DC572A6">
            <w:pPr>
              <w:bidi w:val="0"/>
              <w:jc w:val="center"/>
              <w:rPr>
                <w:rFonts w:hint="eastAsia"/>
                <w:color w:val="auto"/>
                <w:lang w:val="en-US" w:eastAsia="zh-CN"/>
              </w:rPr>
            </w:pPr>
          </w:p>
        </w:tc>
        <w:tc>
          <w:tcPr>
            <w:tcW w:w="1423" w:type="dxa"/>
            <w:vMerge w:val="continue"/>
            <w:tcBorders>
              <w:tl2br w:val="nil"/>
              <w:tr2bl w:val="nil"/>
            </w:tcBorders>
            <w:vAlign w:val="center"/>
          </w:tcPr>
          <w:p w14:paraId="4C775AAE">
            <w:pPr>
              <w:bidi w:val="0"/>
              <w:jc w:val="center"/>
              <w:rPr>
                <w:rFonts w:hint="eastAsia"/>
                <w:color w:val="auto"/>
                <w:lang w:val="en-US" w:eastAsia="zh-CN"/>
              </w:rPr>
            </w:pPr>
          </w:p>
        </w:tc>
      </w:tr>
      <w:tr w14:paraId="5165DD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FEC04B9">
            <w:pPr>
              <w:bidi w:val="0"/>
              <w:jc w:val="center"/>
              <w:rPr>
                <w:rFonts w:hint="eastAsia"/>
                <w:color w:val="auto"/>
                <w:lang w:val="en-US" w:eastAsia="zh-CN"/>
              </w:rPr>
            </w:pPr>
          </w:p>
        </w:tc>
        <w:tc>
          <w:tcPr>
            <w:tcW w:w="1563" w:type="dxa"/>
            <w:vMerge w:val="continue"/>
            <w:tcBorders>
              <w:tl2br w:val="nil"/>
              <w:tr2bl w:val="nil"/>
            </w:tcBorders>
            <w:vAlign w:val="center"/>
          </w:tcPr>
          <w:p w14:paraId="5945D60B">
            <w:pPr>
              <w:bidi w:val="0"/>
              <w:jc w:val="center"/>
              <w:rPr>
                <w:rFonts w:hint="eastAsia"/>
                <w:color w:val="auto"/>
                <w:lang w:val="en-US" w:eastAsia="zh-CN"/>
              </w:rPr>
            </w:pPr>
          </w:p>
        </w:tc>
        <w:tc>
          <w:tcPr>
            <w:tcW w:w="1422" w:type="dxa"/>
            <w:vMerge w:val="restart"/>
            <w:tcBorders>
              <w:tl2br w:val="nil"/>
              <w:tr2bl w:val="nil"/>
            </w:tcBorders>
            <w:vAlign w:val="center"/>
          </w:tcPr>
          <w:p w14:paraId="04C2D182">
            <w:pPr>
              <w:bidi w:val="0"/>
              <w:jc w:val="center"/>
              <w:rPr>
                <w:rFonts w:hint="default"/>
                <w:color w:val="auto"/>
                <w:lang w:val="en-US" w:eastAsia="zh-CN"/>
              </w:rPr>
            </w:pPr>
            <w:r>
              <w:rPr>
                <w:rFonts w:hint="eastAsia"/>
                <w:color w:val="auto"/>
                <w:lang w:val="en-US" w:eastAsia="zh-CN"/>
              </w:rPr>
              <w:t>悬浮物</w:t>
            </w:r>
          </w:p>
        </w:tc>
        <w:tc>
          <w:tcPr>
            <w:tcW w:w="1422" w:type="dxa"/>
            <w:tcBorders>
              <w:tl2br w:val="nil"/>
              <w:tr2bl w:val="nil"/>
            </w:tcBorders>
            <w:vAlign w:val="center"/>
          </w:tcPr>
          <w:p w14:paraId="0FE924CE">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5324679B">
            <w:pPr>
              <w:bidi w:val="0"/>
              <w:jc w:val="center"/>
              <w:rPr>
                <w:rFonts w:hint="default"/>
                <w:color w:val="auto"/>
                <w:lang w:val="en-US" w:eastAsia="zh-CN"/>
              </w:rPr>
            </w:pPr>
            <w:r>
              <w:rPr>
                <w:rFonts w:hint="eastAsia"/>
                <w:color w:val="auto"/>
                <w:lang w:val="en-US" w:eastAsia="zh-CN"/>
              </w:rPr>
              <w:t>15</w:t>
            </w:r>
          </w:p>
        </w:tc>
        <w:tc>
          <w:tcPr>
            <w:tcW w:w="1423" w:type="dxa"/>
            <w:vMerge w:val="restart"/>
            <w:tcBorders>
              <w:tl2br w:val="nil"/>
              <w:tr2bl w:val="nil"/>
            </w:tcBorders>
            <w:vAlign w:val="center"/>
          </w:tcPr>
          <w:p w14:paraId="5A54FD12">
            <w:pPr>
              <w:bidi w:val="0"/>
              <w:jc w:val="center"/>
              <w:rPr>
                <w:rFonts w:hint="default"/>
                <w:color w:val="auto"/>
                <w:lang w:val="en-US" w:eastAsia="zh-CN"/>
              </w:rPr>
            </w:pPr>
            <w:r>
              <w:rPr>
                <w:rFonts w:hint="eastAsia"/>
                <w:color w:val="auto"/>
                <w:lang w:val="en-US" w:eastAsia="zh-CN"/>
              </w:rPr>
              <w:t>250</w:t>
            </w:r>
          </w:p>
        </w:tc>
        <w:tc>
          <w:tcPr>
            <w:tcW w:w="1423" w:type="dxa"/>
            <w:vMerge w:val="restart"/>
            <w:tcBorders>
              <w:tl2br w:val="nil"/>
              <w:tr2bl w:val="nil"/>
            </w:tcBorders>
            <w:vAlign w:val="center"/>
          </w:tcPr>
          <w:p w14:paraId="4C3A16F3">
            <w:pPr>
              <w:bidi w:val="0"/>
              <w:jc w:val="center"/>
              <w:rPr>
                <w:rFonts w:hint="eastAsia"/>
                <w:color w:val="auto"/>
                <w:lang w:val="en-US" w:eastAsia="zh-CN"/>
              </w:rPr>
            </w:pPr>
            <w:r>
              <w:rPr>
                <w:rFonts w:hint="eastAsia"/>
                <w:color w:val="auto"/>
                <w:lang w:val="en-US" w:eastAsia="zh-CN"/>
              </w:rPr>
              <w:t>达标</w:t>
            </w:r>
          </w:p>
        </w:tc>
      </w:tr>
      <w:tr w14:paraId="48BFE4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139D394">
            <w:pPr>
              <w:bidi w:val="0"/>
              <w:jc w:val="center"/>
              <w:rPr>
                <w:rFonts w:hint="eastAsia"/>
                <w:color w:val="auto"/>
                <w:lang w:val="en-US" w:eastAsia="zh-CN"/>
              </w:rPr>
            </w:pPr>
          </w:p>
        </w:tc>
        <w:tc>
          <w:tcPr>
            <w:tcW w:w="1563" w:type="dxa"/>
            <w:vMerge w:val="continue"/>
            <w:tcBorders>
              <w:tl2br w:val="nil"/>
              <w:tr2bl w:val="nil"/>
            </w:tcBorders>
            <w:vAlign w:val="center"/>
          </w:tcPr>
          <w:p w14:paraId="048D0238">
            <w:pPr>
              <w:bidi w:val="0"/>
              <w:jc w:val="center"/>
              <w:rPr>
                <w:rFonts w:hint="eastAsia"/>
                <w:color w:val="auto"/>
                <w:lang w:val="en-US" w:eastAsia="zh-CN"/>
              </w:rPr>
            </w:pPr>
          </w:p>
        </w:tc>
        <w:tc>
          <w:tcPr>
            <w:tcW w:w="1422" w:type="dxa"/>
            <w:vMerge w:val="continue"/>
            <w:tcBorders>
              <w:tl2br w:val="nil"/>
              <w:tr2bl w:val="nil"/>
            </w:tcBorders>
            <w:vAlign w:val="center"/>
          </w:tcPr>
          <w:p w14:paraId="0B2DB5D2">
            <w:pPr>
              <w:bidi w:val="0"/>
              <w:jc w:val="center"/>
              <w:rPr>
                <w:rFonts w:hint="eastAsia"/>
                <w:color w:val="auto"/>
                <w:lang w:val="en-US" w:eastAsia="zh-CN"/>
              </w:rPr>
            </w:pPr>
          </w:p>
        </w:tc>
        <w:tc>
          <w:tcPr>
            <w:tcW w:w="1422" w:type="dxa"/>
            <w:tcBorders>
              <w:tl2br w:val="nil"/>
              <w:tr2bl w:val="nil"/>
            </w:tcBorders>
            <w:vAlign w:val="center"/>
          </w:tcPr>
          <w:p w14:paraId="7410C204">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5CBC4836">
            <w:pPr>
              <w:bidi w:val="0"/>
              <w:jc w:val="center"/>
              <w:rPr>
                <w:rFonts w:hint="default"/>
                <w:color w:val="auto"/>
                <w:lang w:val="en-US" w:eastAsia="zh-CN"/>
              </w:rPr>
            </w:pPr>
            <w:r>
              <w:rPr>
                <w:rFonts w:hint="eastAsia"/>
                <w:color w:val="auto"/>
                <w:lang w:val="en-US" w:eastAsia="zh-CN"/>
              </w:rPr>
              <w:t>12</w:t>
            </w:r>
          </w:p>
        </w:tc>
        <w:tc>
          <w:tcPr>
            <w:tcW w:w="1423" w:type="dxa"/>
            <w:vMerge w:val="continue"/>
            <w:tcBorders>
              <w:tl2br w:val="nil"/>
              <w:tr2bl w:val="nil"/>
            </w:tcBorders>
            <w:vAlign w:val="center"/>
          </w:tcPr>
          <w:p w14:paraId="5952D8F6">
            <w:pPr>
              <w:bidi w:val="0"/>
              <w:jc w:val="center"/>
              <w:rPr>
                <w:rFonts w:hint="eastAsia"/>
                <w:color w:val="auto"/>
                <w:lang w:val="en-US" w:eastAsia="zh-CN"/>
              </w:rPr>
            </w:pPr>
          </w:p>
        </w:tc>
        <w:tc>
          <w:tcPr>
            <w:tcW w:w="1423" w:type="dxa"/>
            <w:vMerge w:val="continue"/>
            <w:tcBorders>
              <w:tl2br w:val="nil"/>
              <w:tr2bl w:val="nil"/>
            </w:tcBorders>
            <w:vAlign w:val="center"/>
          </w:tcPr>
          <w:p w14:paraId="136D9770">
            <w:pPr>
              <w:bidi w:val="0"/>
              <w:jc w:val="center"/>
              <w:rPr>
                <w:rFonts w:hint="eastAsia"/>
                <w:color w:val="auto"/>
                <w:lang w:val="en-US" w:eastAsia="zh-CN"/>
              </w:rPr>
            </w:pPr>
          </w:p>
        </w:tc>
      </w:tr>
      <w:tr w14:paraId="5A6E83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2546DF1">
            <w:pPr>
              <w:bidi w:val="0"/>
              <w:jc w:val="center"/>
              <w:rPr>
                <w:rFonts w:hint="eastAsia"/>
                <w:color w:val="auto"/>
                <w:lang w:val="en-US" w:eastAsia="zh-CN"/>
              </w:rPr>
            </w:pPr>
          </w:p>
        </w:tc>
        <w:tc>
          <w:tcPr>
            <w:tcW w:w="1563" w:type="dxa"/>
            <w:vMerge w:val="continue"/>
            <w:tcBorders>
              <w:tl2br w:val="nil"/>
              <w:tr2bl w:val="nil"/>
            </w:tcBorders>
            <w:vAlign w:val="center"/>
          </w:tcPr>
          <w:p w14:paraId="697712EB">
            <w:pPr>
              <w:bidi w:val="0"/>
              <w:jc w:val="center"/>
              <w:rPr>
                <w:rFonts w:hint="eastAsia"/>
                <w:color w:val="auto"/>
                <w:lang w:val="en-US" w:eastAsia="zh-CN"/>
              </w:rPr>
            </w:pPr>
          </w:p>
        </w:tc>
        <w:tc>
          <w:tcPr>
            <w:tcW w:w="1422" w:type="dxa"/>
            <w:vMerge w:val="continue"/>
            <w:tcBorders>
              <w:tl2br w:val="nil"/>
              <w:tr2bl w:val="nil"/>
            </w:tcBorders>
            <w:vAlign w:val="center"/>
          </w:tcPr>
          <w:p w14:paraId="3862E8FC">
            <w:pPr>
              <w:bidi w:val="0"/>
              <w:jc w:val="center"/>
              <w:rPr>
                <w:rFonts w:hint="eastAsia"/>
                <w:color w:val="auto"/>
                <w:lang w:val="en-US" w:eastAsia="zh-CN"/>
              </w:rPr>
            </w:pPr>
          </w:p>
        </w:tc>
        <w:tc>
          <w:tcPr>
            <w:tcW w:w="1422" w:type="dxa"/>
            <w:tcBorders>
              <w:tl2br w:val="nil"/>
              <w:tr2bl w:val="nil"/>
            </w:tcBorders>
            <w:vAlign w:val="center"/>
          </w:tcPr>
          <w:p w14:paraId="274D9227">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0209B6A1">
            <w:pPr>
              <w:bidi w:val="0"/>
              <w:jc w:val="center"/>
              <w:rPr>
                <w:rFonts w:hint="default"/>
                <w:color w:val="auto"/>
                <w:lang w:val="en-US" w:eastAsia="zh-CN"/>
              </w:rPr>
            </w:pPr>
            <w:r>
              <w:rPr>
                <w:rFonts w:hint="eastAsia"/>
                <w:color w:val="auto"/>
                <w:lang w:val="en-US" w:eastAsia="zh-CN"/>
              </w:rPr>
              <w:t>16</w:t>
            </w:r>
          </w:p>
        </w:tc>
        <w:tc>
          <w:tcPr>
            <w:tcW w:w="1423" w:type="dxa"/>
            <w:vMerge w:val="continue"/>
            <w:tcBorders>
              <w:tl2br w:val="nil"/>
              <w:tr2bl w:val="nil"/>
            </w:tcBorders>
            <w:vAlign w:val="center"/>
          </w:tcPr>
          <w:p w14:paraId="2757F680">
            <w:pPr>
              <w:bidi w:val="0"/>
              <w:jc w:val="center"/>
              <w:rPr>
                <w:rFonts w:hint="eastAsia"/>
                <w:color w:val="auto"/>
                <w:lang w:val="en-US" w:eastAsia="zh-CN"/>
              </w:rPr>
            </w:pPr>
          </w:p>
        </w:tc>
        <w:tc>
          <w:tcPr>
            <w:tcW w:w="1423" w:type="dxa"/>
            <w:vMerge w:val="continue"/>
            <w:tcBorders>
              <w:tl2br w:val="nil"/>
              <w:tr2bl w:val="nil"/>
            </w:tcBorders>
            <w:vAlign w:val="center"/>
          </w:tcPr>
          <w:p w14:paraId="16D3BFE0">
            <w:pPr>
              <w:bidi w:val="0"/>
              <w:jc w:val="center"/>
              <w:rPr>
                <w:rFonts w:hint="eastAsia"/>
                <w:color w:val="auto"/>
                <w:lang w:val="en-US" w:eastAsia="zh-CN"/>
              </w:rPr>
            </w:pPr>
          </w:p>
        </w:tc>
      </w:tr>
      <w:tr w14:paraId="07E769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D30118B">
            <w:pPr>
              <w:bidi w:val="0"/>
              <w:jc w:val="center"/>
              <w:rPr>
                <w:rFonts w:hint="eastAsia"/>
                <w:color w:val="auto"/>
                <w:lang w:val="en-US" w:eastAsia="zh-CN"/>
              </w:rPr>
            </w:pPr>
          </w:p>
        </w:tc>
        <w:tc>
          <w:tcPr>
            <w:tcW w:w="1563" w:type="dxa"/>
            <w:vMerge w:val="continue"/>
            <w:tcBorders>
              <w:tl2br w:val="nil"/>
              <w:tr2bl w:val="nil"/>
            </w:tcBorders>
            <w:vAlign w:val="center"/>
          </w:tcPr>
          <w:p w14:paraId="354B689A">
            <w:pPr>
              <w:bidi w:val="0"/>
              <w:jc w:val="center"/>
              <w:rPr>
                <w:rFonts w:hint="eastAsia"/>
                <w:color w:val="auto"/>
                <w:lang w:val="en-US" w:eastAsia="zh-CN"/>
              </w:rPr>
            </w:pPr>
          </w:p>
        </w:tc>
        <w:tc>
          <w:tcPr>
            <w:tcW w:w="1422" w:type="dxa"/>
            <w:vMerge w:val="continue"/>
            <w:tcBorders>
              <w:tl2br w:val="nil"/>
              <w:tr2bl w:val="nil"/>
            </w:tcBorders>
            <w:vAlign w:val="center"/>
          </w:tcPr>
          <w:p w14:paraId="4D9ACFDD">
            <w:pPr>
              <w:bidi w:val="0"/>
              <w:jc w:val="center"/>
              <w:rPr>
                <w:rFonts w:hint="eastAsia"/>
                <w:color w:val="auto"/>
                <w:lang w:val="en-US" w:eastAsia="zh-CN"/>
              </w:rPr>
            </w:pPr>
          </w:p>
        </w:tc>
        <w:tc>
          <w:tcPr>
            <w:tcW w:w="1422" w:type="dxa"/>
            <w:tcBorders>
              <w:tl2br w:val="nil"/>
              <w:tr2bl w:val="nil"/>
            </w:tcBorders>
            <w:vAlign w:val="center"/>
          </w:tcPr>
          <w:p w14:paraId="1FFD6AEA">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0936B3B6">
            <w:pPr>
              <w:bidi w:val="0"/>
              <w:jc w:val="center"/>
              <w:rPr>
                <w:rFonts w:hint="default"/>
                <w:color w:val="auto"/>
                <w:lang w:val="en-US" w:eastAsia="zh-CN"/>
              </w:rPr>
            </w:pPr>
            <w:r>
              <w:rPr>
                <w:rFonts w:hint="eastAsia"/>
                <w:color w:val="auto"/>
                <w:lang w:val="en-US" w:eastAsia="zh-CN"/>
              </w:rPr>
              <w:t>14</w:t>
            </w:r>
          </w:p>
        </w:tc>
        <w:tc>
          <w:tcPr>
            <w:tcW w:w="1423" w:type="dxa"/>
            <w:vMerge w:val="continue"/>
            <w:tcBorders>
              <w:tl2br w:val="nil"/>
              <w:tr2bl w:val="nil"/>
            </w:tcBorders>
            <w:vAlign w:val="center"/>
          </w:tcPr>
          <w:p w14:paraId="078DF26C">
            <w:pPr>
              <w:bidi w:val="0"/>
              <w:jc w:val="center"/>
              <w:rPr>
                <w:rFonts w:hint="eastAsia"/>
                <w:color w:val="auto"/>
                <w:lang w:val="en-US" w:eastAsia="zh-CN"/>
              </w:rPr>
            </w:pPr>
          </w:p>
        </w:tc>
        <w:tc>
          <w:tcPr>
            <w:tcW w:w="1423" w:type="dxa"/>
            <w:vMerge w:val="continue"/>
            <w:tcBorders>
              <w:tl2br w:val="nil"/>
              <w:tr2bl w:val="nil"/>
            </w:tcBorders>
            <w:vAlign w:val="center"/>
          </w:tcPr>
          <w:p w14:paraId="541F8D72">
            <w:pPr>
              <w:bidi w:val="0"/>
              <w:jc w:val="center"/>
              <w:rPr>
                <w:rFonts w:hint="eastAsia"/>
                <w:color w:val="auto"/>
                <w:lang w:val="en-US" w:eastAsia="zh-CN"/>
              </w:rPr>
            </w:pPr>
          </w:p>
        </w:tc>
      </w:tr>
      <w:tr w14:paraId="3B87C9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5C9BB3D">
            <w:pPr>
              <w:bidi w:val="0"/>
              <w:jc w:val="center"/>
              <w:rPr>
                <w:rFonts w:hint="eastAsia"/>
                <w:color w:val="auto"/>
                <w:lang w:val="en-US" w:eastAsia="zh-CN"/>
              </w:rPr>
            </w:pPr>
          </w:p>
        </w:tc>
        <w:tc>
          <w:tcPr>
            <w:tcW w:w="1563" w:type="dxa"/>
            <w:vMerge w:val="continue"/>
            <w:tcBorders>
              <w:tl2br w:val="nil"/>
              <w:tr2bl w:val="nil"/>
            </w:tcBorders>
            <w:vAlign w:val="center"/>
          </w:tcPr>
          <w:p w14:paraId="08EF9D8B">
            <w:pPr>
              <w:bidi w:val="0"/>
              <w:jc w:val="center"/>
              <w:rPr>
                <w:rFonts w:hint="eastAsia"/>
                <w:color w:val="auto"/>
                <w:lang w:val="en-US" w:eastAsia="zh-CN"/>
              </w:rPr>
            </w:pPr>
          </w:p>
        </w:tc>
        <w:tc>
          <w:tcPr>
            <w:tcW w:w="1422" w:type="dxa"/>
            <w:vMerge w:val="restart"/>
            <w:tcBorders>
              <w:tl2br w:val="nil"/>
              <w:tr2bl w:val="nil"/>
            </w:tcBorders>
            <w:vAlign w:val="center"/>
          </w:tcPr>
          <w:p w14:paraId="7CEFE80A">
            <w:pPr>
              <w:bidi w:val="0"/>
              <w:jc w:val="center"/>
              <w:rPr>
                <w:rFonts w:hint="default"/>
                <w:color w:val="auto"/>
                <w:lang w:val="en-US" w:eastAsia="zh-CN"/>
              </w:rPr>
            </w:pPr>
            <w:r>
              <w:rPr>
                <w:rFonts w:hint="eastAsia"/>
                <w:color w:val="auto"/>
                <w:lang w:val="en-US" w:eastAsia="zh-CN"/>
              </w:rPr>
              <w:t>化学需氧量</w:t>
            </w:r>
          </w:p>
        </w:tc>
        <w:tc>
          <w:tcPr>
            <w:tcW w:w="1422" w:type="dxa"/>
            <w:tcBorders>
              <w:tl2br w:val="nil"/>
              <w:tr2bl w:val="nil"/>
            </w:tcBorders>
            <w:vAlign w:val="center"/>
          </w:tcPr>
          <w:p w14:paraId="0AC66680">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571A87F6">
            <w:pPr>
              <w:bidi w:val="0"/>
              <w:jc w:val="center"/>
              <w:rPr>
                <w:rFonts w:hint="default"/>
                <w:color w:val="auto"/>
                <w:lang w:val="en-US" w:eastAsia="zh-CN"/>
              </w:rPr>
            </w:pPr>
            <w:r>
              <w:rPr>
                <w:rFonts w:hint="eastAsia"/>
                <w:color w:val="auto"/>
                <w:lang w:val="en-US" w:eastAsia="zh-CN"/>
              </w:rPr>
              <w:t>23</w:t>
            </w:r>
          </w:p>
        </w:tc>
        <w:tc>
          <w:tcPr>
            <w:tcW w:w="1423" w:type="dxa"/>
            <w:vMerge w:val="restart"/>
            <w:tcBorders>
              <w:tl2br w:val="nil"/>
              <w:tr2bl w:val="nil"/>
            </w:tcBorders>
            <w:vAlign w:val="center"/>
          </w:tcPr>
          <w:p w14:paraId="4EE98FF9">
            <w:pPr>
              <w:bidi w:val="0"/>
              <w:jc w:val="center"/>
              <w:rPr>
                <w:rFonts w:hint="default"/>
                <w:color w:val="auto"/>
                <w:lang w:val="en-US" w:eastAsia="zh-CN"/>
              </w:rPr>
            </w:pPr>
            <w:r>
              <w:rPr>
                <w:rFonts w:hint="eastAsia"/>
                <w:color w:val="auto"/>
                <w:lang w:val="en-US" w:eastAsia="zh-CN"/>
              </w:rPr>
              <w:t>420</w:t>
            </w:r>
          </w:p>
        </w:tc>
        <w:tc>
          <w:tcPr>
            <w:tcW w:w="1423" w:type="dxa"/>
            <w:vMerge w:val="restart"/>
            <w:tcBorders>
              <w:tl2br w:val="nil"/>
              <w:tr2bl w:val="nil"/>
            </w:tcBorders>
            <w:vAlign w:val="center"/>
          </w:tcPr>
          <w:p w14:paraId="3C64EE40">
            <w:pPr>
              <w:bidi w:val="0"/>
              <w:jc w:val="center"/>
              <w:rPr>
                <w:rFonts w:hint="default"/>
                <w:color w:val="auto"/>
                <w:lang w:val="en-US" w:eastAsia="zh-CN"/>
              </w:rPr>
            </w:pPr>
            <w:r>
              <w:rPr>
                <w:rFonts w:hint="eastAsia"/>
                <w:color w:val="auto"/>
                <w:lang w:val="en-US" w:eastAsia="zh-CN"/>
              </w:rPr>
              <w:t>达标</w:t>
            </w:r>
          </w:p>
        </w:tc>
      </w:tr>
      <w:tr w14:paraId="57C7F9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0BC68C1">
            <w:pPr>
              <w:bidi w:val="0"/>
              <w:jc w:val="center"/>
              <w:rPr>
                <w:rFonts w:hint="eastAsia"/>
                <w:color w:val="auto"/>
                <w:lang w:val="en-US" w:eastAsia="zh-CN"/>
              </w:rPr>
            </w:pPr>
          </w:p>
        </w:tc>
        <w:tc>
          <w:tcPr>
            <w:tcW w:w="1563" w:type="dxa"/>
            <w:vMerge w:val="continue"/>
            <w:tcBorders>
              <w:tl2br w:val="nil"/>
              <w:tr2bl w:val="nil"/>
            </w:tcBorders>
            <w:vAlign w:val="center"/>
          </w:tcPr>
          <w:p w14:paraId="345E50AB">
            <w:pPr>
              <w:bidi w:val="0"/>
              <w:jc w:val="center"/>
              <w:rPr>
                <w:rFonts w:hint="eastAsia"/>
                <w:color w:val="auto"/>
                <w:lang w:val="en-US" w:eastAsia="zh-CN"/>
              </w:rPr>
            </w:pPr>
          </w:p>
        </w:tc>
        <w:tc>
          <w:tcPr>
            <w:tcW w:w="1422" w:type="dxa"/>
            <w:vMerge w:val="continue"/>
            <w:tcBorders>
              <w:tl2br w:val="nil"/>
              <w:tr2bl w:val="nil"/>
            </w:tcBorders>
            <w:vAlign w:val="center"/>
          </w:tcPr>
          <w:p w14:paraId="2734F4DD">
            <w:pPr>
              <w:bidi w:val="0"/>
              <w:jc w:val="center"/>
              <w:rPr>
                <w:rFonts w:hint="eastAsia"/>
                <w:color w:val="auto"/>
                <w:lang w:val="en-US" w:eastAsia="zh-CN"/>
              </w:rPr>
            </w:pPr>
          </w:p>
        </w:tc>
        <w:tc>
          <w:tcPr>
            <w:tcW w:w="1422" w:type="dxa"/>
            <w:tcBorders>
              <w:tl2br w:val="nil"/>
              <w:tr2bl w:val="nil"/>
            </w:tcBorders>
            <w:vAlign w:val="center"/>
          </w:tcPr>
          <w:p w14:paraId="1CCA3BB4">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62F21BD5">
            <w:pPr>
              <w:bidi w:val="0"/>
              <w:jc w:val="center"/>
              <w:rPr>
                <w:rFonts w:hint="default"/>
                <w:color w:val="auto"/>
                <w:lang w:val="en-US" w:eastAsia="zh-CN"/>
              </w:rPr>
            </w:pPr>
            <w:r>
              <w:rPr>
                <w:rFonts w:hint="eastAsia"/>
                <w:color w:val="auto"/>
                <w:lang w:val="en-US" w:eastAsia="zh-CN"/>
              </w:rPr>
              <w:t>21</w:t>
            </w:r>
          </w:p>
        </w:tc>
        <w:tc>
          <w:tcPr>
            <w:tcW w:w="1423" w:type="dxa"/>
            <w:vMerge w:val="continue"/>
            <w:tcBorders>
              <w:tl2br w:val="nil"/>
              <w:tr2bl w:val="nil"/>
            </w:tcBorders>
            <w:vAlign w:val="center"/>
          </w:tcPr>
          <w:p w14:paraId="5ECE6F91">
            <w:pPr>
              <w:bidi w:val="0"/>
              <w:jc w:val="center"/>
              <w:rPr>
                <w:rFonts w:hint="eastAsia"/>
                <w:color w:val="auto"/>
                <w:lang w:val="en-US" w:eastAsia="zh-CN"/>
              </w:rPr>
            </w:pPr>
          </w:p>
        </w:tc>
        <w:tc>
          <w:tcPr>
            <w:tcW w:w="1423" w:type="dxa"/>
            <w:vMerge w:val="continue"/>
            <w:tcBorders>
              <w:tl2br w:val="nil"/>
              <w:tr2bl w:val="nil"/>
            </w:tcBorders>
            <w:vAlign w:val="center"/>
          </w:tcPr>
          <w:p w14:paraId="0E849800">
            <w:pPr>
              <w:bidi w:val="0"/>
              <w:jc w:val="center"/>
              <w:rPr>
                <w:rFonts w:hint="eastAsia"/>
                <w:color w:val="auto"/>
                <w:lang w:val="en-US" w:eastAsia="zh-CN"/>
              </w:rPr>
            </w:pPr>
          </w:p>
        </w:tc>
      </w:tr>
      <w:tr w14:paraId="571275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79C7F5">
            <w:pPr>
              <w:bidi w:val="0"/>
              <w:jc w:val="center"/>
              <w:rPr>
                <w:rFonts w:hint="eastAsia"/>
                <w:color w:val="auto"/>
                <w:lang w:val="en-US" w:eastAsia="zh-CN"/>
              </w:rPr>
            </w:pPr>
          </w:p>
        </w:tc>
        <w:tc>
          <w:tcPr>
            <w:tcW w:w="1563" w:type="dxa"/>
            <w:vMerge w:val="continue"/>
            <w:tcBorders>
              <w:tl2br w:val="nil"/>
              <w:tr2bl w:val="nil"/>
            </w:tcBorders>
            <w:vAlign w:val="center"/>
          </w:tcPr>
          <w:p w14:paraId="31A8A5E1">
            <w:pPr>
              <w:bidi w:val="0"/>
              <w:jc w:val="center"/>
              <w:rPr>
                <w:rFonts w:hint="eastAsia"/>
                <w:color w:val="auto"/>
                <w:lang w:val="en-US" w:eastAsia="zh-CN"/>
              </w:rPr>
            </w:pPr>
          </w:p>
        </w:tc>
        <w:tc>
          <w:tcPr>
            <w:tcW w:w="1422" w:type="dxa"/>
            <w:vMerge w:val="continue"/>
            <w:tcBorders>
              <w:tl2br w:val="nil"/>
              <w:tr2bl w:val="nil"/>
            </w:tcBorders>
            <w:vAlign w:val="center"/>
          </w:tcPr>
          <w:p w14:paraId="26179569">
            <w:pPr>
              <w:bidi w:val="0"/>
              <w:jc w:val="center"/>
              <w:rPr>
                <w:rFonts w:hint="eastAsia"/>
                <w:color w:val="auto"/>
                <w:lang w:val="en-US" w:eastAsia="zh-CN"/>
              </w:rPr>
            </w:pPr>
          </w:p>
        </w:tc>
        <w:tc>
          <w:tcPr>
            <w:tcW w:w="1422" w:type="dxa"/>
            <w:tcBorders>
              <w:tl2br w:val="nil"/>
              <w:tr2bl w:val="nil"/>
            </w:tcBorders>
            <w:vAlign w:val="center"/>
          </w:tcPr>
          <w:p w14:paraId="1DA57147">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2EC07AFE">
            <w:pPr>
              <w:bidi w:val="0"/>
              <w:jc w:val="center"/>
              <w:rPr>
                <w:rFonts w:hint="default"/>
                <w:color w:val="auto"/>
                <w:lang w:val="en-US" w:eastAsia="zh-CN"/>
              </w:rPr>
            </w:pPr>
            <w:r>
              <w:rPr>
                <w:rFonts w:hint="eastAsia"/>
                <w:color w:val="auto"/>
                <w:lang w:val="en-US" w:eastAsia="zh-CN"/>
              </w:rPr>
              <w:t>22</w:t>
            </w:r>
          </w:p>
        </w:tc>
        <w:tc>
          <w:tcPr>
            <w:tcW w:w="1423" w:type="dxa"/>
            <w:vMerge w:val="continue"/>
            <w:tcBorders>
              <w:tl2br w:val="nil"/>
              <w:tr2bl w:val="nil"/>
            </w:tcBorders>
            <w:vAlign w:val="center"/>
          </w:tcPr>
          <w:p w14:paraId="7CB1AA56">
            <w:pPr>
              <w:bidi w:val="0"/>
              <w:jc w:val="center"/>
              <w:rPr>
                <w:rFonts w:hint="eastAsia"/>
                <w:color w:val="auto"/>
                <w:lang w:val="en-US" w:eastAsia="zh-CN"/>
              </w:rPr>
            </w:pPr>
          </w:p>
        </w:tc>
        <w:tc>
          <w:tcPr>
            <w:tcW w:w="1423" w:type="dxa"/>
            <w:vMerge w:val="continue"/>
            <w:tcBorders>
              <w:tl2br w:val="nil"/>
              <w:tr2bl w:val="nil"/>
            </w:tcBorders>
            <w:vAlign w:val="center"/>
          </w:tcPr>
          <w:p w14:paraId="2682F0C2">
            <w:pPr>
              <w:bidi w:val="0"/>
              <w:jc w:val="center"/>
              <w:rPr>
                <w:rFonts w:hint="eastAsia"/>
                <w:color w:val="auto"/>
                <w:lang w:val="en-US" w:eastAsia="zh-CN"/>
              </w:rPr>
            </w:pPr>
          </w:p>
        </w:tc>
      </w:tr>
      <w:tr w14:paraId="4476C7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483244ED">
            <w:pPr>
              <w:bidi w:val="0"/>
              <w:jc w:val="center"/>
              <w:rPr>
                <w:rFonts w:hint="eastAsia"/>
                <w:color w:val="auto"/>
                <w:lang w:val="en-US" w:eastAsia="zh-CN"/>
              </w:rPr>
            </w:pPr>
          </w:p>
        </w:tc>
        <w:tc>
          <w:tcPr>
            <w:tcW w:w="1563" w:type="dxa"/>
            <w:vMerge w:val="continue"/>
            <w:tcBorders>
              <w:tl2br w:val="nil"/>
              <w:tr2bl w:val="nil"/>
            </w:tcBorders>
            <w:vAlign w:val="center"/>
          </w:tcPr>
          <w:p w14:paraId="17497BE5">
            <w:pPr>
              <w:bidi w:val="0"/>
              <w:jc w:val="center"/>
              <w:rPr>
                <w:rFonts w:hint="eastAsia"/>
                <w:color w:val="auto"/>
                <w:lang w:val="en-US" w:eastAsia="zh-CN"/>
              </w:rPr>
            </w:pPr>
          </w:p>
        </w:tc>
        <w:tc>
          <w:tcPr>
            <w:tcW w:w="1422" w:type="dxa"/>
            <w:vMerge w:val="continue"/>
            <w:tcBorders>
              <w:tl2br w:val="nil"/>
              <w:tr2bl w:val="nil"/>
            </w:tcBorders>
            <w:vAlign w:val="center"/>
          </w:tcPr>
          <w:p w14:paraId="0D96EE66">
            <w:pPr>
              <w:bidi w:val="0"/>
              <w:jc w:val="center"/>
              <w:rPr>
                <w:rFonts w:hint="eastAsia"/>
                <w:color w:val="auto"/>
                <w:lang w:val="en-US" w:eastAsia="zh-CN"/>
              </w:rPr>
            </w:pPr>
          </w:p>
        </w:tc>
        <w:tc>
          <w:tcPr>
            <w:tcW w:w="1422" w:type="dxa"/>
            <w:tcBorders>
              <w:tl2br w:val="nil"/>
              <w:tr2bl w:val="nil"/>
            </w:tcBorders>
            <w:vAlign w:val="center"/>
          </w:tcPr>
          <w:p w14:paraId="36DE3706">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0A4860B9">
            <w:pPr>
              <w:bidi w:val="0"/>
              <w:jc w:val="center"/>
              <w:rPr>
                <w:rFonts w:hint="default"/>
                <w:color w:val="auto"/>
                <w:lang w:val="en-US" w:eastAsia="zh-CN"/>
              </w:rPr>
            </w:pPr>
            <w:r>
              <w:rPr>
                <w:rFonts w:hint="eastAsia"/>
                <w:color w:val="auto"/>
                <w:lang w:val="en-US" w:eastAsia="zh-CN"/>
              </w:rPr>
              <w:t>24</w:t>
            </w:r>
          </w:p>
        </w:tc>
        <w:tc>
          <w:tcPr>
            <w:tcW w:w="1423" w:type="dxa"/>
            <w:vMerge w:val="continue"/>
            <w:tcBorders>
              <w:tl2br w:val="nil"/>
              <w:tr2bl w:val="nil"/>
            </w:tcBorders>
            <w:vAlign w:val="center"/>
          </w:tcPr>
          <w:p w14:paraId="60815FF0">
            <w:pPr>
              <w:bidi w:val="0"/>
              <w:jc w:val="center"/>
              <w:rPr>
                <w:rFonts w:hint="eastAsia"/>
                <w:color w:val="auto"/>
                <w:lang w:val="en-US" w:eastAsia="zh-CN"/>
              </w:rPr>
            </w:pPr>
          </w:p>
        </w:tc>
        <w:tc>
          <w:tcPr>
            <w:tcW w:w="1423" w:type="dxa"/>
            <w:vMerge w:val="continue"/>
            <w:tcBorders>
              <w:tl2br w:val="nil"/>
              <w:tr2bl w:val="nil"/>
            </w:tcBorders>
            <w:vAlign w:val="center"/>
          </w:tcPr>
          <w:p w14:paraId="3392803C">
            <w:pPr>
              <w:bidi w:val="0"/>
              <w:jc w:val="center"/>
              <w:rPr>
                <w:rFonts w:hint="eastAsia"/>
                <w:color w:val="auto"/>
                <w:lang w:val="en-US" w:eastAsia="zh-CN"/>
              </w:rPr>
            </w:pPr>
          </w:p>
        </w:tc>
      </w:tr>
      <w:tr w14:paraId="4C52EE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1D96430">
            <w:pPr>
              <w:bidi w:val="0"/>
              <w:jc w:val="center"/>
              <w:rPr>
                <w:rFonts w:hint="eastAsia"/>
                <w:color w:val="auto"/>
                <w:lang w:val="en-US" w:eastAsia="zh-CN"/>
              </w:rPr>
            </w:pPr>
          </w:p>
        </w:tc>
        <w:tc>
          <w:tcPr>
            <w:tcW w:w="1563" w:type="dxa"/>
            <w:vMerge w:val="continue"/>
            <w:tcBorders>
              <w:tl2br w:val="nil"/>
              <w:tr2bl w:val="nil"/>
            </w:tcBorders>
            <w:vAlign w:val="center"/>
          </w:tcPr>
          <w:p w14:paraId="18379946">
            <w:pPr>
              <w:bidi w:val="0"/>
              <w:jc w:val="center"/>
              <w:rPr>
                <w:rFonts w:hint="eastAsia"/>
                <w:color w:val="auto"/>
                <w:lang w:val="en-US" w:eastAsia="zh-CN"/>
              </w:rPr>
            </w:pPr>
          </w:p>
        </w:tc>
        <w:tc>
          <w:tcPr>
            <w:tcW w:w="1422" w:type="dxa"/>
            <w:vMerge w:val="restart"/>
            <w:tcBorders>
              <w:tl2br w:val="nil"/>
              <w:tr2bl w:val="nil"/>
            </w:tcBorders>
            <w:vAlign w:val="center"/>
          </w:tcPr>
          <w:p w14:paraId="33232B97">
            <w:pPr>
              <w:bidi w:val="0"/>
              <w:jc w:val="center"/>
              <w:rPr>
                <w:rFonts w:hint="default"/>
                <w:color w:val="auto"/>
                <w:lang w:val="en-US" w:eastAsia="zh-CN"/>
              </w:rPr>
            </w:pPr>
            <w:r>
              <w:rPr>
                <w:rFonts w:hint="eastAsia"/>
                <w:color w:val="auto"/>
                <w:lang w:val="en-US" w:eastAsia="zh-CN"/>
              </w:rPr>
              <w:t>五日生需氧量</w:t>
            </w:r>
          </w:p>
        </w:tc>
        <w:tc>
          <w:tcPr>
            <w:tcW w:w="1422" w:type="dxa"/>
            <w:tcBorders>
              <w:tl2br w:val="nil"/>
              <w:tr2bl w:val="nil"/>
            </w:tcBorders>
            <w:vAlign w:val="center"/>
          </w:tcPr>
          <w:p w14:paraId="052823A5">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6B19A9A2">
            <w:pPr>
              <w:bidi w:val="0"/>
              <w:jc w:val="center"/>
              <w:rPr>
                <w:rFonts w:hint="default"/>
                <w:color w:val="auto"/>
                <w:lang w:val="en-US" w:eastAsia="zh-CN"/>
              </w:rPr>
            </w:pPr>
            <w:r>
              <w:rPr>
                <w:rFonts w:hint="eastAsia"/>
                <w:color w:val="auto"/>
                <w:lang w:val="en-US" w:eastAsia="zh-CN"/>
              </w:rPr>
              <w:t>6.6</w:t>
            </w:r>
          </w:p>
        </w:tc>
        <w:tc>
          <w:tcPr>
            <w:tcW w:w="1423" w:type="dxa"/>
            <w:vMerge w:val="restart"/>
            <w:tcBorders>
              <w:tl2br w:val="nil"/>
              <w:tr2bl w:val="nil"/>
            </w:tcBorders>
            <w:vAlign w:val="center"/>
          </w:tcPr>
          <w:p w14:paraId="3139C14F">
            <w:pPr>
              <w:bidi w:val="0"/>
              <w:jc w:val="center"/>
              <w:rPr>
                <w:rFonts w:hint="default"/>
                <w:color w:val="auto"/>
                <w:lang w:val="en-US" w:eastAsia="zh-CN"/>
              </w:rPr>
            </w:pPr>
            <w:r>
              <w:rPr>
                <w:rFonts w:hint="eastAsia"/>
                <w:color w:val="auto"/>
                <w:lang w:val="en-US" w:eastAsia="zh-CN"/>
              </w:rPr>
              <w:t>150</w:t>
            </w:r>
          </w:p>
        </w:tc>
        <w:tc>
          <w:tcPr>
            <w:tcW w:w="1423" w:type="dxa"/>
            <w:vMerge w:val="restart"/>
            <w:tcBorders>
              <w:tl2br w:val="nil"/>
              <w:tr2bl w:val="nil"/>
            </w:tcBorders>
            <w:vAlign w:val="center"/>
          </w:tcPr>
          <w:p w14:paraId="3B99A839">
            <w:pPr>
              <w:bidi w:val="0"/>
              <w:jc w:val="center"/>
              <w:rPr>
                <w:rFonts w:hint="eastAsia"/>
                <w:color w:val="auto"/>
                <w:lang w:val="en-US" w:eastAsia="zh-CN"/>
              </w:rPr>
            </w:pPr>
            <w:r>
              <w:rPr>
                <w:rFonts w:hint="eastAsia"/>
                <w:color w:val="auto"/>
                <w:lang w:val="en-US" w:eastAsia="zh-CN"/>
              </w:rPr>
              <w:t>达标</w:t>
            </w:r>
          </w:p>
        </w:tc>
      </w:tr>
      <w:tr w14:paraId="6583CD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9B83CCE">
            <w:pPr>
              <w:bidi w:val="0"/>
              <w:jc w:val="center"/>
              <w:rPr>
                <w:rFonts w:hint="eastAsia"/>
                <w:color w:val="auto"/>
                <w:lang w:val="en-US" w:eastAsia="zh-CN"/>
              </w:rPr>
            </w:pPr>
          </w:p>
        </w:tc>
        <w:tc>
          <w:tcPr>
            <w:tcW w:w="1563" w:type="dxa"/>
            <w:vMerge w:val="continue"/>
            <w:tcBorders>
              <w:tl2br w:val="nil"/>
              <w:tr2bl w:val="nil"/>
            </w:tcBorders>
            <w:vAlign w:val="center"/>
          </w:tcPr>
          <w:p w14:paraId="427937AE">
            <w:pPr>
              <w:bidi w:val="0"/>
              <w:jc w:val="center"/>
              <w:rPr>
                <w:rFonts w:hint="eastAsia"/>
                <w:color w:val="auto"/>
                <w:lang w:val="en-US" w:eastAsia="zh-CN"/>
              </w:rPr>
            </w:pPr>
          </w:p>
        </w:tc>
        <w:tc>
          <w:tcPr>
            <w:tcW w:w="1422" w:type="dxa"/>
            <w:vMerge w:val="continue"/>
            <w:tcBorders>
              <w:tl2br w:val="nil"/>
              <w:tr2bl w:val="nil"/>
            </w:tcBorders>
            <w:vAlign w:val="center"/>
          </w:tcPr>
          <w:p w14:paraId="43C2D36F">
            <w:pPr>
              <w:bidi w:val="0"/>
              <w:jc w:val="center"/>
              <w:rPr>
                <w:rFonts w:hint="eastAsia"/>
                <w:color w:val="auto"/>
                <w:lang w:val="en-US" w:eastAsia="zh-CN"/>
              </w:rPr>
            </w:pPr>
          </w:p>
        </w:tc>
        <w:tc>
          <w:tcPr>
            <w:tcW w:w="1422" w:type="dxa"/>
            <w:tcBorders>
              <w:tl2br w:val="nil"/>
              <w:tr2bl w:val="nil"/>
            </w:tcBorders>
            <w:vAlign w:val="center"/>
          </w:tcPr>
          <w:p w14:paraId="7553DECE">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5F42D2F4">
            <w:pPr>
              <w:bidi w:val="0"/>
              <w:jc w:val="center"/>
              <w:rPr>
                <w:rFonts w:hint="default"/>
                <w:color w:val="auto"/>
                <w:lang w:val="en-US" w:eastAsia="zh-CN"/>
              </w:rPr>
            </w:pPr>
            <w:r>
              <w:rPr>
                <w:rFonts w:hint="eastAsia"/>
                <w:color w:val="auto"/>
                <w:lang w:val="en-US" w:eastAsia="zh-CN"/>
              </w:rPr>
              <w:t>6.3</w:t>
            </w:r>
          </w:p>
        </w:tc>
        <w:tc>
          <w:tcPr>
            <w:tcW w:w="1423" w:type="dxa"/>
            <w:vMerge w:val="continue"/>
            <w:tcBorders>
              <w:tl2br w:val="nil"/>
              <w:tr2bl w:val="nil"/>
            </w:tcBorders>
            <w:vAlign w:val="center"/>
          </w:tcPr>
          <w:p w14:paraId="14BFA756">
            <w:pPr>
              <w:bidi w:val="0"/>
              <w:jc w:val="center"/>
              <w:rPr>
                <w:rFonts w:hint="eastAsia"/>
                <w:color w:val="auto"/>
                <w:lang w:val="en-US" w:eastAsia="zh-CN"/>
              </w:rPr>
            </w:pPr>
          </w:p>
        </w:tc>
        <w:tc>
          <w:tcPr>
            <w:tcW w:w="1423" w:type="dxa"/>
            <w:vMerge w:val="continue"/>
            <w:tcBorders>
              <w:tl2br w:val="nil"/>
              <w:tr2bl w:val="nil"/>
            </w:tcBorders>
            <w:vAlign w:val="center"/>
          </w:tcPr>
          <w:p w14:paraId="38CB58C4">
            <w:pPr>
              <w:bidi w:val="0"/>
              <w:jc w:val="center"/>
              <w:rPr>
                <w:rFonts w:hint="eastAsia"/>
                <w:color w:val="auto"/>
                <w:lang w:val="en-US" w:eastAsia="zh-CN"/>
              </w:rPr>
            </w:pPr>
          </w:p>
        </w:tc>
      </w:tr>
      <w:tr w14:paraId="5D6B20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ADADDEE">
            <w:pPr>
              <w:bidi w:val="0"/>
              <w:jc w:val="center"/>
              <w:rPr>
                <w:rFonts w:hint="eastAsia"/>
                <w:color w:val="auto"/>
                <w:lang w:val="en-US" w:eastAsia="zh-CN"/>
              </w:rPr>
            </w:pPr>
          </w:p>
        </w:tc>
        <w:tc>
          <w:tcPr>
            <w:tcW w:w="1563" w:type="dxa"/>
            <w:vMerge w:val="continue"/>
            <w:tcBorders>
              <w:tl2br w:val="nil"/>
              <w:tr2bl w:val="nil"/>
            </w:tcBorders>
            <w:vAlign w:val="center"/>
          </w:tcPr>
          <w:p w14:paraId="2EC860AE">
            <w:pPr>
              <w:bidi w:val="0"/>
              <w:jc w:val="center"/>
              <w:rPr>
                <w:rFonts w:hint="eastAsia"/>
                <w:color w:val="auto"/>
                <w:lang w:val="en-US" w:eastAsia="zh-CN"/>
              </w:rPr>
            </w:pPr>
          </w:p>
        </w:tc>
        <w:tc>
          <w:tcPr>
            <w:tcW w:w="1422" w:type="dxa"/>
            <w:vMerge w:val="continue"/>
            <w:tcBorders>
              <w:tl2br w:val="nil"/>
              <w:tr2bl w:val="nil"/>
            </w:tcBorders>
            <w:vAlign w:val="center"/>
          </w:tcPr>
          <w:p w14:paraId="1F6A31A8">
            <w:pPr>
              <w:bidi w:val="0"/>
              <w:jc w:val="center"/>
              <w:rPr>
                <w:rFonts w:hint="eastAsia"/>
                <w:color w:val="auto"/>
                <w:lang w:val="en-US" w:eastAsia="zh-CN"/>
              </w:rPr>
            </w:pPr>
          </w:p>
        </w:tc>
        <w:tc>
          <w:tcPr>
            <w:tcW w:w="1422" w:type="dxa"/>
            <w:tcBorders>
              <w:tl2br w:val="nil"/>
              <w:tr2bl w:val="nil"/>
            </w:tcBorders>
            <w:vAlign w:val="center"/>
          </w:tcPr>
          <w:p w14:paraId="70B96F61">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78DE0304">
            <w:pPr>
              <w:bidi w:val="0"/>
              <w:jc w:val="center"/>
              <w:rPr>
                <w:rFonts w:hint="default"/>
                <w:color w:val="auto"/>
                <w:lang w:val="en-US" w:eastAsia="zh-CN"/>
              </w:rPr>
            </w:pPr>
            <w:r>
              <w:rPr>
                <w:rFonts w:hint="eastAsia"/>
                <w:color w:val="auto"/>
                <w:lang w:val="en-US" w:eastAsia="zh-CN"/>
              </w:rPr>
              <w:t>7.0</w:t>
            </w:r>
          </w:p>
        </w:tc>
        <w:tc>
          <w:tcPr>
            <w:tcW w:w="1423" w:type="dxa"/>
            <w:vMerge w:val="continue"/>
            <w:tcBorders>
              <w:tl2br w:val="nil"/>
              <w:tr2bl w:val="nil"/>
            </w:tcBorders>
            <w:vAlign w:val="center"/>
          </w:tcPr>
          <w:p w14:paraId="39E30913">
            <w:pPr>
              <w:bidi w:val="0"/>
              <w:jc w:val="center"/>
              <w:rPr>
                <w:rFonts w:hint="eastAsia"/>
                <w:color w:val="auto"/>
                <w:lang w:val="en-US" w:eastAsia="zh-CN"/>
              </w:rPr>
            </w:pPr>
          </w:p>
        </w:tc>
        <w:tc>
          <w:tcPr>
            <w:tcW w:w="1423" w:type="dxa"/>
            <w:vMerge w:val="continue"/>
            <w:tcBorders>
              <w:tl2br w:val="nil"/>
              <w:tr2bl w:val="nil"/>
            </w:tcBorders>
            <w:vAlign w:val="center"/>
          </w:tcPr>
          <w:p w14:paraId="5F7F201C">
            <w:pPr>
              <w:bidi w:val="0"/>
              <w:jc w:val="center"/>
              <w:rPr>
                <w:rFonts w:hint="eastAsia"/>
                <w:color w:val="auto"/>
                <w:lang w:val="en-US" w:eastAsia="zh-CN"/>
              </w:rPr>
            </w:pPr>
          </w:p>
        </w:tc>
      </w:tr>
      <w:tr w14:paraId="4292A9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8731719">
            <w:pPr>
              <w:bidi w:val="0"/>
              <w:jc w:val="center"/>
              <w:rPr>
                <w:rFonts w:hint="eastAsia"/>
                <w:color w:val="auto"/>
                <w:lang w:val="en-US" w:eastAsia="zh-CN"/>
              </w:rPr>
            </w:pPr>
          </w:p>
        </w:tc>
        <w:tc>
          <w:tcPr>
            <w:tcW w:w="1563" w:type="dxa"/>
            <w:vMerge w:val="continue"/>
            <w:tcBorders>
              <w:tl2br w:val="nil"/>
              <w:tr2bl w:val="nil"/>
            </w:tcBorders>
            <w:vAlign w:val="center"/>
          </w:tcPr>
          <w:p w14:paraId="47B7C4FD">
            <w:pPr>
              <w:bidi w:val="0"/>
              <w:jc w:val="center"/>
              <w:rPr>
                <w:rFonts w:hint="eastAsia"/>
                <w:color w:val="auto"/>
                <w:lang w:val="en-US" w:eastAsia="zh-CN"/>
              </w:rPr>
            </w:pPr>
          </w:p>
        </w:tc>
        <w:tc>
          <w:tcPr>
            <w:tcW w:w="1422" w:type="dxa"/>
            <w:vMerge w:val="continue"/>
            <w:tcBorders>
              <w:tl2br w:val="nil"/>
              <w:tr2bl w:val="nil"/>
            </w:tcBorders>
            <w:vAlign w:val="center"/>
          </w:tcPr>
          <w:p w14:paraId="5BB90650">
            <w:pPr>
              <w:bidi w:val="0"/>
              <w:jc w:val="center"/>
              <w:rPr>
                <w:rFonts w:hint="eastAsia"/>
                <w:color w:val="auto"/>
                <w:lang w:val="en-US" w:eastAsia="zh-CN"/>
              </w:rPr>
            </w:pPr>
          </w:p>
        </w:tc>
        <w:tc>
          <w:tcPr>
            <w:tcW w:w="1422" w:type="dxa"/>
            <w:tcBorders>
              <w:tl2br w:val="nil"/>
              <w:tr2bl w:val="nil"/>
            </w:tcBorders>
            <w:vAlign w:val="center"/>
          </w:tcPr>
          <w:p w14:paraId="63DE1B0E">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0BCC135F">
            <w:pPr>
              <w:bidi w:val="0"/>
              <w:jc w:val="center"/>
              <w:rPr>
                <w:rFonts w:hint="default"/>
                <w:color w:val="auto"/>
                <w:lang w:val="en-US" w:eastAsia="zh-CN"/>
              </w:rPr>
            </w:pPr>
            <w:r>
              <w:rPr>
                <w:rFonts w:hint="eastAsia"/>
                <w:color w:val="auto"/>
                <w:lang w:val="en-US" w:eastAsia="zh-CN"/>
              </w:rPr>
              <w:t>7.1</w:t>
            </w:r>
          </w:p>
        </w:tc>
        <w:tc>
          <w:tcPr>
            <w:tcW w:w="1423" w:type="dxa"/>
            <w:vMerge w:val="continue"/>
            <w:tcBorders>
              <w:tl2br w:val="nil"/>
              <w:tr2bl w:val="nil"/>
            </w:tcBorders>
            <w:vAlign w:val="center"/>
          </w:tcPr>
          <w:p w14:paraId="02A4EE5A">
            <w:pPr>
              <w:bidi w:val="0"/>
              <w:jc w:val="center"/>
              <w:rPr>
                <w:rFonts w:hint="eastAsia"/>
                <w:color w:val="auto"/>
                <w:lang w:val="en-US" w:eastAsia="zh-CN"/>
              </w:rPr>
            </w:pPr>
          </w:p>
        </w:tc>
        <w:tc>
          <w:tcPr>
            <w:tcW w:w="1423" w:type="dxa"/>
            <w:vMerge w:val="continue"/>
            <w:tcBorders>
              <w:tl2br w:val="nil"/>
              <w:tr2bl w:val="nil"/>
            </w:tcBorders>
            <w:vAlign w:val="center"/>
          </w:tcPr>
          <w:p w14:paraId="3B3CCFFC">
            <w:pPr>
              <w:bidi w:val="0"/>
              <w:jc w:val="center"/>
              <w:rPr>
                <w:rFonts w:hint="eastAsia"/>
                <w:color w:val="auto"/>
                <w:lang w:val="en-US" w:eastAsia="zh-CN"/>
              </w:rPr>
            </w:pPr>
          </w:p>
        </w:tc>
      </w:tr>
      <w:tr w14:paraId="51AE88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B98D128">
            <w:pPr>
              <w:bidi w:val="0"/>
              <w:jc w:val="center"/>
              <w:rPr>
                <w:rFonts w:hint="eastAsia"/>
                <w:color w:val="auto"/>
                <w:lang w:val="en-US" w:eastAsia="zh-CN"/>
              </w:rPr>
            </w:pPr>
          </w:p>
        </w:tc>
        <w:tc>
          <w:tcPr>
            <w:tcW w:w="1563" w:type="dxa"/>
            <w:vMerge w:val="continue"/>
            <w:tcBorders>
              <w:tl2br w:val="nil"/>
              <w:tr2bl w:val="nil"/>
            </w:tcBorders>
            <w:vAlign w:val="center"/>
          </w:tcPr>
          <w:p w14:paraId="03FE573C">
            <w:pPr>
              <w:bidi w:val="0"/>
              <w:jc w:val="center"/>
              <w:rPr>
                <w:rFonts w:hint="eastAsia"/>
                <w:color w:val="auto"/>
                <w:lang w:val="en-US" w:eastAsia="zh-CN"/>
              </w:rPr>
            </w:pPr>
          </w:p>
        </w:tc>
        <w:tc>
          <w:tcPr>
            <w:tcW w:w="1422" w:type="dxa"/>
            <w:vMerge w:val="restart"/>
            <w:tcBorders>
              <w:tl2br w:val="nil"/>
              <w:tr2bl w:val="nil"/>
            </w:tcBorders>
            <w:vAlign w:val="center"/>
          </w:tcPr>
          <w:p w14:paraId="4FDEE7F3">
            <w:pPr>
              <w:bidi w:val="0"/>
              <w:jc w:val="center"/>
              <w:rPr>
                <w:rFonts w:hint="default"/>
                <w:color w:val="auto"/>
                <w:lang w:val="en-US" w:eastAsia="zh-CN"/>
              </w:rPr>
            </w:pPr>
            <w:r>
              <w:rPr>
                <w:rFonts w:hint="eastAsia"/>
                <w:color w:val="auto"/>
                <w:lang w:val="en-US" w:eastAsia="zh-CN"/>
              </w:rPr>
              <w:t>氨氮</w:t>
            </w:r>
          </w:p>
        </w:tc>
        <w:tc>
          <w:tcPr>
            <w:tcW w:w="1422" w:type="dxa"/>
            <w:tcBorders>
              <w:tl2br w:val="nil"/>
              <w:tr2bl w:val="nil"/>
            </w:tcBorders>
            <w:vAlign w:val="center"/>
          </w:tcPr>
          <w:p w14:paraId="477BD41C">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49C1AD10">
            <w:pPr>
              <w:bidi w:val="0"/>
              <w:jc w:val="center"/>
              <w:rPr>
                <w:rFonts w:hint="default"/>
                <w:color w:val="auto"/>
                <w:lang w:val="en-US" w:eastAsia="zh-CN"/>
              </w:rPr>
            </w:pPr>
            <w:r>
              <w:rPr>
                <w:rFonts w:hint="eastAsia"/>
                <w:color w:val="auto"/>
                <w:lang w:val="en-US" w:eastAsia="zh-CN"/>
              </w:rPr>
              <w:t>1.00</w:t>
            </w:r>
          </w:p>
        </w:tc>
        <w:tc>
          <w:tcPr>
            <w:tcW w:w="1423" w:type="dxa"/>
            <w:vMerge w:val="restart"/>
            <w:tcBorders>
              <w:tl2br w:val="nil"/>
              <w:tr2bl w:val="nil"/>
            </w:tcBorders>
            <w:vAlign w:val="center"/>
          </w:tcPr>
          <w:p w14:paraId="39583E47">
            <w:pPr>
              <w:bidi w:val="0"/>
              <w:jc w:val="center"/>
              <w:rPr>
                <w:rFonts w:hint="default"/>
                <w:color w:val="auto"/>
                <w:lang w:val="en-US" w:eastAsia="zh-CN"/>
              </w:rPr>
            </w:pPr>
            <w:r>
              <w:rPr>
                <w:rFonts w:hint="eastAsia"/>
                <w:color w:val="auto"/>
                <w:lang w:val="en-US" w:eastAsia="zh-CN"/>
              </w:rPr>
              <w:t>30</w:t>
            </w:r>
          </w:p>
        </w:tc>
        <w:tc>
          <w:tcPr>
            <w:tcW w:w="1423" w:type="dxa"/>
            <w:vMerge w:val="restart"/>
            <w:tcBorders>
              <w:tl2br w:val="nil"/>
              <w:tr2bl w:val="nil"/>
            </w:tcBorders>
            <w:vAlign w:val="center"/>
          </w:tcPr>
          <w:p w14:paraId="46864324">
            <w:pPr>
              <w:bidi w:val="0"/>
              <w:jc w:val="center"/>
              <w:rPr>
                <w:rFonts w:hint="eastAsia"/>
                <w:color w:val="auto"/>
                <w:lang w:val="en-US" w:eastAsia="zh-CN"/>
              </w:rPr>
            </w:pPr>
            <w:r>
              <w:rPr>
                <w:rFonts w:hint="eastAsia"/>
                <w:color w:val="auto"/>
                <w:lang w:val="en-US" w:eastAsia="zh-CN"/>
              </w:rPr>
              <w:t>达标</w:t>
            </w:r>
          </w:p>
        </w:tc>
      </w:tr>
      <w:tr w14:paraId="52F184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1E6619">
            <w:pPr>
              <w:bidi w:val="0"/>
              <w:jc w:val="center"/>
              <w:rPr>
                <w:rFonts w:hint="eastAsia"/>
                <w:color w:val="auto"/>
                <w:lang w:val="en-US" w:eastAsia="zh-CN"/>
              </w:rPr>
            </w:pPr>
          </w:p>
        </w:tc>
        <w:tc>
          <w:tcPr>
            <w:tcW w:w="1563" w:type="dxa"/>
            <w:vMerge w:val="continue"/>
            <w:tcBorders>
              <w:tl2br w:val="nil"/>
              <w:tr2bl w:val="nil"/>
            </w:tcBorders>
            <w:vAlign w:val="center"/>
          </w:tcPr>
          <w:p w14:paraId="1D3226D4">
            <w:pPr>
              <w:bidi w:val="0"/>
              <w:jc w:val="center"/>
              <w:rPr>
                <w:rFonts w:hint="eastAsia"/>
                <w:color w:val="auto"/>
                <w:lang w:val="en-US" w:eastAsia="zh-CN"/>
              </w:rPr>
            </w:pPr>
          </w:p>
        </w:tc>
        <w:tc>
          <w:tcPr>
            <w:tcW w:w="1422" w:type="dxa"/>
            <w:vMerge w:val="continue"/>
            <w:tcBorders>
              <w:tl2br w:val="nil"/>
              <w:tr2bl w:val="nil"/>
            </w:tcBorders>
            <w:vAlign w:val="center"/>
          </w:tcPr>
          <w:p w14:paraId="4DE552FA">
            <w:pPr>
              <w:bidi w:val="0"/>
              <w:jc w:val="center"/>
              <w:rPr>
                <w:rFonts w:hint="eastAsia"/>
                <w:color w:val="auto"/>
                <w:lang w:val="en-US" w:eastAsia="zh-CN"/>
              </w:rPr>
            </w:pPr>
          </w:p>
        </w:tc>
        <w:tc>
          <w:tcPr>
            <w:tcW w:w="1422" w:type="dxa"/>
            <w:tcBorders>
              <w:tl2br w:val="nil"/>
              <w:tr2bl w:val="nil"/>
            </w:tcBorders>
            <w:vAlign w:val="center"/>
          </w:tcPr>
          <w:p w14:paraId="7988B3A0">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17DE5E26">
            <w:pPr>
              <w:bidi w:val="0"/>
              <w:jc w:val="center"/>
              <w:rPr>
                <w:rFonts w:hint="default"/>
                <w:color w:val="auto"/>
                <w:lang w:val="en-US" w:eastAsia="zh-CN"/>
              </w:rPr>
            </w:pPr>
            <w:r>
              <w:rPr>
                <w:rFonts w:hint="eastAsia"/>
                <w:color w:val="auto"/>
                <w:lang w:val="en-US" w:eastAsia="zh-CN"/>
              </w:rPr>
              <w:t>1.08</w:t>
            </w:r>
          </w:p>
        </w:tc>
        <w:tc>
          <w:tcPr>
            <w:tcW w:w="1423" w:type="dxa"/>
            <w:vMerge w:val="continue"/>
            <w:tcBorders>
              <w:tl2br w:val="nil"/>
              <w:tr2bl w:val="nil"/>
            </w:tcBorders>
            <w:vAlign w:val="center"/>
          </w:tcPr>
          <w:p w14:paraId="3FE19BE9">
            <w:pPr>
              <w:bidi w:val="0"/>
              <w:jc w:val="center"/>
              <w:rPr>
                <w:rFonts w:hint="eastAsia"/>
                <w:color w:val="auto"/>
                <w:lang w:val="en-US" w:eastAsia="zh-CN"/>
              </w:rPr>
            </w:pPr>
          </w:p>
        </w:tc>
        <w:tc>
          <w:tcPr>
            <w:tcW w:w="1423" w:type="dxa"/>
            <w:vMerge w:val="continue"/>
            <w:tcBorders>
              <w:tl2br w:val="nil"/>
              <w:tr2bl w:val="nil"/>
            </w:tcBorders>
            <w:vAlign w:val="center"/>
          </w:tcPr>
          <w:p w14:paraId="2C9E9B01">
            <w:pPr>
              <w:bidi w:val="0"/>
              <w:jc w:val="center"/>
              <w:rPr>
                <w:rFonts w:hint="eastAsia"/>
                <w:color w:val="auto"/>
                <w:lang w:val="en-US" w:eastAsia="zh-CN"/>
              </w:rPr>
            </w:pPr>
          </w:p>
        </w:tc>
      </w:tr>
      <w:tr w14:paraId="536198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1F29E2C">
            <w:pPr>
              <w:bidi w:val="0"/>
              <w:jc w:val="center"/>
              <w:rPr>
                <w:rFonts w:hint="eastAsia"/>
                <w:color w:val="auto"/>
                <w:lang w:val="en-US" w:eastAsia="zh-CN"/>
              </w:rPr>
            </w:pPr>
          </w:p>
        </w:tc>
        <w:tc>
          <w:tcPr>
            <w:tcW w:w="1563" w:type="dxa"/>
            <w:vMerge w:val="continue"/>
            <w:tcBorders>
              <w:tl2br w:val="nil"/>
              <w:tr2bl w:val="nil"/>
            </w:tcBorders>
            <w:vAlign w:val="center"/>
          </w:tcPr>
          <w:p w14:paraId="66B4B435">
            <w:pPr>
              <w:bidi w:val="0"/>
              <w:jc w:val="center"/>
              <w:rPr>
                <w:rFonts w:hint="eastAsia"/>
                <w:color w:val="auto"/>
                <w:lang w:val="en-US" w:eastAsia="zh-CN"/>
              </w:rPr>
            </w:pPr>
          </w:p>
        </w:tc>
        <w:tc>
          <w:tcPr>
            <w:tcW w:w="1422" w:type="dxa"/>
            <w:vMerge w:val="continue"/>
            <w:tcBorders>
              <w:tl2br w:val="nil"/>
              <w:tr2bl w:val="nil"/>
            </w:tcBorders>
            <w:vAlign w:val="center"/>
          </w:tcPr>
          <w:p w14:paraId="009B2CAC">
            <w:pPr>
              <w:bidi w:val="0"/>
              <w:jc w:val="center"/>
              <w:rPr>
                <w:rFonts w:hint="eastAsia"/>
                <w:color w:val="auto"/>
                <w:lang w:val="en-US" w:eastAsia="zh-CN"/>
              </w:rPr>
            </w:pPr>
          </w:p>
        </w:tc>
        <w:tc>
          <w:tcPr>
            <w:tcW w:w="1422" w:type="dxa"/>
            <w:tcBorders>
              <w:tl2br w:val="nil"/>
              <w:tr2bl w:val="nil"/>
            </w:tcBorders>
            <w:vAlign w:val="center"/>
          </w:tcPr>
          <w:p w14:paraId="15B636E2">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7CFCBCC6">
            <w:pPr>
              <w:bidi w:val="0"/>
              <w:jc w:val="center"/>
              <w:rPr>
                <w:rFonts w:hint="default"/>
                <w:color w:val="auto"/>
                <w:lang w:val="en-US" w:eastAsia="zh-CN"/>
              </w:rPr>
            </w:pPr>
            <w:r>
              <w:rPr>
                <w:rFonts w:hint="eastAsia"/>
                <w:color w:val="auto"/>
                <w:lang w:val="en-US" w:eastAsia="zh-CN"/>
              </w:rPr>
              <w:t>1.03</w:t>
            </w:r>
          </w:p>
        </w:tc>
        <w:tc>
          <w:tcPr>
            <w:tcW w:w="1423" w:type="dxa"/>
            <w:vMerge w:val="continue"/>
            <w:tcBorders>
              <w:tl2br w:val="nil"/>
              <w:tr2bl w:val="nil"/>
            </w:tcBorders>
            <w:vAlign w:val="center"/>
          </w:tcPr>
          <w:p w14:paraId="585F2FC6">
            <w:pPr>
              <w:bidi w:val="0"/>
              <w:jc w:val="center"/>
              <w:rPr>
                <w:rFonts w:hint="eastAsia"/>
                <w:color w:val="auto"/>
                <w:lang w:val="en-US" w:eastAsia="zh-CN"/>
              </w:rPr>
            </w:pPr>
          </w:p>
        </w:tc>
        <w:tc>
          <w:tcPr>
            <w:tcW w:w="1423" w:type="dxa"/>
            <w:vMerge w:val="continue"/>
            <w:tcBorders>
              <w:tl2br w:val="nil"/>
              <w:tr2bl w:val="nil"/>
            </w:tcBorders>
            <w:vAlign w:val="center"/>
          </w:tcPr>
          <w:p w14:paraId="3F12E78A">
            <w:pPr>
              <w:bidi w:val="0"/>
              <w:jc w:val="center"/>
              <w:rPr>
                <w:rFonts w:hint="eastAsia"/>
                <w:color w:val="auto"/>
                <w:lang w:val="en-US" w:eastAsia="zh-CN"/>
              </w:rPr>
            </w:pPr>
          </w:p>
        </w:tc>
      </w:tr>
      <w:tr w14:paraId="65A61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B4C8D07">
            <w:pPr>
              <w:bidi w:val="0"/>
              <w:jc w:val="center"/>
              <w:rPr>
                <w:rFonts w:hint="eastAsia"/>
                <w:color w:val="auto"/>
                <w:lang w:val="en-US" w:eastAsia="zh-CN"/>
              </w:rPr>
            </w:pPr>
          </w:p>
        </w:tc>
        <w:tc>
          <w:tcPr>
            <w:tcW w:w="1563" w:type="dxa"/>
            <w:vMerge w:val="continue"/>
            <w:tcBorders>
              <w:tl2br w:val="nil"/>
              <w:tr2bl w:val="nil"/>
            </w:tcBorders>
            <w:vAlign w:val="center"/>
          </w:tcPr>
          <w:p w14:paraId="5DF5ED54">
            <w:pPr>
              <w:bidi w:val="0"/>
              <w:jc w:val="center"/>
              <w:rPr>
                <w:rFonts w:hint="eastAsia"/>
                <w:color w:val="auto"/>
                <w:lang w:val="en-US" w:eastAsia="zh-CN"/>
              </w:rPr>
            </w:pPr>
          </w:p>
        </w:tc>
        <w:tc>
          <w:tcPr>
            <w:tcW w:w="1422" w:type="dxa"/>
            <w:vMerge w:val="continue"/>
            <w:tcBorders>
              <w:tl2br w:val="nil"/>
              <w:tr2bl w:val="nil"/>
            </w:tcBorders>
            <w:vAlign w:val="center"/>
          </w:tcPr>
          <w:p w14:paraId="3791F262">
            <w:pPr>
              <w:bidi w:val="0"/>
              <w:jc w:val="center"/>
              <w:rPr>
                <w:rFonts w:hint="eastAsia"/>
                <w:color w:val="auto"/>
                <w:lang w:val="en-US" w:eastAsia="zh-CN"/>
              </w:rPr>
            </w:pPr>
          </w:p>
        </w:tc>
        <w:tc>
          <w:tcPr>
            <w:tcW w:w="1422" w:type="dxa"/>
            <w:tcBorders>
              <w:tl2br w:val="nil"/>
              <w:tr2bl w:val="nil"/>
            </w:tcBorders>
            <w:vAlign w:val="center"/>
          </w:tcPr>
          <w:p w14:paraId="546889A6">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4D592FE3">
            <w:pPr>
              <w:bidi w:val="0"/>
              <w:jc w:val="center"/>
              <w:rPr>
                <w:rFonts w:hint="default"/>
                <w:color w:val="auto"/>
                <w:lang w:val="en-US" w:eastAsia="zh-CN"/>
              </w:rPr>
            </w:pPr>
            <w:r>
              <w:rPr>
                <w:rFonts w:hint="eastAsia"/>
                <w:color w:val="auto"/>
                <w:lang w:val="en-US" w:eastAsia="zh-CN"/>
              </w:rPr>
              <w:t>1.07</w:t>
            </w:r>
          </w:p>
        </w:tc>
        <w:tc>
          <w:tcPr>
            <w:tcW w:w="1423" w:type="dxa"/>
            <w:vMerge w:val="continue"/>
            <w:tcBorders>
              <w:tl2br w:val="nil"/>
              <w:tr2bl w:val="nil"/>
            </w:tcBorders>
            <w:vAlign w:val="center"/>
          </w:tcPr>
          <w:p w14:paraId="62C8E3A0">
            <w:pPr>
              <w:bidi w:val="0"/>
              <w:jc w:val="center"/>
              <w:rPr>
                <w:rFonts w:hint="eastAsia"/>
                <w:color w:val="auto"/>
                <w:lang w:val="en-US" w:eastAsia="zh-CN"/>
              </w:rPr>
            </w:pPr>
          </w:p>
        </w:tc>
        <w:tc>
          <w:tcPr>
            <w:tcW w:w="1423" w:type="dxa"/>
            <w:vMerge w:val="continue"/>
            <w:tcBorders>
              <w:tl2br w:val="nil"/>
              <w:tr2bl w:val="nil"/>
            </w:tcBorders>
            <w:vAlign w:val="center"/>
          </w:tcPr>
          <w:p w14:paraId="791C131A">
            <w:pPr>
              <w:bidi w:val="0"/>
              <w:jc w:val="center"/>
              <w:rPr>
                <w:rFonts w:hint="eastAsia"/>
                <w:color w:val="auto"/>
                <w:lang w:val="en-US" w:eastAsia="zh-CN"/>
              </w:rPr>
            </w:pPr>
          </w:p>
        </w:tc>
      </w:tr>
    </w:tbl>
    <w:p w14:paraId="2E2D077C">
      <w:pPr>
        <w:spacing w:line="360" w:lineRule="auto"/>
        <w:ind w:firstLine="480" w:firstLineChars="200"/>
        <w:rPr>
          <w:color w:val="auto"/>
          <w:sz w:val="24"/>
          <w:szCs w:val="32"/>
        </w:rPr>
      </w:pPr>
      <w:r>
        <w:rPr>
          <w:rFonts w:hint="eastAsia" w:ascii="Times New Roman" w:hAnsi="Times New Roman" w:cs="Times New Roman"/>
          <w:b w:val="0"/>
          <w:bCs w:val="0"/>
          <w:color w:val="auto"/>
          <w:sz w:val="24"/>
          <w:szCs w:val="32"/>
          <w:lang w:val="en-US" w:eastAsia="zh-CN"/>
        </w:rPr>
        <w:t>由上表监测数据可知，</w:t>
      </w:r>
      <w:r>
        <w:rPr>
          <w:color w:val="auto"/>
          <w:sz w:val="24"/>
          <w:szCs w:val="28"/>
        </w:rPr>
        <w:t>本项目生活污水经化粪池预处理后，</w:t>
      </w:r>
      <w:r>
        <w:rPr>
          <w:color w:val="auto"/>
          <w:sz w:val="24"/>
          <w:szCs w:val="32"/>
        </w:rPr>
        <w:t>废水排放</w:t>
      </w:r>
      <w:r>
        <w:rPr>
          <w:rFonts w:hint="eastAsia"/>
          <w:color w:val="auto"/>
          <w:sz w:val="24"/>
          <w:szCs w:val="32"/>
          <w:lang w:val="en-US" w:eastAsia="zh-CN"/>
        </w:rPr>
        <w:t>浓度满足</w:t>
      </w:r>
      <w:r>
        <w:rPr>
          <w:color w:val="auto"/>
          <w:sz w:val="24"/>
          <w:szCs w:val="32"/>
        </w:rPr>
        <w:t>濉溪县第二污水处理厂接管限值</w:t>
      </w:r>
      <w:r>
        <w:rPr>
          <w:rFonts w:hint="eastAsia"/>
          <w:color w:val="auto"/>
          <w:sz w:val="24"/>
          <w:szCs w:val="32"/>
          <w:lang w:val="en-US" w:eastAsia="zh-CN"/>
        </w:rPr>
        <w:t>要求</w:t>
      </w:r>
      <w:r>
        <w:rPr>
          <w:color w:val="auto"/>
          <w:sz w:val="24"/>
          <w:szCs w:val="32"/>
        </w:rPr>
        <w:t>。</w:t>
      </w:r>
    </w:p>
    <w:p w14:paraId="1084FD30">
      <w:pPr>
        <w:spacing w:line="360" w:lineRule="auto"/>
        <w:outlineLvl w:val="1"/>
        <w:rPr>
          <w:b/>
          <w:bCs/>
          <w:color w:val="auto"/>
          <w:sz w:val="28"/>
          <w:szCs w:val="36"/>
        </w:rPr>
      </w:pPr>
      <w:bookmarkStart w:id="367" w:name="_Toc25721"/>
      <w:bookmarkStart w:id="368" w:name="OLE_LINK1"/>
      <w:r>
        <w:rPr>
          <w:b/>
          <w:bCs/>
          <w:color w:val="auto"/>
          <w:sz w:val="28"/>
          <w:szCs w:val="36"/>
        </w:rPr>
        <w:t>5.3噪声防治措</w:t>
      </w:r>
      <w:bookmarkStart w:id="369" w:name="OLE_LINK2"/>
      <w:r>
        <w:rPr>
          <w:b/>
          <w:bCs/>
          <w:color w:val="auto"/>
          <w:sz w:val="28"/>
          <w:szCs w:val="36"/>
        </w:rPr>
        <w:t>施有效性评估</w:t>
      </w:r>
      <w:bookmarkEnd w:id="367"/>
      <w:bookmarkEnd w:id="369"/>
    </w:p>
    <w:bookmarkEnd w:id="368"/>
    <w:p w14:paraId="58F1C572">
      <w:pPr>
        <w:spacing w:line="360" w:lineRule="auto"/>
        <w:ind w:firstLine="480" w:firstLineChars="200"/>
        <w:rPr>
          <w:color w:val="auto"/>
        </w:rPr>
      </w:pPr>
      <w:r>
        <w:rPr>
          <w:color w:val="auto"/>
          <w:sz w:val="24"/>
          <w:szCs w:val="32"/>
        </w:rPr>
        <w:t>项目产噪设备有</w:t>
      </w:r>
      <w:r>
        <w:rPr>
          <w:rFonts w:hint="eastAsia"/>
          <w:color w:val="auto"/>
          <w:sz w:val="24"/>
          <w:szCs w:val="32"/>
        </w:rPr>
        <w:t>各种</w:t>
      </w:r>
      <w:r>
        <w:rPr>
          <w:rFonts w:hint="eastAsia"/>
          <w:color w:val="auto"/>
          <w:sz w:val="24"/>
          <w:szCs w:val="32"/>
          <w:lang w:val="en-US" w:eastAsia="zh-CN"/>
        </w:rPr>
        <w:t>类生产设备</w:t>
      </w:r>
      <w:r>
        <w:rPr>
          <w:rFonts w:hint="eastAsia"/>
          <w:color w:val="auto"/>
          <w:sz w:val="24"/>
          <w:szCs w:val="32"/>
        </w:rPr>
        <w:t>、空压机</w:t>
      </w:r>
      <w:r>
        <w:rPr>
          <w:color w:val="auto"/>
          <w:sz w:val="24"/>
          <w:szCs w:val="32"/>
        </w:rPr>
        <w:t>等，采取消音、减振、隔声等降噪措施。根据</w:t>
      </w:r>
      <w:r>
        <w:rPr>
          <w:rFonts w:hint="eastAsia"/>
          <w:color w:val="auto"/>
          <w:kern w:val="24"/>
          <w:sz w:val="24"/>
          <w:lang w:val="en-US" w:eastAsia="zh-CN"/>
        </w:rPr>
        <w:t>安徽省裕康铝业有限公司经营该项目期间的</w:t>
      </w:r>
      <w:r>
        <w:rPr>
          <w:color w:val="auto"/>
          <w:sz w:val="24"/>
          <w:szCs w:val="32"/>
        </w:rPr>
        <w:t>例行监测结果，各厂界噪声达标排放情况分析见下表。</w:t>
      </w:r>
    </w:p>
    <w:p w14:paraId="4E308A4B">
      <w:pPr>
        <w:adjustRightInd w:val="0"/>
        <w:snapToGrid w:val="0"/>
        <w:spacing w:line="360" w:lineRule="auto"/>
        <w:jc w:val="center"/>
        <w:rPr>
          <w:b/>
          <w:bCs/>
          <w:color w:val="auto"/>
          <w:sz w:val="24"/>
          <w:szCs w:val="32"/>
        </w:rPr>
      </w:pPr>
      <w:r>
        <w:rPr>
          <w:b/>
          <w:bCs/>
          <w:color w:val="auto"/>
          <w:sz w:val="24"/>
          <w:szCs w:val="32"/>
        </w:rPr>
        <w:t>表5-</w:t>
      </w:r>
      <w:r>
        <w:rPr>
          <w:rFonts w:hint="eastAsia"/>
          <w:b/>
          <w:bCs/>
          <w:color w:val="auto"/>
          <w:sz w:val="24"/>
          <w:szCs w:val="32"/>
          <w:lang w:val="en-US" w:eastAsia="zh-CN"/>
        </w:rPr>
        <w:t>6</w:t>
      </w:r>
      <w:r>
        <w:rPr>
          <w:b/>
          <w:bCs/>
          <w:color w:val="auto"/>
          <w:sz w:val="24"/>
          <w:szCs w:val="32"/>
        </w:rPr>
        <w:t xml:space="preserve"> 各厂界噪声达标排放情况一览表</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618"/>
        <w:gridCol w:w="1622"/>
        <w:gridCol w:w="3259"/>
        <w:gridCol w:w="3259"/>
      </w:tblGrid>
      <w:tr w14:paraId="4F544F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restart"/>
            <w:tcBorders>
              <w:tl2br w:val="nil"/>
              <w:tr2bl w:val="nil"/>
            </w:tcBorders>
            <w:noWrap/>
            <w:vAlign w:val="center"/>
          </w:tcPr>
          <w:p w14:paraId="5FEDFD3F">
            <w:pPr>
              <w:widowControl/>
              <w:jc w:val="center"/>
              <w:textAlignment w:val="center"/>
              <w:rPr>
                <w:b/>
                <w:bCs/>
                <w:color w:val="auto"/>
                <w:szCs w:val="21"/>
              </w:rPr>
            </w:pPr>
            <w:r>
              <w:rPr>
                <w:b/>
                <w:bCs/>
                <w:color w:val="auto"/>
                <w:kern w:val="0"/>
                <w:szCs w:val="21"/>
                <w:lang w:bidi="ar"/>
              </w:rPr>
              <w:t>测点位置</w:t>
            </w:r>
          </w:p>
        </w:tc>
        <w:tc>
          <w:tcPr>
            <w:tcW w:w="831" w:type="pct"/>
            <w:vMerge w:val="restart"/>
            <w:tcBorders>
              <w:tl2br w:val="nil"/>
              <w:tr2bl w:val="nil"/>
            </w:tcBorders>
            <w:noWrap/>
            <w:vAlign w:val="center"/>
          </w:tcPr>
          <w:p w14:paraId="5B7F0886">
            <w:pPr>
              <w:widowControl/>
              <w:jc w:val="center"/>
              <w:textAlignment w:val="center"/>
              <w:rPr>
                <w:b/>
                <w:bCs/>
                <w:color w:val="auto"/>
                <w:szCs w:val="21"/>
              </w:rPr>
            </w:pPr>
            <w:r>
              <w:rPr>
                <w:b/>
                <w:bCs/>
                <w:color w:val="auto"/>
                <w:kern w:val="0"/>
                <w:szCs w:val="21"/>
                <w:lang w:bidi="ar"/>
              </w:rPr>
              <w:t>主要声源</w:t>
            </w:r>
          </w:p>
        </w:tc>
        <w:tc>
          <w:tcPr>
            <w:tcW w:w="3338" w:type="pct"/>
            <w:gridSpan w:val="2"/>
            <w:tcBorders>
              <w:tl2br w:val="nil"/>
              <w:tr2bl w:val="nil"/>
            </w:tcBorders>
            <w:noWrap/>
            <w:vAlign w:val="center"/>
          </w:tcPr>
          <w:p w14:paraId="36AD9C23">
            <w:pPr>
              <w:widowControl/>
              <w:jc w:val="center"/>
              <w:textAlignment w:val="center"/>
              <w:rPr>
                <w:rFonts w:hint="default" w:eastAsia="宋体"/>
                <w:b/>
                <w:bCs/>
                <w:color w:val="auto"/>
                <w:szCs w:val="21"/>
                <w:lang w:val="en-US" w:eastAsia="zh-CN"/>
              </w:rPr>
            </w:pPr>
            <w:r>
              <w:rPr>
                <w:b/>
                <w:bCs/>
                <w:color w:val="auto"/>
                <w:kern w:val="0"/>
                <w:szCs w:val="21"/>
                <w:lang w:bidi="ar"/>
              </w:rPr>
              <w:t>2024/0</w:t>
            </w:r>
            <w:r>
              <w:rPr>
                <w:rFonts w:hint="eastAsia"/>
                <w:b/>
                <w:bCs/>
                <w:color w:val="auto"/>
                <w:kern w:val="0"/>
                <w:szCs w:val="21"/>
                <w:lang w:val="en-US" w:eastAsia="zh-CN" w:bidi="ar"/>
              </w:rPr>
              <w:t>8</w:t>
            </w:r>
            <w:r>
              <w:rPr>
                <w:b/>
                <w:bCs/>
                <w:color w:val="auto"/>
                <w:kern w:val="0"/>
                <w:szCs w:val="21"/>
                <w:lang w:bidi="ar"/>
              </w:rPr>
              <w:t>/</w:t>
            </w:r>
            <w:r>
              <w:rPr>
                <w:rFonts w:hint="eastAsia"/>
                <w:b/>
                <w:bCs/>
                <w:color w:val="auto"/>
                <w:kern w:val="0"/>
                <w:szCs w:val="21"/>
                <w:lang w:val="en-US" w:eastAsia="zh-CN" w:bidi="ar"/>
              </w:rPr>
              <w:t>27</w:t>
            </w:r>
          </w:p>
        </w:tc>
      </w:tr>
      <w:tr w14:paraId="247627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continue"/>
            <w:tcBorders>
              <w:tl2br w:val="nil"/>
              <w:tr2bl w:val="nil"/>
            </w:tcBorders>
            <w:noWrap/>
            <w:vAlign w:val="center"/>
          </w:tcPr>
          <w:p w14:paraId="0323EE91">
            <w:pPr>
              <w:jc w:val="center"/>
              <w:rPr>
                <w:b/>
                <w:bCs/>
                <w:color w:val="auto"/>
                <w:szCs w:val="21"/>
              </w:rPr>
            </w:pPr>
          </w:p>
        </w:tc>
        <w:tc>
          <w:tcPr>
            <w:tcW w:w="831" w:type="pct"/>
            <w:vMerge w:val="continue"/>
            <w:tcBorders>
              <w:tl2br w:val="nil"/>
              <w:tr2bl w:val="nil"/>
            </w:tcBorders>
            <w:noWrap/>
            <w:vAlign w:val="center"/>
          </w:tcPr>
          <w:p w14:paraId="772FE75D">
            <w:pPr>
              <w:jc w:val="center"/>
              <w:rPr>
                <w:b/>
                <w:bCs/>
                <w:color w:val="auto"/>
                <w:szCs w:val="21"/>
              </w:rPr>
            </w:pPr>
          </w:p>
        </w:tc>
        <w:tc>
          <w:tcPr>
            <w:tcW w:w="1669" w:type="pct"/>
            <w:tcBorders>
              <w:tl2br w:val="nil"/>
              <w:tr2bl w:val="nil"/>
            </w:tcBorders>
            <w:noWrap/>
            <w:vAlign w:val="center"/>
          </w:tcPr>
          <w:p w14:paraId="6F4CAD17">
            <w:pPr>
              <w:widowControl/>
              <w:jc w:val="center"/>
              <w:textAlignment w:val="center"/>
              <w:rPr>
                <w:b/>
                <w:bCs/>
                <w:color w:val="auto"/>
                <w:szCs w:val="21"/>
              </w:rPr>
            </w:pPr>
            <w:r>
              <w:rPr>
                <w:b/>
                <w:bCs/>
                <w:color w:val="auto"/>
                <w:kern w:val="0"/>
                <w:szCs w:val="21"/>
                <w:lang w:bidi="ar"/>
              </w:rPr>
              <w:t>测量时间</w:t>
            </w:r>
          </w:p>
        </w:tc>
        <w:tc>
          <w:tcPr>
            <w:tcW w:w="1669" w:type="pct"/>
            <w:tcBorders>
              <w:tl2br w:val="nil"/>
              <w:tr2bl w:val="nil"/>
            </w:tcBorders>
            <w:noWrap/>
            <w:vAlign w:val="center"/>
          </w:tcPr>
          <w:p w14:paraId="36C49381">
            <w:pPr>
              <w:widowControl/>
              <w:jc w:val="center"/>
              <w:textAlignment w:val="center"/>
              <w:rPr>
                <w:b/>
                <w:bCs/>
                <w:color w:val="auto"/>
                <w:szCs w:val="21"/>
              </w:rPr>
            </w:pPr>
            <w:r>
              <w:rPr>
                <w:b/>
                <w:bCs/>
                <w:color w:val="auto"/>
                <w:kern w:val="0"/>
                <w:szCs w:val="21"/>
                <w:lang w:bidi="ar"/>
              </w:rPr>
              <w:t>结果</w:t>
            </w:r>
          </w:p>
        </w:tc>
      </w:tr>
      <w:tr w14:paraId="48CA37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1691ED7D">
            <w:pPr>
              <w:widowControl/>
              <w:jc w:val="center"/>
              <w:textAlignment w:val="center"/>
              <w:rPr>
                <w:color w:val="auto"/>
                <w:szCs w:val="21"/>
              </w:rPr>
            </w:pPr>
            <w:r>
              <w:rPr>
                <w:color w:val="auto"/>
                <w:kern w:val="0"/>
                <w:szCs w:val="21"/>
                <w:lang w:bidi="ar"/>
              </w:rPr>
              <w:t>东厂界处</w:t>
            </w:r>
          </w:p>
        </w:tc>
        <w:tc>
          <w:tcPr>
            <w:tcW w:w="831" w:type="pct"/>
            <w:vMerge w:val="restart"/>
            <w:tcBorders>
              <w:tl2br w:val="nil"/>
              <w:tr2bl w:val="nil"/>
            </w:tcBorders>
            <w:noWrap/>
            <w:vAlign w:val="center"/>
          </w:tcPr>
          <w:p w14:paraId="5F252D66">
            <w:pPr>
              <w:widowControl/>
              <w:jc w:val="center"/>
              <w:textAlignment w:val="center"/>
              <w:rPr>
                <w:color w:val="auto"/>
                <w:szCs w:val="21"/>
              </w:rPr>
            </w:pPr>
            <w:r>
              <w:rPr>
                <w:color w:val="auto"/>
                <w:kern w:val="0"/>
                <w:szCs w:val="21"/>
                <w:lang w:bidi="ar"/>
              </w:rPr>
              <w:t>厂界噪声</w:t>
            </w:r>
          </w:p>
        </w:tc>
        <w:tc>
          <w:tcPr>
            <w:tcW w:w="1669" w:type="pct"/>
            <w:tcBorders>
              <w:tl2br w:val="nil"/>
              <w:tr2bl w:val="nil"/>
            </w:tcBorders>
            <w:noWrap/>
            <w:vAlign w:val="center"/>
          </w:tcPr>
          <w:p w14:paraId="33F1B89F">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10</w:t>
            </w:r>
            <w:r>
              <w:rPr>
                <w:color w:val="auto"/>
                <w:kern w:val="0"/>
                <w:szCs w:val="21"/>
                <w:lang w:bidi="ar"/>
              </w:rPr>
              <w:t>:</w:t>
            </w:r>
            <w:r>
              <w:rPr>
                <w:rFonts w:hint="eastAsia"/>
                <w:color w:val="auto"/>
                <w:kern w:val="0"/>
                <w:szCs w:val="21"/>
                <w:lang w:val="en-US" w:eastAsia="zh-CN" w:bidi="ar"/>
              </w:rPr>
              <w:t>52</w:t>
            </w:r>
          </w:p>
        </w:tc>
        <w:tc>
          <w:tcPr>
            <w:tcW w:w="1669" w:type="pct"/>
            <w:tcBorders>
              <w:tl2br w:val="nil"/>
              <w:tr2bl w:val="nil"/>
            </w:tcBorders>
            <w:noWrap/>
            <w:vAlign w:val="center"/>
          </w:tcPr>
          <w:p w14:paraId="2D096A5D">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58.3</w:t>
            </w:r>
          </w:p>
        </w:tc>
      </w:tr>
      <w:tr w14:paraId="090AC9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360E8B9C">
            <w:pPr>
              <w:widowControl/>
              <w:jc w:val="center"/>
              <w:textAlignment w:val="center"/>
              <w:rPr>
                <w:color w:val="auto"/>
                <w:szCs w:val="21"/>
              </w:rPr>
            </w:pPr>
            <w:r>
              <w:rPr>
                <w:color w:val="auto"/>
                <w:kern w:val="0"/>
                <w:szCs w:val="21"/>
                <w:lang w:bidi="ar"/>
              </w:rPr>
              <w:t>南厂界处</w:t>
            </w:r>
          </w:p>
        </w:tc>
        <w:tc>
          <w:tcPr>
            <w:tcW w:w="831" w:type="pct"/>
            <w:vMerge w:val="continue"/>
            <w:tcBorders>
              <w:tl2br w:val="nil"/>
              <w:tr2bl w:val="nil"/>
            </w:tcBorders>
            <w:noWrap/>
            <w:vAlign w:val="center"/>
          </w:tcPr>
          <w:p w14:paraId="49E9AE3A">
            <w:pPr>
              <w:jc w:val="center"/>
              <w:rPr>
                <w:color w:val="auto"/>
                <w:szCs w:val="21"/>
              </w:rPr>
            </w:pPr>
          </w:p>
        </w:tc>
        <w:tc>
          <w:tcPr>
            <w:tcW w:w="1669" w:type="pct"/>
            <w:tcBorders>
              <w:tl2br w:val="nil"/>
              <w:tr2bl w:val="nil"/>
            </w:tcBorders>
            <w:noWrap/>
            <w:vAlign w:val="center"/>
          </w:tcPr>
          <w:p w14:paraId="7E8D4E37">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23</w:t>
            </w:r>
          </w:p>
        </w:tc>
        <w:tc>
          <w:tcPr>
            <w:tcW w:w="1669" w:type="pct"/>
            <w:tcBorders>
              <w:tl2br w:val="nil"/>
              <w:tr2bl w:val="nil"/>
            </w:tcBorders>
            <w:noWrap/>
            <w:vAlign w:val="center"/>
          </w:tcPr>
          <w:p w14:paraId="202DAA19">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55.8</w:t>
            </w:r>
          </w:p>
        </w:tc>
      </w:tr>
      <w:tr w14:paraId="00C4E3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4592364">
            <w:pPr>
              <w:widowControl/>
              <w:jc w:val="center"/>
              <w:textAlignment w:val="center"/>
              <w:rPr>
                <w:color w:val="auto"/>
                <w:szCs w:val="21"/>
              </w:rPr>
            </w:pPr>
            <w:r>
              <w:rPr>
                <w:color w:val="auto"/>
                <w:kern w:val="0"/>
                <w:szCs w:val="21"/>
                <w:lang w:bidi="ar"/>
              </w:rPr>
              <w:t>西厂界处</w:t>
            </w:r>
          </w:p>
        </w:tc>
        <w:tc>
          <w:tcPr>
            <w:tcW w:w="831" w:type="pct"/>
            <w:vMerge w:val="continue"/>
            <w:tcBorders>
              <w:tl2br w:val="nil"/>
              <w:tr2bl w:val="nil"/>
            </w:tcBorders>
            <w:noWrap/>
            <w:vAlign w:val="center"/>
          </w:tcPr>
          <w:p w14:paraId="783D2119">
            <w:pPr>
              <w:jc w:val="center"/>
              <w:rPr>
                <w:color w:val="auto"/>
                <w:szCs w:val="21"/>
              </w:rPr>
            </w:pPr>
          </w:p>
        </w:tc>
        <w:tc>
          <w:tcPr>
            <w:tcW w:w="1669" w:type="pct"/>
            <w:tcBorders>
              <w:tl2br w:val="nil"/>
              <w:tr2bl w:val="nil"/>
            </w:tcBorders>
            <w:noWrap/>
            <w:vAlign w:val="center"/>
          </w:tcPr>
          <w:p w14:paraId="39E2B4DE">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36</w:t>
            </w:r>
          </w:p>
        </w:tc>
        <w:tc>
          <w:tcPr>
            <w:tcW w:w="1669" w:type="pct"/>
            <w:tcBorders>
              <w:tl2br w:val="nil"/>
              <w:tr2bl w:val="nil"/>
            </w:tcBorders>
            <w:noWrap/>
            <w:vAlign w:val="center"/>
          </w:tcPr>
          <w:p w14:paraId="3EA19B41">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54.4</w:t>
            </w:r>
          </w:p>
        </w:tc>
      </w:tr>
      <w:tr w14:paraId="2BFA8C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07E87BC6">
            <w:pPr>
              <w:widowControl/>
              <w:jc w:val="center"/>
              <w:textAlignment w:val="center"/>
              <w:rPr>
                <w:color w:val="auto"/>
                <w:szCs w:val="21"/>
              </w:rPr>
            </w:pPr>
            <w:r>
              <w:rPr>
                <w:color w:val="auto"/>
                <w:kern w:val="0"/>
                <w:szCs w:val="21"/>
                <w:lang w:bidi="ar"/>
              </w:rPr>
              <w:t>北厂界处</w:t>
            </w:r>
          </w:p>
        </w:tc>
        <w:tc>
          <w:tcPr>
            <w:tcW w:w="831" w:type="pct"/>
            <w:vMerge w:val="continue"/>
            <w:tcBorders>
              <w:tl2br w:val="nil"/>
              <w:tr2bl w:val="nil"/>
            </w:tcBorders>
            <w:noWrap/>
            <w:vAlign w:val="center"/>
          </w:tcPr>
          <w:p w14:paraId="40E63FD2">
            <w:pPr>
              <w:jc w:val="center"/>
              <w:rPr>
                <w:color w:val="auto"/>
                <w:szCs w:val="21"/>
              </w:rPr>
            </w:pPr>
          </w:p>
        </w:tc>
        <w:tc>
          <w:tcPr>
            <w:tcW w:w="1669" w:type="pct"/>
            <w:tcBorders>
              <w:tl2br w:val="nil"/>
              <w:tr2bl w:val="nil"/>
            </w:tcBorders>
            <w:noWrap/>
            <w:vAlign w:val="center"/>
          </w:tcPr>
          <w:p w14:paraId="4B89F1A5">
            <w:pPr>
              <w:widowControl/>
              <w:jc w:val="center"/>
              <w:textAlignment w:val="center"/>
              <w:rPr>
                <w:rFonts w:hint="eastAsia"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:0</w:t>
            </w:r>
            <w:r>
              <w:rPr>
                <w:rFonts w:hint="eastAsia"/>
                <w:color w:val="auto"/>
                <w:kern w:val="0"/>
                <w:szCs w:val="21"/>
                <w:lang w:val="en-US" w:eastAsia="zh-CN" w:bidi="ar"/>
              </w:rPr>
              <w:t>9</w:t>
            </w:r>
          </w:p>
        </w:tc>
        <w:tc>
          <w:tcPr>
            <w:tcW w:w="1669" w:type="pct"/>
            <w:tcBorders>
              <w:tl2br w:val="nil"/>
              <w:tr2bl w:val="nil"/>
            </w:tcBorders>
            <w:noWrap/>
            <w:vAlign w:val="center"/>
          </w:tcPr>
          <w:p w14:paraId="40B9F79D">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54.9</w:t>
            </w:r>
          </w:p>
        </w:tc>
      </w:tr>
    </w:tbl>
    <w:p w14:paraId="5178D449">
      <w:pPr>
        <w:spacing w:line="360" w:lineRule="auto"/>
        <w:ind w:firstLine="480" w:firstLineChars="200"/>
        <w:rPr>
          <w:color w:val="auto"/>
          <w:sz w:val="24"/>
        </w:rPr>
      </w:pPr>
      <w:r>
        <w:rPr>
          <w:rFonts w:hint="eastAsia"/>
          <w:color w:val="auto"/>
          <w:sz w:val="24"/>
        </w:rPr>
        <w:t>由上表可知，</w:t>
      </w:r>
      <w:r>
        <w:rPr>
          <w:color w:val="auto"/>
          <w:sz w:val="24"/>
        </w:rPr>
        <w:t>厂界四周</w:t>
      </w:r>
      <w:r>
        <w:rPr>
          <w:rFonts w:hint="eastAsia"/>
          <w:color w:val="auto"/>
          <w:sz w:val="24"/>
        </w:rPr>
        <w:t>昼</w:t>
      </w:r>
      <w:r>
        <w:rPr>
          <w:rFonts w:hint="eastAsia"/>
          <w:color w:val="auto"/>
          <w:sz w:val="24"/>
          <w:lang w:val="en-US" w:eastAsia="zh-CN"/>
        </w:rPr>
        <w:t>间</w:t>
      </w:r>
      <w:r>
        <w:rPr>
          <w:color w:val="auto"/>
          <w:sz w:val="24"/>
        </w:rPr>
        <w:t>噪声符合《声环境质量标准》（GB3096-2008）中3类标准要求。</w:t>
      </w:r>
    </w:p>
    <w:p w14:paraId="2374CE83">
      <w:pPr>
        <w:spacing w:line="360" w:lineRule="auto"/>
        <w:outlineLvl w:val="1"/>
        <w:rPr>
          <w:b/>
          <w:bCs/>
          <w:color w:val="auto"/>
          <w:sz w:val="28"/>
          <w:szCs w:val="36"/>
        </w:rPr>
      </w:pPr>
      <w:bookmarkStart w:id="370" w:name="_Toc18517"/>
      <w:r>
        <w:rPr>
          <w:b/>
          <w:bCs/>
          <w:color w:val="auto"/>
          <w:sz w:val="28"/>
          <w:szCs w:val="36"/>
        </w:rPr>
        <w:t>5.4固废防治措施有效性评估</w:t>
      </w:r>
      <w:bookmarkEnd w:id="370"/>
    </w:p>
    <w:p w14:paraId="532330D6">
      <w:pPr>
        <w:spacing w:line="360" w:lineRule="auto"/>
        <w:outlineLvl w:val="2"/>
        <w:rPr>
          <w:b/>
          <w:bCs/>
          <w:color w:val="auto"/>
          <w:sz w:val="24"/>
          <w:szCs w:val="32"/>
        </w:rPr>
      </w:pPr>
      <w:r>
        <w:rPr>
          <w:b/>
          <w:bCs/>
          <w:color w:val="auto"/>
          <w:sz w:val="24"/>
          <w:szCs w:val="32"/>
        </w:rPr>
        <w:t>5.4.1 固体废物防治措施</w:t>
      </w:r>
    </w:p>
    <w:p w14:paraId="2432EA2F">
      <w:pPr>
        <w:spacing w:line="360" w:lineRule="auto"/>
        <w:ind w:firstLine="480" w:firstLineChars="200"/>
        <w:rPr>
          <w:rFonts w:hint="eastAsia"/>
          <w:color w:val="auto"/>
          <w:sz w:val="24"/>
          <w:szCs w:val="32"/>
          <w:highlight w:val="none"/>
          <w:lang w:val="en-US" w:eastAsia="zh-CN"/>
        </w:rPr>
      </w:pPr>
      <w:r>
        <w:rPr>
          <w:rFonts w:hint="eastAsia"/>
          <w:color w:val="auto"/>
          <w:sz w:val="24"/>
          <w:szCs w:val="32"/>
          <w:highlight w:val="none"/>
          <w:lang w:val="en-US" w:eastAsia="zh-CN"/>
        </w:rPr>
        <w:t>厂区设置1座200</w:t>
      </w:r>
      <w:r>
        <w:rPr>
          <w:rFonts w:hint="eastAsia"/>
          <w:color w:val="auto"/>
          <w:sz w:val="24"/>
          <w:szCs w:val="32"/>
          <w:highlight w:val="none"/>
        </w:rPr>
        <w:t>m</w:t>
      </w:r>
      <w:r>
        <w:rPr>
          <w:rFonts w:hint="eastAsia"/>
          <w:color w:val="auto"/>
          <w:sz w:val="24"/>
          <w:szCs w:val="32"/>
          <w:highlight w:val="none"/>
          <w:vertAlign w:val="superscript"/>
        </w:rPr>
        <w:t>2</w:t>
      </w:r>
      <w:r>
        <w:rPr>
          <w:rFonts w:hint="eastAsia"/>
          <w:color w:val="auto"/>
          <w:sz w:val="24"/>
          <w:szCs w:val="32"/>
          <w:highlight w:val="none"/>
          <w:lang w:val="en-US" w:eastAsia="zh-CN"/>
        </w:rPr>
        <w:t>危废暂存间（废铝灰与其他危险废物分区域暂存）</w:t>
      </w:r>
      <w:r>
        <w:rPr>
          <w:rFonts w:hint="eastAsia"/>
          <w:color w:val="auto"/>
          <w:sz w:val="24"/>
          <w:szCs w:val="32"/>
          <w:highlight w:val="none"/>
          <w:lang w:eastAsia="zh-CN"/>
        </w:rPr>
        <w:t>，</w:t>
      </w:r>
      <w:r>
        <w:rPr>
          <w:rFonts w:hint="eastAsia"/>
          <w:color w:val="auto"/>
          <w:sz w:val="24"/>
          <w:szCs w:val="32"/>
          <w:highlight w:val="none"/>
          <w:lang w:val="en-US" w:eastAsia="zh-CN"/>
        </w:rPr>
        <w:t>项目铝灰暂存时产生氨气经收集后采用一级水喷淋装置处理，处理后由1根15m高（DA002）排气筒排放。</w:t>
      </w:r>
    </w:p>
    <w:p w14:paraId="3519C3CE">
      <w:pPr>
        <w:spacing w:line="360" w:lineRule="auto"/>
        <w:ind w:firstLine="480" w:firstLineChars="200"/>
        <w:rPr>
          <w:color w:val="auto"/>
          <w:sz w:val="24"/>
          <w:szCs w:val="32"/>
          <w:highlight w:val="none"/>
        </w:rPr>
      </w:pPr>
      <w:r>
        <w:rPr>
          <w:color w:val="auto"/>
          <w:sz w:val="24"/>
          <w:szCs w:val="32"/>
          <w:highlight w:val="none"/>
        </w:rPr>
        <w:t>建设项目根据固体废物的不同类型，分别采用不同的切实可行的处理、处置方案，按照《危险废物贮存污染控制标准》（GB18597-2023）有关标准，建设了耐腐蚀的硬化地面、防渗和堵截泄漏的集液井等措施；仓库设置警示标志、废气处理设施；装有危险废物的容器等贴有标签</w:t>
      </w:r>
      <w:r>
        <w:rPr>
          <w:rFonts w:hint="eastAsia"/>
          <w:color w:val="auto"/>
          <w:sz w:val="24"/>
          <w:szCs w:val="32"/>
          <w:highlight w:val="none"/>
        </w:rPr>
        <w:t>，</w:t>
      </w:r>
      <w:r>
        <w:rPr>
          <w:color w:val="auto"/>
          <w:sz w:val="24"/>
          <w:szCs w:val="32"/>
          <w:highlight w:val="none"/>
        </w:rPr>
        <w:t>固体处置率达到了100%，不会产生二次污染，固废</w:t>
      </w:r>
      <w:bookmarkStart w:id="371" w:name="OLE_LINK66"/>
      <w:r>
        <w:rPr>
          <w:color w:val="auto"/>
          <w:sz w:val="24"/>
          <w:szCs w:val="32"/>
          <w:highlight w:val="none"/>
        </w:rPr>
        <w:t>污染防治措施有效</w:t>
      </w:r>
      <w:bookmarkEnd w:id="371"/>
      <w:r>
        <w:rPr>
          <w:color w:val="auto"/>
          <w:sz w:val="24"/>
          <w:szCs w:val="32"/>
          <w:highlight w:val="none"/>
        </w:rPr>
        <w:t>。</w:t>
      </w:r>
    </w:p>
    <w:p w14:paraId="38797A8C">
      <w:pPr>
        <w:spacing w:line="360" w:lineRule="auto"/>
        <w:outlineLvl w:val="2"/>
        <w:rPr>
          <w:color w:val="auto"/>
          <w:sz w:val="24"/>
          <w:szCs w:val="32"/>
        </w:rPr>
      </w:pPr>
      <w:r>
        <w:rPr>
          <w:b/>
          <w:bCs/>
          <w:color w:val="auto"/>
          <w:sz w:val="24"/>
          <w:szCs w:val="32"/>
        </w:rPr>
        <w:t>5.4.2 防渗措施有效性评估</w:t>
      </w:r>
    </w:p>
    <w:p w14:paraId="701F9DAF">
      <w:pPr>
        <w:pStyle w:val="15"/>
        <w:spacing w:line="360" w:lineRule="auto"/>
        <w:ind w:left="0" w:leftChars="0" w:right="0" w:rightChars="0" w:firstLine="480" w:firstLineChars="200"/>
        <w:rPr>
          <w:rFonts w:hint="default" w:ascii="Times New Roman" w:hAnsi="Times New Roman" w:cs="Times New Roman"/>
          <w:color w:val="auto"/>
          <w:sz w:val="24"/>
          <w:szCs w:val="32"/>
        </w:rPr>
      </w:pPr>
      <w:r>
        <w:rPr>
          <w:rFonts w:hint="default" w:ascii="Times New Roman" w:hAnsi="Times New Roman" w:cs="Times New Roman"/>
          <w:color w:val="auto"/>
          <w:sz w:val="24"/>
          <w:szCs w:val="32"/>
        </w:rPr>
        <w:t>本次后环评</w:t>
      </w:r>
      <w:r>
        <w:rPr>
          <w:rFonts w:hint="default" w:ascii="Times New Roman" w:hAnsi="Times New Roman" w:cs="Times New Roman"/>
          <w:color w:val="auto"/>
          <w:sz w:val="24"/>
          <w:szCs w:val="32"/>
          <w:lang w:val="en-US" w:eastAsia="zh-CN"/>
        </w:rPr>
        <w:t>委托合肥圆规监测技术有限公司于2026年3月14日</w:t>
      </w:r>
      <w:r>
        <w:rPr>
          <w:rFonts w:hint="default" w:ascii="Times New Roman" w:hAnsi="Times New Roman" w:cs="Times New Roman"/>
          <w:color w:val="auto"/>
          <w:sz w:val="24"/>
          <w:szCs w:val="32"/>
        </w:rPr>
        <w:t>对</w:t>
      </w:r>
      <w:r>
        <w:rPr>
          <w:rFonts w:hint="default" w:ascii="Times New Roman" w:hAnsi="Times New Roman" w:cs="Times New Roman"/>
          <w:color w:val="auto"/>
          <w:sz w:val="24"/>
          <w:szCs w:val="32"/>
          <w:lang w:val="en-US" w:eastAsia="zh-CN"/>
        </w:rPr>
        <w:t>项目</w:t>
      </w:r>
      <w:r>
        <w:rPr>
          <w:rFonts w:hint="default" w:ascii="Times New Roman" w:hAnsi="Times New Roman" w:cs="Times New Roman"/>
          <w:color w:val="auto"/>
          <w:sz w:val="24"/>
          <w:szCs w:val="32"/>
        </w:rPr>
        <w:t>所在地土壤进行了取样监测。厂区土壤环境监测数据</w:t>
      </w:r>
      <w:r>
        <w:rPr>
          <w:rFonts w:hint="default" w:ascii="Times New Roman" w:hAnsi="Times New Roman" w:cs="Times New Roman"/>
          <w:color w:val="auto"/>
          <w:sz w:val="24"/>
          <w:szCs w:val="32"/>
          <w:lang w:val="en-US" w:eastAsia="zh-CN"/>
        </w:rPr>
        <w:t>见4.3.5土壤环境现状监测与评价章节，根据监测结果可知，</w:t>
      </w:r>
      <w:r>
        <w:rPr>
          <w:rFonts w:hint="default" w:ascii="Times New Roman" w:hAnsi="Times New Roman" w:cs="Times New Roman"/>
          <w:color w:val="auto"/>
          <w:sz w:val="24"/>
          <w:szCs w:val="32"/>
        </w:rPr>
        <w:t>厂区土壤环境监测数据满足《土壤环境质量建设用地土壤污染风险管控标准（试行）》（GB36600-2018）中第二类用地筛选值。根据上述监测数据可知，厂区</w:t>
      </w:r>
      <w:r>
        <w:rPr>
          <w:rFonts w:hint="default" w:ascii="Times New Roman" w:hAnsi="Times New Roman" w:cs="Times New Roman"/>
          <w:color w:val="auto"/>
          <w:sz w:val="24"/>
          <w:szCs w:val="32"/>
          <w:lang w:val="en-US" w:eastAsia="zh-CN"/>
        </w:rPr>
        <w:t>的</w:t>
      </w:r>
      <w:r>
        <w:rPr>
          <w:rFonts w:hint="default" w:ascii="Times New Roman" w:hAnsi="Times New Roman" w:cs="Times New Roman"/>
          <w:color w:val="auto"/>
          <w:sz w:val="24"/>
          <w:szCs w:val="32"/>
        </w:rPr>
        <w:t>防渗设计和分区防渗处理等污染防治措施有效。</w:t>
      </w:r>
    </w:p>
    <w:p w14:paraId="07F141CE">
      <w:pPr>
        <w:spacing w:line="360" w:lineRule="auto"/>
        <w:outlineLvl w:val="1"/>
        <w:rPr>
          <w:b/>
          <w:bCs/>
          <w:color w:val="auto"/>
          <w:sz w:val="28"/>
          <w:szCs w:val="36"/>
        </w:rPr>
      </w:pPr>
      <w:bookmarkStart w:id="372" w:name="_Toc5641"/>
      <w:r>
        <w:rPr>
          <w:b/>
          <w:bCs/>
          <w:color w:val="auto"/>
          <w:sz w:val="28"/>
          <w:szCs w:val="36"/>
        </w:rPr>
        <w:t>5.5风险防范措施有效性评估</w:t>
      </w:r>
      <w:bookmarkEnd w:id="372"/>
    </w:p>
    <w:p w14:paraId="4C7A4548">
      <w:pPr>
        <w:spacing w:line="360" w:lineRule="auto"/>
        <w:outlineLvl w:val="2"/>
        <w:rPr>
          <w:b/>
          <w:bCs/>
          <w:color w:val="auto"/>
          <w:sz w:val="24"/>
          <w:szCs w:val="32"/>
        </w:rPr>
      </w:pPr>
      <w:r>
        <w:rPr>
          <w:b/>
          <w:bCs/>
          <w:color w:val="auto"/>
          <w:sz w:val="24"/>
          <w:szCs w:val="32"/>
        </w:rPr>
        <w:t>5.5.1厂区截流措施情况</w:t>
      </w:r>
    </w:p>
    <w:p w14:paraId="09C0C2A3">
      <w:pPr>
        <w:spacing w:line="360" w:lineRule="auto"/>
        <w:ind w:firstLine="480" w:firstLineChars="200"/>
        <w:rPr>
          <w:color w:val="auto"/>
          <w:sz w:val="24"/>
          <w:szCs w:val="32"/>
        </w:rPr>
      </w:pPr>
      <w:r>
        <w:rPr>
          <w:color w:val="auto"/>
          <w:sz w:val="24"/>
          <w:szCs w:val="32"/>
        </w:rPr>
        <w:t>（1）全厂排水实行</w:t>
      </w:r>
      <w:r>
        <w:rPr>
          <w:rFonts w:hint="eastAsia" w:ascii="宋体" w:hAnsi="宋体" w:eastAsia="宋体" w:cs="宋体"/>
          <w:color w:val="auto"/>
          <w:sz w:val="24"/>
          <w:szCs w:val="32"/>
        </w:rPr>
        <w:t>“</w:t>
      </w:r>
      <w:r>
        <w:rPr>
          <w:color w:val="auto"/>
          <w:sz w:val="24"/>
          <w:szCs w:val="32"/>
        </w:rPr>
        <w:t>清污分流、雨污分流</w:t>
      </w:r>
      <w:r>
        <w:rPr>
          <w:rFonts w:hint="eastAsia" w:ascii="宋体" w:hAnsi="宋体" w:eastAsia="宋体" w:cs="宋体"/>
          <w:color w:val="auto"/>
          <w:sz w:val="24"/>
          <w:szCs w:val="32"/>
        </w:rPr>
        <w:t>”</w:t>
      </w:r>
      <w:r>
        <w:rPr>
          <w:color w:val="auto"/>
          <w:sz w:val="24"/>
          <w:szCs w:val="32"/>
        </w:rPr>
        <w:t>。根据厂区管线布置图和现场调查，全厂区建设了较为完善的雨水管网、污水管网、冷却水循环水管网，基本可实现项目排水的雨污分流、清污分流。</w:t>
      </w:r>
    </w:p>
    <w:p w14:paraId="42F794C5">
      <w:pPr>
        <w:spacing w:line="360" w:lineRule="auto"/>
        <w:ind w:firstLine="480" w:firstLineChars="200"/>
        <w:rPr>
          <w:color w:val="auto"/>
          <w:sz w:val="24"/>
          <w:szCs w:val="32"/>
          <w:highlight w:val="none"/>
        </w:rPr>
      </w:pPr>
      <w:r>
        <w:rPr>
          <w:color w:val="auto"/>
          <w:sz w:val="24"/>
          <w:szCs w:val="32"/>
          <w:highlight w:val="none"/>
        </w:rPr>
        <w:t>（2）原辅材料设置专用原料库进行储存，原料库地面做硬化措施，各原料分区堆放储存，并保持干燥通风，危废间设置导流沟、收集池。</w:t>
      </w:r>
    </w:p>
    <w:p w14:paraId="0EC6017D">
      <w:pPr>
        <w:spacing w:line="360" w:lineRule="auto"/>
        <w:ind w:firstLine="480" w:firstLineChars="200"/>
        <w:rPr>
          <w:rFonts w:ascii="Times New Roman" w:hAnsi="Times New Roman"/>
          <w:color w:val="auto"/>
          <w:sz w:val="24"/>
          <w:szCs w:val="24"/>
          <w:highlight w:val="yellow"/>
        </w:rPr>
      </w:pPr>
      <w:r>
        <w:rPr>
          <w:color w:val="auto"/>
          <w:sz w:val="24"/>
          <w:szCs w:val="24"/>
          <w:highlight w:val="none"/>
        </w:rPr>
        <w:t>（3）</w:t>
      </w:r>
      <w:r>
        <w:rPr>
          <w:rFonts w:ascii="Times New Roman" w:hAnsi="Times New Roman"/>
          <w:color w:val="auto"/>
          <w:sz w:val="24"/>
          <w:szCs w:val="24"/>
          <w:highlight w:val="none"/>
        </w:rPr>
        <w:t>生产过程中选用密封良好的输送泵，工艺管线密封防腐防泄漏，设备配套的阀门、仪表接头等密闭，基本无跑、冒、滴、漏现象。</w:t>
      </w:r>
    </w:p>
    <w:p w14:paraId="48A62026">
      <w:pPr>
        <w:spacing w:line="360" w:lineRule="auto"/>
        <w:outlineLvl w:val="2"/>
        <w:rPr>
          <w:b/>
          <w:bCs/>
          <w:color w:val="auto"/>
          <w:sz w:val="24"/>
          <w:szCs w:val="32"/>
        </w:rPr>
      </w:pPr>
      <w:r>
        <w:rPr>
          <w:b/>
          <w:bCs/>
          <w:color w:val="auto"/>
          <w:sz w:val="24"/>
          <w:szCs w:val="32"/>
        </w:rPr>
        <w:t>5.5.</w:t>
      </w:r>
      <w:r>
        <w:rPr>
          <w:rFonts w:hint="eastAsia"/>
          <w:b/>
          <w:bCs/>
          <w:color w:val="auto"/>
          <w:sz w:val="24"/>
          <w:szCs w:val="32"/>
          <w:lang w:val="en-US" w:eastAsia="zh-CN"/>
        </w:rPr>
        <w:t>2</w:t>
      </w:r>
      <w:r>
        <w:rPr>
          <w:b/>
          <w:bCs/>
          <w:color w:val="auto"/>
          <w:sz w:val="24"/>
          <w:szCs w:val="32"/>
        </w:rPr>
        <w:t>应急物资及装备</w:t>
      </w:r>
    </w:p>
    <w:p w14:paraId="282C3B75">
      <w:pPr>
        <w:spacing w:line="360" w:lineRule="auto"/>
        <w:ind w:firstLine="480" w:firstLineChars="200"/>
        <w:rPr>
          <w:color w:val="auto"/>
          <w:sz w:val="24"/>
          <w:szCs w:val="32"/>
        </w:rPr>
      </w:pPr>
      <w:r>
        <w:rPr>
          <w:color w:val="auto"/>
          <w:sz w:val="24"/>
          <w:szCs w:val="32"/>
        </w:rPr>
        <w:t>公司现有应急物资及装备见下表：</w:t>
      </w:r>
    </w:p>
    <w:p w14:paraId="43F1AF53">
      <w:pPr>
        <w:spacing w:line="360" w:lineRule="auto"/>
        <w:jc w:val="center"/>
        <w:rPr>
          <w:b/>
          <w:bCs/>
          <w:color w:val="auto"/>
          <w:sz w:val="24"/>
          <w:szCs w:val="32"/>
        </w:rPr>
      </w:pPr>
      <w:r>
        <w:rPr>
          <w:b/>
          <w:bCs/>
          <w:color w:val="auto"/>
          <w:sz w:val="24"/>
          <w:szCs w:val="32"/>
        </w:rPr>
        <w:t>表5-</w:t>
      </w:r>
      <w:r>
        <w:rPr>
          <w:rFonts w:hint="eastAsia"/>
          <w:b/>
          <w:bCs/>
          <w:color w:val="auto"/>
          <w:sz w:val="24"/>
          <w:szCs w:val="32"/>
          <w:lang w:val="en-US" w:eastAsia="zh-CN"/>
        </w:rPr>
        <w:t>7</w:t>
      </w:r>
      <w:r>
        <w:rPr>
          <w:b/>
          <w:bCs/>
          <w:color w:val="auto"/>
          <w:sz w:val="24"/>
          <w:szCs w:val="32"/>
        </w:rPr>
        <w:t xml:space="preserve"> 公司现有应急物资及装备一览表</w:t>
      </w:r>
    </w:p>
    <w:tbl>
      <w:tblPr>
        <w:tblStyle w:val="31"/>
        <w:tblW w:w="525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616"/>
        <w:gridCol w:w="1480"/>
        <w:gridCol w:w="1631"/>
        <w:gridCol w:w="1187"/>
        <w:gridCol w:w="4320"/>
      </w:tblGrid>
      <w:tr w14:paraId="647333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tcBorders>
              <w:tl2br w:val="nil"/>
              <w:tr2bl w:val="nil"/>
            </w:tcBorders>
            <w:vAlign w:val="center"/>
          </w:tcPr>
          <w:p w14:paraId="29DFE95B">
            <w:pPr>
              <w:jc w:val="center"/>
              <w:rPr>
                <w:color w:val="auto"/>
              </w:rPr>
            </w:pPr>
            <w:r>
              <w:rPr>
                <w:b/>
                <w:color w:val="auto"/>
                <w:szCs w:val="21"/>
              </w:rPr>
              <w:t>类型</w:t>
            </w:r>
          </w:p>
        </w:tc>
        <w:tc>
          <w:tcPr>
            <w:tcW w:w="1480" w:type="dxa"/>
            <w:tcBorders>
              <w:tl2br w:val="nil"/>
              <w:tr2bl w:val="nil"/>
            </w:tcBorders>
            <w:vAlign w:val="center"/>
          </w:tcPr>
          <w:p w14:paraId="0E08189C">
            <w:pPr>
              <w:jc w:val="center"/>
              <w:rPr>
                <w:color w:val="auto"/>
              </w:rPr>
            </w:pPr>
            <w:r>
              <w:rPr>
                <w:b/>
                <w:color w:val="auto"/>
                <w:szCs w:val="21"/>
              </w:rPr>
              <w:t>种类</w:t>
            </w:r>
          </w:p>
        </w:tc>
        <w:tc>
          <w:tcPr>
            <w:tcW w:w="1631" w:type="dxa"/>
            <w:tcBorders>
              <w:tl2br w:val="nil"/>
              <w:tr2bl w:val="nil"/>
            </w:tcBorders>
            <w:vAlign w:val="center"/>
          </w:tcPr>
          <w:p w14:paraId="67A4D643">
            <w:pPr>
              <w:jc w:val="center"/>
              <w:rPr>
                <w:color w:val="auto"/>
              </w:rPr>
            </w:pPr>
            <w:r>
              <w:rPr>
                <w:b/>
                <w:color w:val="auto"/>
                <w:szCs w:val="21"/>
              </w:rPr>
              <w:t>名称</w:t>
            </w:r>
          </w:p>
        </w:tc>
        <w:tc>
          <w:tcPr>
            <w:tcW w:w="1187" w:type="dxa"/>
            <w:tcBorders>
              <w:tl2br w:val="nil"/>
              <w:tr2bl w:val="nil"/>
            </w:tcBorders>
            <w:vAlign w:val="center"/>
          </w:tcPr>
          <w:p w14:paraId="39BCAE05">
            <w:pPr>
              <w:jc w:val="center"/>
              <w:rPr>
                <w:color w:val="auto"/>
              </w:rPr>
            </w:pPr>
            <w:r>
              <w:rPr>
                <w:b/>
                <w:color w:val="auto"/>
                <w:szCs w:val="21"/>
              </w:rPr>
              <w:t>数量</w:t>
            </w:r>
          </w:p>
        </w:tc>
        <w:tc>
          <w:tcPr>
            <w:tcW w:w="4320" w:type="dxa"/>
            <w:tcBorders>
              <w:tl2br w:val="nil"/>
              <w:tr2bl w:val="nil"/>
            </w:tcBorders>
            <w:vAlign w:val="center"/>
          </w:tcPr>
          <w:p w14:paraId="166CBBF4">
            <w:pPr>
              <w:jc w:val="center"/>
              <w:rPr>
                <w:color w:val="auto"/>
              </w:rPr>
            </w:pPr>
            <w:r>
              <w:rPr>
                <w:b/>
                <w:color w:val="auto"/>
                <w:szCs w:val="21"/>
              </w:rPr>
              <w:t>物资所在位置</w:t>
            </w:r>
          </w:p>
        </w:tc>
      </w:tr>
      <w:tr w14:paraId="63DA47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8" w:hRule="atLeast"/>
          <w:jc w:val="center"/>
        </w:trPr>
        <w:tc>
          <w:tcPr>
            <w:tcW w:w="1616" w:type="dxa"/>
            <w:vMerge w:val="restart"/>
            <w:tcBorders>
              <w:tl2br w:val="nil"/>
              <w:tr2bl w:val="nil"/>
            </w:tcBorders>
            <w:vAlign w:val="center"/>
          </w:tcPr>
          <w:p w14:paraId="3293D689">
            <w:pPr>
              <w:pStyle w:val="118"/>
              <w:spacing w:line="240" w:lineRule="auto"/>
              <w:ind w:firstLine="0"/>
              <w:rPr>
                <w:rFonts w:ascii="Times New Roman" w:hAnsi="Times New Roman"/>
                <w:color w:val="auto"/>
              </w:rPr>
            </w:pPr>
            <w:r>
              <w:rPr>
                <w:rFonts w:ascii="Times New Roman" w:hAnsi="Times New Roman"/>
                <w:color w:val="auto"/>
              </w:rPr>
              <w:t>应急物资</w:t>
            </w:r>
          </w:p>
        </w:tc>
        <w:tc>
          <w:tcPr>
            <w:tcW w:w="1480" w:type="dxa"/>
            <w:vMerge w:val="restart"/>
            <w:tcBorders>
              <w:tl2br w:val="nil"/>
              <w:tr2bl w:val="nil"/>
            </w:tcBorders>
            <w:vAlign w:val="center"/>
          </w:tcPr>
          <w:p w14:paraId="6C9A248D">
            <w:pPr>
              <w:pStyle w:val="118"/>
              <w:spacing w:line="240" w:lineRule="auto"/>
              <w:ind w:firstLine="0"/>
              <w:rPr>
                <w:rFonts w:ascii="Times New Roman" w:hAnsi="Times New Roman"/>
                <w:color w:val="auto"/>
              </w:rPr>
            </w:pPr>
            <w:r>
              <w:rPr>
                <w:rFonts w:ascii="Times New Roman" w:hAnsi="Times New Roman"/>
                <w:color w:val="auto"/>
              </w:rPr>
              <w:t>污染源控制</w:t>
            </w:r>
          </w:p>
        </w:tc>
        <w:tc>
          <w:tcPr>
            <w:tcW w:w="1631" w:type="dxa"/>
            <w:tcBorders>
              <w:tl2br w:val="nil"/>
              <w:tr2bl w:val="nil"/>
            </w:tcBorders>
            <w:vAlign w:val="center"/>
          </w:tcPr>
          <w:p w14:paraId="70792CCE">
            <w:pPr>
              <w:pStyle w:val="118"/>
              <w:spacing w:line="240" w:lineRule="auto"/>
              <w:ind w:firstLine="0"/>
              <w:rPr>
                <w:rFonts w:ascii="Times New Roman" w:hAnsi="Times New Roman"/>
                <w:color w:val="auto"/>
              </w:rPr>
            </w:pPr>
            <w:r>
              <w:rPr>
                <w:rFonts w:ascii="Times New Roman" w:hAnsi="Times New Roman"/>
                <w:color w:val="auto"/>
              </w:rPr>
              <w:t>灭火器</w:t>
            </w:r>
          </w:p>
        </w:tc>
        <w:tc>
          <w:tcPr>
            <w:tcW w:w="1187" w:type="dxa"/>
            <w:tcBorders>
              <w:tl2br w:val="nil"/>
              <w:tr2bl w:val="nil"/>
            </w:tcBorders>
            <w:vAlign w:val="center"/>
          </w:tcPr>
          <w:p w14:paraId="73B8D724">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90</w:t>
            </w:r>
            <w:r>
              <w:rPr>
                <w:rFonts w:ascii="Times New Roman" w:hAnsi="Times New Roman"/>
                <w:color w:val="auto"/>
              </w:rPr>
              <w:t>个</w:t>
            </w:r>
          </w:p>
        </w:tc>
        <w:tc>
          <w:tcPr>
            <w:tcW w:w="4320" w:type="dxa"/>
            <w:tcBorders>
              <w:tl2br w:val="nil"/>
              <w:tr2bl w:val="nil"/>
            </w:tcBorders>
            <w:vAlign w:val="center"/>
          </w:tcPr>
          <w:p w14:paraId="1522671C">
            <w:pPr>
              <w:pStyle w:val="118"/>
              <w:spacing w:line="240" w:lineRule="auto"/>
              <w:ind w:firstLine="0"/>
              <w:rPr>
                <w:rFonts w:ascii="Times New Roman" w:hAnsi="Times New Roman"/>
                <w:color w:val="auto"/>
              </w:rPr>
            </w:pPr>
            <w:r>
              <w:rPr>
                <w:rFonts w:ascii="Times New Roman" w:hAnsi="Times New Roman"/>
                <w:color w:val="auto"/>
              </w:rPr>
              <w:t>厂区</w:t>
            </w:r>
          </w:p>
        </w:tc>
      </w:tr>
      <w:tr w14:paraId="5DDCC3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7F0520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98722C4">
            <w:pPr>
              <w:pStyle w:val="118"/>
              <w:spacing w:line="240" w:lineRule="auto"/>
              <w:rPr>
                <w:rFonts w:ascii="Times New Roman" w:hAnsi="Times New Roman"/>
                <w:color w:val="auto"/>
              </w:rPr>
            </w:pPr>
          </w:p>
        </w:tc>
        <w:tc>
          <w:tcPr>
            <w:tcW w:w="1631" w:type="dxa"/>
            <w:tcBorders>
              <w:tl2br w:val="nil"/>
              <w:tr2bl w:val="nil"/>
            </w:tcBorders>
            <w:vAlign w:val="center"/>
          </w:tcPr>
          <w:p w14:paraId="004DA5B4">
            <w:pPr>
              <w:pStyle w:val="118"/>
              <w:spacing w:line="240" w:lineRule="auto"/>
              <w:ind w:firstLine="0"/>
              <w:rPr>
                <w:rFonts w:ascii="Times New Roman" w:hAnsi="Times New Roman"/>
                <w:color w:val="auto"/>
              </w:rPr>
            </w:pPr>
            <w:r>
              <w:rPr>
                <w:rFonts w:ascii="Times New Roman" w:hAnsi="Times New Roman"/>
                <w:color w:val="auto"/>
              </w:rPr>
              <w:t>消防栓</w:t>
            </w:r>
          </w:p>
        </w:tc>
        <w:tc>
          <w:tcPr>
            <w:tcW w:w="1187" w:type="dxa"/>
            <w:tcBorders>
              <w:tl2br w:val="nil"/>
              <w:tr2bl w:val="nil"/>
            </w:tcBorders>
            <w:vAlign w:val="center"/>
          </w:tcPr>
          <w:p w14:paraId="3DDA9E77">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40</w:t>
            </w:r>
            <w:r>
              <w:rPr>
                <w:rFonts w:ascii="Times New Roman" w:hAnsi="Times New Roman"/>
                <w:color w:val="auto"/>
              </w:rPr>
              <w:t>个</w:t>
            </w:r>
          </w:p>
        </w:tc>
        <w:tc>
          <w:tcPr>
            <w:tcW w:w="4320" w:type="dxa"/>
            <w:tcBorders>
              <w:tl2br w:val="nil"/>
              <w:tr2bl w:val="nil"/>
            </w:tcBorders>
            <w:vAlign w:val="center"/>
          </w:tcPr>
          <w:p w14:paraId="06FE1E4A">
            <w:pPr>
              <w:pStyle w:val="118"/>
              <w:spacing w:line="240" w:lineRule="auto"/>
              <w:ind w:firstLine="0"/>
              <w:rPr>
                <w:rFonts w:ascii="Times New Roman" w:hAnsi="Times New Roman"/>
                <w:color w:val="auto"/>
              </w:rPr>
            </w:pPr>
            <w:r>
              <w:rPr>
                <w:rFonts w:ascii="Times New Roman" w:hAnsi="Times New Roman"/>
                <w:color w:val="auto"/>
              </w:rPr>
              <w:t>厂区</w:t>
            </w:r>
          </w:p>
        </w:tc>
      </w:tr>
      <w:tr w14:paraId="11F363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63" w:hRule="atLeast"/>
          <w:jc w:val="center"/>
        </w:trPr>
        <w:tc>
          <w:tcPr>
            <w:tcW w:w="1616" w:type="dxa"/>
            <w:vMerge w:val="continue"/>
            <w:tcBorders>
              <w:tl2br w:val="nil"/>
              <w:tr2bl w:val="nil"/>
            </w:tcBorders>
            <w:vAlign w:val="center"/>
          </w:tcPr>
          <w:p w14:paraId="794C29B9">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79E9A8E5">
            <w:pPr>
              <w:pStyle w:val="118"/>
              <w:spacing w:line="240" w:lineRule="auto"/>
              <w:rPr>
                <w:rFonts w:ascii="Times New Roman" w:hAnsi="Times New Roman"/>
                <w:color w:val="auto"/>
              </w:rPr>
            </w:pPr>
          </w:p>
        </w:tc>
        <w:tc>
          <w:tcPr>
            <w:tcW w:w="1631" w:type="dxa"/>
            <w:tcBorders>
              <w:tl2br w:val="nil"/>
              <w:tr2bl w:val="nil"/>
            </w:tcBorders>
            <w:vAlign w:val="center"/>
          </w:tcPr>
          <w:p w14:paraId="140161CA">
            <w:pPr>
              <w:pStyle w:val="118"/>
              <w:spacing w:line="240" w:lineRule="auto"/>
              <w:ind w:firstLine="0"/>
              <w:rPr>
                <w:rFonts w:ascii="Times New Roman" w:hAnsi="Times New Roman"/>
                <w:color w:val="auto"/>
              </w:rPr>
            </w:pPr>
            <w:r>
              <w:rPr>
                <w:rFonts w:ascii="Times New Roman" w:hAnsi="Times New Roman"/>
                <w:color w:val="auto"/>
              </w:rPr>
              <w:t>警戒带</w:t>
            </w:r>
          </w:p>
        </w:tc>
        <w:tc>
          <w:tcPr>
            <w:tcW w:w="1187" w:type="dxa"/>
            <w:tcBorders>
              <w:tl2br w:val="nil"/>
              <w:tr2bl w:val="nil"/>
            </w:tcBorders>
            <w:vAlign w:val="center"/>
          </w:tcPr>
          <w:p w14:paraId="14113AF5">
            <w:pPr>
              <w:pStyle w:val="118"/>
              <w:spacing w:line="240" w:lineRule="auto"/>
              <w:ind w:firstLine="0"/>
              <w:rPr>
                <w:rFonts w:ascii="Times New Roman" w:hAnsi="Times New Roman"/>
                <w:color w:val="auto"/>
              </w:rPr>
            </w:pPr>
            <w:r>
              <w:rPr>
                <w:rFonts w:ascii="Times New Roman" w:hAnsi="Times New Roman"/>
                <w:color w:val="auto"/>
              </w:rPr>
              <w:t>10条</w:t>
            </w:r>
          </w:p>
        </w:tc>
        <w:tc>
          <w:tcPr>
            <w:tcW w:w="4320" w:type="dxa"/>
            <w:tcBorders>
              <w:tl2br w:val="nil"/>
              <w:tr2bl w:val="nil"/>
            </w:tcBorders>
            <w:vAlign w:val="center"/>
          </w:tcPr>
          <w:p w14:paraId="740F81CC">
            <w:pPr>
              <w:pStyle w:val="118"/>
              <w:spacing w:line="240" w:lineRule="auto"/>
              <w:ind w:firstLine="0"/>
              <w:rPr>
                <w:rFonts w:ascii="Times New Roman" w:hAnsi="Times New Roman"/>
                <w:color w:val="auto"/>
              </w:rPr>
            </w:pPr>
            <w:r>
              <w:rPr>
                <w:rFonts w:ascii="Times New Roman" w:hAnsi="Times New Roman"/>
                <w:color w:val="auto"/>
              </w:rPr>
              <w:t>仓库</w:t>
            </w:r>
          </w:p>
        </w:tc>
      </w:tr>
      <w:tr w14:paraId="4B293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68B7A1DB">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7C93EA6">
            <w:pPr>
              <w:pStyle w:val="118"/>
              <w:spacing w:line="240" w:lineRule="auto"/>
              <w:rPr>
                <w:rFonts w:ascii="Times New Roman" w:hAnsi="Times New Roman"/>
                <w:color w:val="auto"/>
              </w:rPr>
            </w:pPr>
          </w:p>
        </w:tc>
        <w:tc>
          <w:tcPr>
            <w:tcW w:w="1631" w:type="dxa"/>
            <w:tcBorders>
              <w:tl2br w:val="nil"/>
              <w:tr2bl w:val="nil"/>
            </w:tcBorders>
            <w:vAlign w:val="center"/>
          </w:tcPr>
          <w:p w14:paraId="2E755C51">
            <w:pPr>
              <w:pStyle w:val="118"/>
              <w:spacing w:line="240" w:lineRule="auto"/>
              <w:ind w:firstLine="0"/>
              <w:rPr>
                <w:rFonts w:ascii="Times New Roman" w:hAnsi="Times New Roman"/>
                <w:color w:val="auto"/>
              </w:rPr>
            </w:pPr>
            <w:r>
              <w:rPr>
                <w:rFonts w:ascii="Times New Roman" w:hAnsi="Times New Roman"/>
                <w:color w:val="auto"/>
              </w:rPr>
              <w:t>消防水带</w:t>
            </w:r>
          </w:p>
        </w:tc>
        <w:tc>
          <w:tcPr>
            <w:tcW w:w="1187" w:type="dxa"/>
            <w:tcBorders>
              <w:tl2br w:val="nil"/>
              <w:tr2bl w:val="nil"/>
            </w:tcBorders>
            <w:vAlign w:val="center"/>
          </w:tcPr>
          <w:p w14:paraId="67636C7C">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40</w:t>
            </w:r>
            <w:r>
              <w:rPr>
                <w:rFonts w:ascii="Times New Roman" w:hAnsi="Times New Roman"/>
                <w:color w:val="auto"/>
              </w:rPr>
              <w:t>只</w:t>
            </w:r>
          </w:p>
        </w:tc>
        <w:tc>
          <w:tcPr>
            <w:tcW w:w="4320" w:type="dxa"/>
            <w:tcBorders>
              <w:tl2br w:val="nil"/>
              <w:tr2bl w:val="nil"/>
            </w:tcBorders>
            <w:vAlign w:val="center"/>
          </w:tcPr>
          <w:p w14:paraId="6C45C1D0">
            <w:pPr>
              <w:pStyle w:val="118"/>
              <w:spacing w:line="240" w:lineRule="auto"/>
              <w:ind w:firstLine="0"/>
              <w:rPr>
                <w:rFonts w:ascii="Times New Roman" w:hAnsi="Times New Roman"/>
                <w:color w:val="auto"/>
              </w:rPr>
            </w:pPr>
            <w:r>
              <w:rPr>
                <w:rFonts w:ascii="Times New Roman" w:hAnsi="Times New Roman"/>
                <w:color w:val="auto"/>
              </w:rPr>
              <w:t>厂区内、车间</w:t>
            </w:r>
          </w:p>
        </w:tc>
      </w:tr>
      <w:tr w14:paraId="409FF1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638E2A7">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F5BC814">
            <w:pPr>
              <w:pStyle w:val="118"/>
              <w:spacing w:line="240" w:lineRule="auto"/>
              <w:rPr>
                <w:rFonts w:ascii="Times New Roman" w:hAnsi="Times New Roman"/>
                <w:color w:val="auto"/>
              </w:rPr>
            </w:pPr>
          </w:p>
        </w:tc>
        <w:tc>
          <w:tcPr>
            <w:tcW w:w="1631" w:type="dxa"/>
            <w:tcBorders>
              <w:tl2br w:val="nil"/>
              <w:tr2bl w:val="nil"/>
            </w:tcBorders>
            <w:vAlign w:val="center"/>
          </w:tcPr>
          <w:p w14:paraId="0F1795F0">
            <w:pPr>
              <w:pStyle w:val="118"/>
              <w:spacing w:line="240" w:lineRule="auto"/>
              <w:ind w:firstLine="0"/>
              <w:rPr>
                <w:rFonts w:ascii="Times New Roman" w:hAnsi="Times New Roman"/>
                <w:color w:val="auto"/>
              </w:rPr>
            </w:pPr>
            <w:r>
              <w:rPr>
                <w:rFonts w:ascii="Times New Roman" w:hAnsi="Times New Roman"/>
                <w:color w:val="auto"/>
              </w:rPr>
              <w:t>沙箱</w:t>
            </w:r>
          </w:p>
        </w:tc>
        <w:tc>
          <w:tcPr>
            <w:tcW w:w="1187" w:type="dxa"/>
            <w:tcBorders>
              <w:tl2br w:val="nil"/>
              <w:tr2bl w:val="nil"/>
            </w:tcBorders>
            <w:vAlign w:val="center"/>
          </w:tcPr>
          <w:p w14:paraId="16DFD688">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5</w:t>
            </w:r>
            <w:r>
              <w:rPr>
                <w:rFonts w:ascii="Times New Roman" w:hAnsi="Times New Roman"/>
                <w:color w:val="auto"/>
              </w:rPr>
              <w:t>个</w:t>
            </w:r>
          </w:p>
        </w:tc>
        <w:tc>
          <w:tcPr>
            <w:tcW w:w="4320" w:type="dxa"/>
            <w:tcBorders>
              <w:tl2br w:val="nil"/>
              <w:tr2bl w:val="nil"/>
            </w:tcBorders>
            <w:vAlign w:val="center"/>
          </w:tcPr>
          <w:p w14:paraId="2435D7AE">
            <w:pPr>
              <w:pStyle w:val="118"/>
              <w:spacing w:line="240" w:lineRule="auto"/>
              <w:ind w:firstLine="0"/>
              <w:rPr>
                <w:rFonts w:ascii="Times New Roman" w:hAnsi="Times New Roman"/>
                <w:color w:val="auto"/>
              </w:rPr>
            </w:pPr>
            <w:r>
              <w:rPr>
                <w:rFonts w:ascii="Times New Roman" w:hAnsi="Times New Roman"/>
                <w:color w:val="auto"/>
              </w:rPr>
              <w:t>厂区内、车间</w:t>
            </w:r>
          </w:p>
        </w:tc>
      </w:tr>
      <w:tr w14:paraId="555F32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3007352">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354F6FE">
            <w:pPr>
              <w:pStyle w:val="118"/>
              <w:spacing w:line="240" w:lineRule="auto"/>
              <w:rPr>
                <w:rFonts w:ascii="Times New Roman" w:hAnsi="Times New Roman"/>
                <w:color w:val="auto"/>
              </w:rPr>
            </w:pPr>
          </w:p>
        </w:tc>
        <w:tc>
          <w:tcPr>
            <w:tcW w:w="1631" w:type="dxa"/>
            <w:tcBorders>
              <w:tl2br w:val="nil"/>
              <w:tr2bl w:val="nil"/>
            </w:tcBorders>
            <w:vAlign w:val="center"/>
          </w:tcPr>
          <w:p w14:paraId="7D943ED1">
            <w:pPr>
              <w:pStyle w:val="118"/>
              <w:spacing w:line="240" w:lineRule="auto"/>
              <w:ind w:firstLine="0"/>
              <w:rPr>
                <w:rFonts w:ascii="Times New Roman" w:hAnsi="Times New Roman"/>
                <w:color w:val="auto"/>
              </w:rPr>
            </w:pPr>
            <w:r>
              <w:rPr>
                <w:rFonts w:ascii="Times New Roman" w:hAnsi="Times New Roman"/>
                <w:color w:val="auto"/>
              </w:rPr>
              <w:t>火灾报警器</w:t>
            </w:r>
          </w:p>
        </w:tc>
        <w:tc>
          <w:tcPr>
            <w:tcW w:w="1187" w:type="dxa"/>
            <w:tcBorders>
              <w:tl2br w:val="nil"/>
              <w:tr2bl w:val="nil"/>
            </w:tcBorders>
            <w:vAlign w:val="center"/>
          </w:tcPr>
          <w:p w14:paraId="3B3AE23E">
            <w:pPr>
              <w:pStyle w:val="118"/>
              <w:spacing w:line="240" w:lineRule="auto"/>
              <w:ind w:firstLine="0"/>
              <w:rPr>
                <w:rFonts w:ascii="Times New Roman" w:hAnsi="Times New Roman"/>
                <w:color w:val="auto"/>
              </w:rPr>
            </w:pPr>
            <w:r>
              <w:rPr>
                <w:rFonts w:ascii="Times New Roman" w:hAnsi="Times New Roman"/>
                <w:color w:val="auto"/>
              </w:rPr>
              <w:t>6个</w:t>
            </w:r>
          </w:p>
        </w:tc>
        <w:tc>
          <w:tcPr>
            <w:tcW w:w="4320" w:type="dxa"/>
            <w:tcBorders>
              <w:tl2br w:val="nil"/>
              <w:tr2bl w:val="nil"/>
            </w:tcBorders>
            <w:vAlign w:val="center"/>
          </w:tcPr>
          <w:p w14:paraId="5D064A59">
            <w:pPr>
              <w:pStyle w:val="118"/>
              <w:spacing w:line="240" w:lineRule="auto"/>
              <w:ind w:firstLine="0"/>
              <w:rPr>
                <w:rFonts w:ascii="Times New Roman" w:hAnsi="Times New Roman"/>
                <w:color w:val="auto"/>
              </w:rPr>
            </w:pPr>
            <w:r>
              <w:rPr>
                <w:rFonts w:ascii="Times New Roman" w:hAnsi="Times New Roman"/>
                <w:color w:val="auto"/>
              </w:rPr>
              <w:t>厂区</w:t>
            </w:r>
          </w:p>
        </w:tc>
      </w:tr>
      <w:tr w14:paraId="1D66C3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B87E859">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7E96C8E">
            <w:pPr>
              <w:pStyle w:val="118"/>
              <w:spacing w:line="240" w:lineRule="auto"/>
              <w:ind w:firstLine="0"/>
              <w:rPr>
                <w:rFonts w:ascii="Times New Roman" w:hAnsi="Times New Roman"/>
                <w:color w:val="auto"/>
              </w:rPr>
            </w:pPr>
          </w:p>
        </w:tc>
        <w:tc>
          <w:tcPr>
            <w:tcW w:w="1631" w:type="dxa"/>
            <w:tcBorders>
              <w:tl2br w:val="nil"/>
              <w:tr2bl w:val="nil"/>
            </w:tcBorders>
            <w:vAlign w:val="center"/>
          </w:tcPr>
          <w:p w14:paraId="00F675B5">
            <w:pPr>
              <w:pStyle w:val="118"/>
              <w:spacing w:line="240" w:lineRule="auto"/>
              <w:ind w:firstLine="0"/>
              <w:rPr>
                <w:rFonts w:ascii="Times New Roman" w:hAnsi="Times New Roman"/>
                <w:color w:val="auto"/>
              </w:rPr>
            </w:pPr>
            <w:r>
              <w:rPr>
                <w:rFonts w:ascii="Times New Roman" w:hAnsi="Times New Roman"/>
                <w:color w:val="auto"/>
              </w:rPr>
              <w:t>吸油毡</w:t>
            </w:r>
          </w:p>
        </w:tc>
        <w:tc>
          <w:tcPr>
            <w:tcW w:w="1187" w:type="dxa"/>
            <w:tcBorders>
              <w:tl2br w:val="nil"/>
              <w:tr2bl w:val="nil"/>
            </w:tcBorders>
            <w:vAlign w:val="center"/>
          </w:tcPr>
          <w:p w14:paraId="0A0E465F">
            <w:pPr>
              <w:pStyle w:val="118"/>
              <w:spacing w:line="240" w:lineRule="auto"/>
              <w:ind w:firstLine="0"/>
              <w:rPr>
                <w:rFonts w:ascii="Times New Roman" w:hAnsi="Times New Roman"/>
                <w:color w:val="auto"/>
              </w:rPr>
            </w:pPr>
            <w:r>
              <w:rPr>
                <w:rFonts w:ascii="Times New Roman" w:hAnsi="Times New Roman"/>
                <w:color w:val="auto"/>
              </w:rPr>
              <w:t>5卷</w:t>
            </w:r>
          </w:p>
        </w:tc>
        <w:tc>
          <w:tcPr>
            <w:tcW w:w="4320" w:type="dxa"/>
            <w:tcBorders>
              <w:tl2br w:val="nil"/>
              <w:tr2bl w:val="nil"/>
            </w:tcBorders>
            <w:vAlign w:val="center"/>
          </w:tcPr>
          <w:p w14:paraId="60AE6508">
            <w:pPr>
              <w:pStyle w:val="118"/>
              <w:spacing w:line="240" w:lineRule="auto"/>
              <w:ind w:firstLine="0"/>
              <w:rPr>
                <w:rFonts w:ascii="Times New Roman" w:hAnsi="Times New Roman"/>
                <w:color w:val="auto"/>
              </w:rPr>
            </w:pPr>
            <w:r>
              <w:rPr>
                <w:rFonts w:hint="eastAsia" w:ascii="Times New Roman" w:hAnsi="Times New Roman"/>
                <w:color w:val="auto"/>
              </w:rPr>
              <w:t>危废库</w:t>
            </w:r>
            <w:r>
              <w:rPr>
                <w:rFonts w:ascii="Times New Roman" w:hAnsi="Times New Roman"/>
                <w:color w:val="auto"/>
              </w:rPr>
              <w:t>、车间、仓库</w:t>
            </w:r>
          </w:p>
        </w:tc>
      </w:tr>
      <w:tr w14:paraId="533E8B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A773F5B">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1BC63AE3">
            <w:pPr>
              <w:pStyle w:val="118"/>
              <w:spacing w:line="240" w:lineRule="auto"/>
              <w:rPr>
                <w:rFonts w:ascii="Times New Roman" w:hAnsi="Times New Roman"/>
                <w:color w:val="auto"/>
              </w:rPr>
            </w:pPr>
          </w:p>
        </w:tc>
        <w:tc>
          <w:tcPr>
            <w:tcW w:w="1631" w:type="dxa"/>
            <w:tcBorders>
              <w:tl2br w:val="nil"/>
              <w:tr2bl w:val="nil"/>
            </w:tcBorders>
            <w:vAlign w:val="center"/>
          </w:tcPr>
          <w:p w14:paraId="1ECDCC1E">
            <w:pPr>
              <w:pStyle w:val="118"/>
              <w:spacing w:line="240" w:lineRule="auto"/>
              <w:ind w:firstLine="0"/>
              <w:rPr>
                <w:rFonts w:ascii="Times New Roman" w:hAnsi="Times New Roman"/>
                <w:color w:val="auto"/>
              </w:rPr>
            </w:pPr>
            <w:r>
              <w:rPr>
                <w:rFonts w:ascii="Times New Roman" w:hAnsi="Times New Roman"/>
                <w:color w:val="auto"/>
              </w:rPr>
              <w:t>空桶</w:t>
            </w:r>
          </w:p>
        </w:tc>
        <w:tc>
          <w:tcPr>
            <w:tcW w:w="1187" w:type="dxa"/>
            <w:tcBorders>
              <w:tl2br w:val="nil"/>
              <w:tr2bl w:val="nil"/>
            </w:tcBorders>
            <w:vAlign w:val="center"/>
          </w:tcPr>
          <w:p w14:paraId="581C5079">
            <w:pPr>
              <w:pStyle w:val="118"/>
              <w:spacing w:line="240" w:lineRule="auto"/>
              <w:ind w:firstLine="0"/>
              <w:rPr>
                <w:rFonts w:ascii="Times New Roman" w:hAnsi="Times New Roman"/>
                <w:color w:val="auto"/>
              </w:rPr>
            </w:pPr>
            <w:r>
              <w:rPr>
                <w:rFonts w:ascii="Times New Roman" w:hAnsi="Times New Roman"/>
                <w:color w:val="auto"/>
              </w:rPr>
              <w:t>2个</w:t>
            </w:r>
          </w:p>
        </w:tc>
        <w:tc>
          <w:tcPr>
            <w:tcW w:w="4320" w:type="dxa"/>
            <w:tcBorders>
              <w:tl2br w:val="nil"/>
              <w:tr2bl w:val="nil"/>
            </w:tcBorders>
            <w:vAlign w:val="center"/>
          </w:tcPr>
          <w:p w14:paraId="514806ED">
            <w:pPr>
              <w:pStyle w:val="118"/>
              <w:spacing w:line="240" w:lineRule="auto"/>
              <w:ind w:firstLine="0"/>
              <w:rPr>
                <w:rFonts w:ascii="Times New Roman" w:hAnsi="Times New Roman"/>
                <w:color w:val="auto"/>
              </w:rPr>
            </w:pPr>
            <w:r>
              <w:rPr>
                <w:rFonts w:ascii="Times New Roman" w:hAnsi="Times New Roman"/>
                <w:color w:val="auto"/>
              </w:rPr>
              <w:t>车间</w:t>
            </w:r>
          </w:p>
        </w:tc>
      </w:tr>
      <w:tr w14:paraId="1925E4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B7AEE1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760D69F5">
            <w:pPr>
              <w:pStyle w:val="118"/>
              <w:spacing w:line="240" w:lineRule="auto"/>
              <w:rPr>
                <w:rFonts w:ascii="Times New Roman" w:hAnsi="Times New Roman"/>
                <w:color w:val="auto"/>
              </w:rPr>
            </w:pPr>
          </w:p>
        </w:tc>
        <w:tc>
          <w:tcPr>
            <w:tcW w:w="1631" w:type="dxa"/>
            <w:tcBorders>
              <w:tl2br w:val="nil"/>
              <w:tr2bl w:val="nil"/>
            </w:tcBorders>
            <w:vAlign w:val="center"/>
          </w:tcPr>
          <w:p w14:paraId="7BA6C846">
            <w:pPr>
              <w:pStyle w:val="118"/>
              <w:spacing w:line="240" w:lineRule="auto"/>
              <w:ind w:firstLine="0"/>
              <w:rPr>
                <w:rFonts w:ascii="Times New Roman" w:hAnsi="Times New Roman"/>
                <w:color w:val="auto"/>
              </w:rPr>
            </w:pPr>
            <w:r>
              <w:rPr>
                <w:rFonts w:ascii="Times New Roman" w:hAnsi="Times New Roman"/>
                <w:color w:val="auto"/>
              </w:rPr>
              <w:t>雨水切断阀</w:t>
            </w:r>
          </w:p>
        </w:tc>
        <w:tc>
          <w:tcPr>
            <w:tcW w:w="1187" w:type="dxa"/>
            <w:tcBorders>
              <w:tl2br w:val="nil"/>
              <w:tr2bl w:val="nil"/>
            </w:tcBorders>
            <w:vAlign w:val="center"/>
          </w:tcPr>
          <w:p w14:paraId="485E1167">
            <w:pPr>
              <w:pStyle w:val="118"/>
              <w:spacing w:line="240" w:lineRule="auto"/>
              <w:ind w:firstLine="0"/>
              <w:rPr>
                <w:rFonts w:ascii="Times New Roman" w:hAnsi="Times New Roman"/>
                <w:color w:val="auto"/>
              </w:rPr>
            </w:pPr>
            <w:r>
              <w:rPr>
                <w:rFonts w:ascii="Times New Roman" w:hAnsi="Times New Roman"/>
                <w:color w:val="auto"/>
              </w:rPr>
              <w:t>1个</w:t>
            </w:r>
          </w:p>
        </w:tc>
        <w:tc>
          <w:tcPr>
            <w:tcW w:w="4320" w:type="dxa"/>
            <w:tcBorders>
              <w:tl2br w:val="nil"/>
              <w:tr2bl w:val="nil"/>
            </w:tcBorders>
            <w:vAlign w:val="center"/>
          </w:tcPr>
          <w:p w14:paraId="5BCE6C84">
            <w:pPr>
              <w:pStyle w:val="118"/>
              <w:spacing w:line="240" w:lineRule="auto"/>
              <w:ind w:firstLine="0"/>
              <w:rPr>
                <w:rFonts w:ascii="Times New Roman" w:hAnsi="Times New Roman"/>
                <w:color w:val="auto"/>
              </w:rPr>
            </w:pPr>
            <w:r>
              <w:rPr>
                <w:rFonts w:ascii="Times New Roman" w:hAnsi="Times New Roman"/>
                <w:color w:val="auto"/>
              </w:rPr>
              <w:t>雨水排口</w:t>
            </w:r>
          </w:p>
        </w:tc>
      </w:tr>
      <w:tr w14:paraId="2D686E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DBA5AE8">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13E6087">
            <w:pPr>
              <w:pStyle w:val="118"/>
              <w:spacing w:line="240" w:lineRule="auto"/>
              <w:rPr>
                <w:rFonts w:ascii="Times New Roman" w:hAnsi="Times New Roman"/>
                <w:color w:val="auto"/>
              </w:rPr>
            </w:pPr>
          </w:p>
        </w:tc>
        <w:tc>
          <w:tcPr>
            <w:tcW w:w="1631" w:type="dxa"/>
            <w:tcBorders>
              <w:tl2br w:val="nil"/>
              <w:tr2bl w:val="nil"/>
            </w:tcBorders>
            <w:vAlign w:val="center"/>
          </w:tcPr>
          <w:p w14:paraId="610A0A9C">
            <w:pPr>
              <w:pStyle w:val="118"/>
              <w:spacing w:line="240" w:lineRule="auto"/>
              <w:ind w:firstLine="0"/>
              <w:rPr>
                <w:rFonts w:ascii="Times New Roman" w:hAnsi="Times New Roman"/>
                <w:color w:val="auto"/>
              </w:rPr>
            </w:pPr>
            <w:r>
              <w:rPr>
                <w:rFonts w:ascii="Times New Roman" w:hAnsi="Times New Roman"/>
                <w:color w:val="auto"/>
              </w:rPr>
              <w:t>污水切断阀</w:t>
            </w:r>
          </w:p>
        </w:tc>
        <w:tc>
          <w:tcPr>
            <w:tcW w:w="1187" w:type="dxa"/>
            <w:tcBorders>
              <w:tl2br w:val="nil"/>
              <w:tr2bl w:val="nil"/>
            </w:tcBorders>
            <w:vAlign w:val="center"/>
          </w:tcPr>
          <w:p w14:paraId="5945EE45">
            <w:pPr>
              <w:pStyle w:val="118"/>
              <w:spacing w:line="240" w:lineRule="auto"/>
              <w:ind w:firstLine="0"/>
              <w:rPr>
                <w:rFonts w:ascii="Times New Roman" w:hAnsi="Times New Roman"/>
                <w:color w:val="auto"/>
              </w:rPr>
            </w:pPr>
            <w:r>
              <w:rPr>
                <w:rFonts w:ascii="Times New Roman" w:hAnsi="Times New Roman"/>
                <w:color w:val="auto"/>
              </w:rPr>
              <w:t>1个</w:t>
            </w:r>
          </w:p>
        </w:tc>
        <w:tc>
          <w:tcPr>
            <w:tcW w:w="4320" w:type="dxa"/>
            <w:tcBorders>
              <w:tl2br w:val="nil"/>
              <w:tr2bl w:val="nil"/>
            </w:tcBorders>
            <w:vAlign w:val="center"/>
          </w:tcPr>
          <w:p w14:paraId="6AD2A09C">
            <w:pPr>
              <w:pStyle w:val="118"/>
              <w:spacing w:line="240" w:lineRule="auto"/>
              <w:ind w:firstLine="0"/>
              <w:rPr>
                <w:rFonts w:ascii="Times New Roman" w:hAnsi="Times New Roman"/>
                <w:color w:val="auto"/>
              </w:rPr>
            </w:pPr>
            <w:r>
              <w:rPr>
                <w:rFonts w:ascii="Times New Roman" w:hAnsi="Times New Roman"/>
                <w:color w:val="auto"/>
              </w:rPr>
              <w:t>污水总排口</w:t>
            </w:r>
          </w:p>
        </w:tc>
      </w:tr>
      <w:tr w14:paraId="2A613E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1A70225E">
            <w:pPr>
              <w:pStyle w:val="118"/>
              <w:spacing w:line="240" w:lineRule="auto"/>
              <w:rPr>
                <w:rFonts w:ascii="Times New Roman" w:hAnsi="Times New Roman"/>
                <w:color w:val="auto"/>
              </w:rPr>
            </w:pPr>
          </w:p>
        </w:tc>
        <w:tc>
          <w:tcPr>
            <w:tcW w:w="1480" w:type="dxa"/>
            <w:vMerge w:val="restart"/>
            <w:tcBorders>
              <w:tl2br w:val="nil"/>
              <w:tr2bl w:val="nil"/>
            </w:tcBorders>
            <w:vAlign w:val="center"/>
          </w:tcPr>
          <w:p w14:paraId="5AE32CD7">
            <w:pPr>
              <w:pStyle w:val="118"/>
              <w:spacing w:line="240" w:lineRule="auto"/>
              <w:jc w:val="both"/>
              <w:rPr>
                <w:rFonts w:ascii="Times New Roman" w:hAnsi="Times New Roman"/>
                <w:color w:val="auto"/>
              </w:rPr>
            </w:pPr>
            <w:r>
              <w:rPr>
                <w:rFonts w:ascii="Times New Roman" w:hAnsi="Times New Roman"/>
                <w:color w:val="auto"/>
              </w:rPr>
              <w:t>安全防护</w:t>
            </w:r>
          </w:p>
        </w:tc>
        <w:tc>
          <w:tcPr>
            <w:tcW w:w="1631" w:type="dxa"/>
            <w:tcBorders>
              <w:tl2br w:val="nil"/>
              <w:tr2bl w:val="nil"/>
            </w:tcBorders>
            <w:vAlign w:val="center"/>
          </w:tcPr>
          <w:p w14:paraId="583C12E3">
            <w:pPr>
              <w:pStyle w:val="118"/>
              <w:spacing w:line="240" w:lineRule="auto"/>
              <w:ind w:firstLine="0"/>
              <w:rPr>
                <w:rFonts w:ascii="Times New Roman" w:hAnsi="Times New Roman"/>
                <w:color w:val="auto"/>
              </w:rPr>
            </w:pPr>
            <w:r>
              <w:rPr>
                <w:rFonts w:ascii="Times New Roman" w:hAnsi="Times New Roman"/>
                <w:color w:val="auto"/>
              </w:rPr>
              <w:t>空气呼吸器</w:t>
            </w:r>
          </w:p>
        </w:tc>
        <w:tc>
          <w:tcPr>
            <w:tcW w:w="1187" w:type="dxa"/>
            <w:tcBorders>
              <w:tl2br w:val="nil"/>
              <w:tr2bl w:val="nil"/>
            </w:tcBorders>
            <w:vAlign w:val="center"/>
          </w:tcPr>
          <w:p w14:paraId="13AD860E">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具</w:t>
            </w:r>
          </w:p>
        </w:tc>
        <w:tc>
          <w:tcPr>
            <w:tcW w:w="4320" w:type="dxa"/>
            <w:tcBorders>
              <w:tl2br w:val="nil"/>
              <w:tr2bl w:val="nil"/>
            </w:tcBorders>
            <w:vAlign w:val="center"/>
          </w:tcPr>
          <w:p w14:paraId="02FC76AB">
            <w:pPr>
              <w:pStyle w:val="118"/>
              <w:spacing w:line="240" w:lineRule="auto"/>
              <w:ind w:firstLine="0"/>
              <w:rPr>
                <w:rFonts w:ascii="Times New Roman" w:hAnsi="Times New Roman"/>
                <w:color w:val="auto"/>
              </w:rPr>
            </w:pPr>
            <w:r>
              <w:rPr>
                <w:rFonts w:ascii="Times New Roman" w:hAnsi="Times New Roman"/>
                <w:color w:val="auto"/>
              </w:rPr>
              <w:t>车间、仓库</w:t>
            </w:r>
          </w:p>
        </w:tc>
      </w:tr>
      <w:tr w14:paraId="1AE12E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BE2419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01FBAAC8">
            <w:pPr>
              <w:pStyle w:val="118"/>
              <w:spacing w:line="240" w:lineRule="auto"/>
              <w:jc w:val="both"/>
              <w:rPr>
                <w:rFonts w:ascii="Times New Roman" w:hAnsi="Times New Roman"/>
                <w:color w:val="auto"/>
              </w:rPr>
            </w:pPr>
          </w:p>
        </w:tc>
        <w:tc>
          <w:tcPr>
            <w:tcW w:w="1631" w:type="dxa"/>
            <w:tcBorders>
              <w:tl2br w:val="nil"/>
              <w:tr2bl w:val="nil"/>
            </w:tcBorders>
            <w:vAlign w:val="center"/>
          </w:tcPr>
          <w:p w14:paraId="2ED37B78">
            <w:pPr>
              <w:pStyle w:val="118"/>
              <w:spacing w:line="240" w:lineRule="auto"/>
              <w:ind w:firstLine="0"/>
              <w:rPr>
                <w:rFonts w:ascii="Times New Roman" w:hAnsi="Times New Roman"/>
                <w:color w:val="auto"/>
              </w:rPr>
            </w:pPr>
            <w:r>
              <w:rPr>
                <w:rFonts w:ascii="Times New Roman" w:hAnsi="Times New Roman"/>
                <w:color w:val="auto"/>
              </w:rPr>
              <w:t>防火毛毡</w:t>
            </w:r>
          </w:p>
        </w:tc>
        <w:tc>
          <w:tcPr>
            <w:tcW w:w="1187" w:type="dxa"/>
            <w:tcBorders>
              <w:tl2br w:val="nil"/>
              <w:tr2bl w:val="nil"/>
            </w:tcBorders>
            <w:vAlign w:val="center"/>
          </w:tcPr>
          <w:p w14:paraId="02348903">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条</w:t>
            </w:r>
          </w:p>
        </w:tc>
        <w:tc>
          <w:tcPr>
            <w:tcW w:w="4320" w:type="dxa"/>
            <w:tcBorders>
              <w:tl2br w:val="nil"/>
              <w:tr2bl w:val="nil"/>
            </w:tcBorders>
            <w:vAlign w:val="center"/>
          </w:tcPr>
          <w:p w14:paraId="3478D71C">
            <w:pPr>
              <w:jc w:val="center"/>
              <w:rPr>
                <w:color w:val="auto"/>
              </w:rPr>
            </w:pPr>
            <w:r>
              <w:rPr>
                <w:color w:val="auto"/>
              </w:rPr>
              <w:t>车间、仓库</w:t>
            </w:r>
          </w:p>
        </w:tc>
      </w:tr>
      <w:tr w14:paraId="40F813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BC7B99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8270E60">
            <w:pPr>
              <w:pStyle w:val="118"/>
              <w:spacing w:line="240" w:lineRule="auto"/>
              <w:jc w:val="both"/>
              <w:rPr>
                <w:rFonts w:ascii="Times New Roman" w:hAnsi="Times New Roman"/>
                <w:color w:val="auto"/>
              </w:rPr>
            </w:pPr>
          </w:p>
        </w:tc>
        <w:tc>
          <w:tcPr>
            <w:tcW w:w="1631" w:type="dxa"/>
            <w:tcBorders>
              <w:tl2br w:val="nil"/>
              <w:tr2bl w:val="nil"/>
            </w:tcBorders>
            <w:vAlign w:val="center"/>
          </w:tcPr>
          <w:p w14:paraId="1D5F47C7">
            <w:pPr>
              <w:pStyle w:val="118"/>
              <w:spacing w:line="240" w:lineRule="auto"/>
              <w:ind w:firstLine="0"/>
              <w:rPr>
                <w:rFonts w:ascii="Times New Roman" w:hAnsi="Times New Roman"/>
                <w:color w:val="auto"/>
              </w:rPr>
            </w:pPr>
            <w:r>
              <w:rPr>
                <w:rFonts w:ascii="Times New Roman" w:hAnsi="Times New Roman"/>
                <w:color w:val="auto"/>
              </w:rPr>
              <w:t>安全绳</w:t>
            </w:r>
          </w:p>
        </w:tc>
        <w:tc>
          <w:tcPr>
            <w:tcW w:w="1187" w:type="dxa"/>
            <w:tcBorders>
              <w:tl2br w:val="nil"/>
              <w:tr2bl w:val="nil"/>
            </w:tcBorders>
            <w:vAlign w:val="center"/>
          </w:tcPr>
          <w:p w14:paraId="6B515B08">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条</w:t>
            </w:r>
          </w:p>
        </w:tc>
        <w:tc>
          <w:tcPr>
            <w:tcW w:w="4320" w:type="dxa"/>
            <w:tcBorders>
              <w:tl2br w:val="nil"/>
              <w:tr2bl w:val="nil"/>
            </w:tcBorders>
            <w:vAlign w:val="center"/>
          </w:tcPr>
          <w:p w14:paraId="2B1E3586">
            <w:pPr>
              <w:jc w:val="center"/>
              <w:rPr>
                <w:color w:val="auto"/>
              </w:rPr>
            </w:pPr>
            <w:r>
              <w:rPr>
                <w:color w:val="auto"/>
              </w:rPr>
              <w:t>车间、仓库</w:t>
            </w:r>
          </w:p>
        </w:tc>
      </w:tr>
      <w:tr w14:paraId="7C9D82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816831A">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2B02DF9">
            <w:pPr>
              <w:pStyle w:val="118"/>
              <w:spacing w:line="240" w:lineRule="auto"/>
              <w:jc w:val="both"/>
              <w:rPr>
                <w:rFonts w:ascii="Times New Roman" w:hAnsi="Times New Roman"/>
                <w:color w:val="auto"/>
              </w:rPr>
            </w:pPr>
          </w:p>
        </w:tc>
        <w:tc>
          <w:tcPr>
            <w:tcW w:w="1631" w:type="dxa"/>
            <w:tcBorders>
              <w:tl2br w:val="nil"/>
              <w:tr2bl w:val="nil"/>
            </w:tcBorders>
            <w:vAlign w:val="center"/>
          </w:tcPr>
          <w:p w14:paraId="1BE085C5">
            <w:pPr>
              <w:pStyle w:val="118"/>
              <w:spacing w:line="240" w:lineRule="auto"/>
              <w:ind w:firstLine="0"/>
              <w:rPr>
                <w:rFonts w:ascii="Times New Roman" w:hAnsi="Times New Roman"/>
                <w:color w:val="auto"/>
              </w:rPr>
            </w:pPr>
            <w:r>
              <w:rPr>
                <w:rFonts w:ascii="Times New Roman" w:hAnsi="Times New Roman"/>
                <w:color w:val="auto"/>
              </w:rPr>
              <w:t>安全带</w:t>
            </w:r>
          </w:p>
        </w:tc>
        <w:tc>
          <w:tcPr>
            <w:tcW w:w="1187" w:type="dxa"/>
            <w:tcBorders>
              <w:tl2br w:val="nil"/>
              <w:tr2bl w:val="nil"/>
            </w:tcBorders>
            <w:vAlign w:val="center"/>
          </w:tcPr>
          <w:p w14:paraId="0F78A804">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6</w:t>
            </w:r>
            <w:r>
              <w:rPr>
                <w:rFonts w:ascii="Times New Roman" w:hAnsi="Times New Roman"/>
                <w:color w:val="auto"/>
              </w:rPr>
              <w:t>条</w:t>
            </w:r>
          </w:p>
        </w:tc>
        <w:tc>
          <w:tcPr>
            <w:tcW w:w="4320" w:type="dxa"/>
            <w:tcBorders>
              <w:tl2br w:val="nil"/>
              <w:tr2bl w:val="nil"/>
            </w:tcBorders>
            <w:vAlign w:val="center"/>
          </w:tcPr>
          <w:p w14:paraId="22D265F1">
            <w:pPr>
              <w:jc w:val="center"/>
              <w:rPr>
                <w:color w:val="auto"/>
              </w:rPr>
            </w:pPr>
            <w:r>
              <w:rPr>
                <w:color w:val="auto"/>
              </w:rPr>
              <w:t>车间、仓库</w:t>
            </w:r>
          </w:p>
        </w:tc>
      </w:tr>
      <w:tr w14:paraId="1DDCA0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1AED6E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B77F246">
            <w:pPr>
              <w:pStyle w:val="118"/>
              <w:spacing w:line="240" w:lineRule="auto"/>
              <w:jc w:val="both"/>
              <w:rPr>
                <w:rFonts w:ascii="Times New Roman" w:hAnsi="Times New Roman"/>
                <w:color w:val="auto"/>
              </w:rPr>
            </w:pPr>
          </w:p>
        </w:tc>
        <w:tc>
          <w:tcPr>
            <w:tcW w:w="1631" w:type="dxa"/>
            <w:tcBorders>
              <w:tl2br w:val="nil"/>
              <w:tr2bl w:val="nil"/>
            </w:tcBorders>
            <w:vAlign w:val="center"/>
          </w:tcPr>
          <w:p w14:paraId="73965FC3">
            <w:pPr>
              <w:pStyle w:val="118"/>
              <w:spacing w:line="240" w:lineRule="auto"/>
              <w:ind w:firstLine="0"/>
              <w:rPr>
                <w:rFonts w:ascii="Times New Roman" w:hAnsi="Times New Roman"/>
                <w:color w:val="auto"/>
              </w:rPr>
            </w:pPr>
            <w:r>
              <w:rPr>
                <w:rFonts w:ascii="Times New Roman" w:hAnsi="Times New Roman"/>
                <w:color w:val="auto"/>
              </w:rPr>
              <w:t>消防锹、钩</w:t>
            </w:r>
          </w:p>
        </w:tc>
        <w:tc>
          <w:tcPr>
            <w:tcW w:w="1187" w:type="dxa"/>
            <w:tcBorders>
              <w:tl2br w:val="nil"/>
              <w:tr2bl w:val="nil"/>
            </w:tcBorders>
            <w:vAlign w:val="center"/>
          </w:tcPr>
          <w:p w14:paraId="6AE4B140">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5</w:t>
            </w:r>
            <w:r>
              <w:rPr>
                <w:rFonts w:ascii="Times New Roman" w:hAnsi="Times New Roman"/>
                <w:color w:val="auto"/>
              </w:rPr>
              <w:t>个</w:t>
            </w:r>
          </w:p>
        </w:tc>
        <w:tc>
          <w:tcPr>
            <w:tcW w:w="4320" w:type="dxa"/>
            <w:tcBorders>
              <w:tl2br w:val="nil"/>
              <w:tr2bl w:val="nil"/>
            </w:tcBorders>
            <w:vAlign w:val="center"/>
          </w:tcPr>
          <w:p w14:paraId="6270D65D">
            <w:pPr>
              <w:jc w:val="center"/>
              <w:rPr>
                <w:color w:val="auto"/>
              </w:rPr>
            </w:pPr>
            <w:r>
              <w:rPr>
                <w:color w:val="auto"/>
              </w:rPr>
              <w:t>车间、仓库</w:t>
            </w:r>
          </w:p>
        </w:tc>
      </w:tr>
      <w:tr w14:paraId="6D4479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3FAAC61">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32B3D5A3">
            <w:pPr>
              <w:pStyle w:val="118"/>
              <w:spacing w:line="240" w:lineRule="auto"/>
              <w:jc w:val="both"/>
              <w:rPr>
                <w:rFonts w:ascii="Times New Roman" w:hAnsi="Times New Roman"/>
                <w:color w:val="auto"/>
              </w:rPr>
            </w:pPr>
          </w:p>
        </w:tc>
        <w:tc>
          <w:tcPr>
            <w:tcW w:w="1631" w:type="dxa"/>
            <w:tcBorders>
              <w:tl2br w:val="nil"/>
              <w:tr2bl w:val="nil"/>
            </w:tcBorders>
            <w:vAlign w:val="center"/>
          </w:tcPr>
          <w:p w14:paraId="3817A43C">
            <w:pPr>
              <w:pStyle w:val="118"/>
              <w:spacing w:line="240" w:lineRule="auto"/>
              <w:ind w:firstLine="0"/>
              <w:rPr>
                <w:rFonts w:ascii="Times New Roman" w:hAnsi="Times New Roman"/>
                <w:color w:val="auto"/>
              </w:rPr>
            </w:pPr>
            <w:r>
              <w:rPr>
                <w:rFonts w:ascii="Times New Roman" w:hAnsi="Times New Roman"/>
                <w:color w:val="auto"/>
              </w:rPr>
              <w:t>耐高温服</w:t>
            </w:r>
          </w:p>
        </w:tc>
        <w:tc>
          <w:tcPr>
            <w:tcW w:w="1187" w:type="dxa"/>
            <w:tcBorders>
              <w:tl2br w:val="nil"/>
              <w:tr2bl w:val="nil"/>
            </w:tcBorders>
            <w:vAlign w:val="center"/>
          </w:tcPr>
          <w:p w14:paraId="7E04595A">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6</w:t>
            </w:r>
            <w:r>
              <w:rPr>
                <w:rFonts w:ascii="Times New Roman" w:hAnsi="Times New Roman"/>
                <w:color w:val="auto"/>
              </w:rPr>
              <w:t>套</w:t>
            </w:r>
          </w:p>
        </w:tc>
        <w:tc>
          <w:tcPr>
            <w:tcW w:w="4320" w:type="dxa"/>
            <w:tcBorders>
              <w:tl2br w:val="nil"/>
              <w:tr2bl w:val="nil"/>
            </w:tcBorders>
            <w:vAlign w:val="center"/>
          </w:tcPr>
          <w:p w14:paraId="07E4BD72">
            <w:pPr>
              <w:jc w:val="center"/>
              <w:rPr>
                <w:color w:val="auto"/>
              </w:rPr>
            </w:pPr>
            <w:r>
              <w:rPr>
                <w:color w:val="auto"/>
              </w:rPr>
              <w:t>车间、仓库</w:t>
            </w:r>
          </w:p>
        </w:tc>
      </w:tr>
      <w:tr w14:paraId="607B76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76FCFC0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25E51AB">
            <w:pPr>
              <w:pStyle w:val="118"/>
              <w:spacing w:line="240" w:lineRule="auto"/>
              <w:jc w:val="both"/>
              <w:rPr>
                <w:rFonts w:ascii="Times New Roman" w:hAnsi="Times New Roman"/>
                <w:color w:val="auto"/>
              </w:rPr>
            </w:pPr>
          </w:p>
        </w:tc>
        <w:tc>
          <w:tcPr>
            <w:tcW w:w="1631" w:type="dxa"/>
            <w:tcBorders>
              <w:tl2br w:val="nil"/>
              <w:tr2bl w:val="nil"/>
            </w:tcBorders>
            <w:vAlign w:val="center"/>
          </w:tcPr>
          <w:p w14:paraId="576FE9F5">
            <w:pPr>
              <w:pStyle w:val="118"/>
              <w:spacing w:line="240" w:lineRule="auto"/>
              <w:ind w:firstLine="0"/>
              <w:rPr>
                <w:rFonts w:ascii="Times New Roman" w:hAnsi="Times New Roman"/>
                <w:color w:val="auto"/>
              </w:rPr>
            </w:pPr>
            <w:r>
              <w:rPr>
                <w:rFonts w:ascii="Times New Roman" w:hAnsi="Times New Roman"/>
                <w:color w:val="auto"/>
              </w:rPr>
              <w:t>正压式送风机</w:t>
            </w:r>
          </w:p>
        </w:tc>
        <w:tc>
          <w:tcPr>
            <w:tcW w:w="1187" w:type="dxa"/>
            <w:tcBorders>
              <w:tl2br w:val="nil"/>
              <w:tr2bl w:val="nil"/>
            </w:tcBorders>
            <w:vAlign w:val="center"/>
          </w:tcPr>
          <w:p w14:paraId="7B6F37DD">
            <w:pPr>
              <w:pStyle w:val="118"/>
              <w:spacing w:line="240" w:lineRule="auto"/>
              <w:ind w:firstLine="0"/>
              <w:rPr>
                <w:rFonts w:ascii="Times New Roman" w:hAnsi="Times New Roman"/>
                <w:color w:val="auto"/>
              </w:rPr>
            </w:pPr>
            <w:r>
              <w:rPr>
                <w:rFonts w:ascii="Times New Roman" w:hAnsi="Times New Roman"/>
                <w:color w:val="auto"/>
              </w:rPr>
              <w:t>1台</w:t>
            </w:r>
          </w:p>
        </w:tc>
        <w:tc>
          <w:tcPr>
            <w:tcW w:w="4320" w:type="dxa"/>
            <w:tcBorders>
              <w:tl2br w:val="nil"/>
              <w:tr2bl w:val="nil"/>
            </w:tcBorders>
            <w:vAlign w:val="center"/>
          </w:tcPr>
          <w:p w14:paraId="74BF0DA5">
            <w:pPr>
              <w:jc w:val="center"/>
              <w:rPr>
                <w:color w:val="auto"/>
              </w:rPr>
            </w:pPr>
            <w:r>
              <w:rPr>
                <w:color w:val="auto"/>
              </w:rPr>
              <w:t>车间、仓库</w:t>
            </w:r>
          </w:p>
        </w:tc>
      </w:tr>
      <w:tr w14:paraId="19C920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616" w:type="dxa"/>
            <w:vMerge w:val="continue"/>
            <w:tcBorders>
              <w:tl2br w:val="nil"/>
              <w:tr2bl w:val="nil"/>
            </w:tcBorders>
            <w:vAlign w:val="center"/>
          </w:tcPr>
          <w:p w14:paraId="7B815E3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2D092CC4">
            <w:pPr>
              <w:pStyle w:val="118"/>
              <w:spacing w:line="240" w:lineRule="auto"/>
              <w:jc w:val="both"/>
              <w:rPr>
                <w:rFonts w:ascii="Times New Roman" w:hAnsi="Times New Roman"/>
                <w:color w:val="auto"/>
              </w:rPr>
            </w:pPr>
          </w:p>
        </w:tc>
        <w:tc>
          <w:tcPr>
            <w:tcW w:w="1631" w:type="dxa"/>
            <w:tcBorders>
              <w:tl2br w:val="nil"/>
              <w:tr2bl w:val="nil"/>
            </w:tcBorders>
            <w:vAlign w:val="center"/>
          </w:tcPr>
          <w:p w14:paraId="5407368A">
            <w:pPr>
              <w:pStyle w:val="118"/>
              <w:spacing w:line="240" w:lineRule="auto"/>
              <w:ind w:firstLine="0"/>
              <w:rPr>
                <w:rFonts w:ascii="Times New Roman" w:hAnsi="Times New Roman"/>
                <w:color w:val="auto"/>
              </w:rPr>
            </w:pPr>
            <w:r>
              <w:rPr>
                <w:rFonts w:ascii="Times New Roman" w:hAnsi="Times New Roman"/>
                <w:color w:val="auto"/>
              </w:rPr>
              <w:t>防火服</w:t>
            </w:r>
          </w:p>
        </w:tc>
        <w:tc>
          <w:tcPr>
            <w:tcW w:w="1187" w:type="dxa"/>
            <w:tcBorders>
              <w:tl2br w:val="nil"/>
              <w:tr2bl w:val="nil"/>
            </w:tcBorders>
            <w:vAlign w:val="center"/>
          </w:tcPr>
          <w:p w14:paraId="33C43615">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套</w:t>
            </w:r>
          </w:p>
        </w:tc>
        <w:tc>
          <w:tcPr>
            <w:tcW w:w="4320" w:type="dxa"/>
            <w:tcBorders>
              <w:tl2br w:val="nil"/>
              <w:tr2bl w:val="nil"/>
            </w:tcBorders>
            <w:vAlign w:val="center"/>
          </w:tcPr>
          <w:p w14:paraId="095B9754">
            <w:pPr>
              <w:jc w:val="center"/>
              <w:rPr>
                <w:color w:val="auto"/>
              </w:rPr>
            </w:pPr>
            <w:r>
              <w:rPr>
                <w:color w:val="auto"/>
              </w:rPr>
              <w:t>车间、仓库</w:t>
            </w:r>
          </w:p>
        </w:tc>
      </w:tr>
      <w:tr w14:paraId="7B639D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6C55C7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1C787122">
            <w:pPr>
              <w:pStyle w:val="118"/>
              <w:spacing w:line="240" w:lineRule="auto"/>
              <w:jc w:val="both"/>
              <w:rPr>
                <w:rFonts w:ascii="Times New Roman" w:hAnsi="Times New Roman"/>
                <w:color w:val="auto"/>
              </w:rPr>
            </w:pPr>
          </w:p>
        </w:tc>
        <w:tc>
          <w:tcPr>
            <w:tcW w:w="1631" w:type="dxa"/>
            <w:tcBorders>
              <w:tl2br w:val="nil"/>
              <w:tr2bl w:val="nil"/>
            </w:tcBorders>
            <w:vAlign w:val="center"/>
          </w:tcPr>
          <w:p w14:paraId="5398F885">
            <w:pPr>
              <w:pStyle w:val="118"/>
              <w:spacing w:line="240" w:lineRule="auto"/>
              <w:ind w:firstLine="0"/>
              <w:rPr>
                <w:rFonts w:ascii="Times New Roman" w:hAnsi="Times New Roman"/>
                <w:color w:val="auto"/>
              </w:rPr>
            </w:pPr>
            <w:r>
              <w:rPr>
                <w:rFonts w:ascii="Times New Roman" w:hAnsi="Times New Roman"/>
                <w:color w:val="auto"/>
              </w:rPr>
              <w:t>应急急救药箱</w:t>
            </w:r>
          </w:p>
        </w:tc>
        <w:tc>
          <w:tcPr>
            <w:tcW w:w="1187" w:type="dxa"/>
            <w:tcBorders>
              <w:tl2br w:val="nil"/>
              <w:tr2bl w:val="nil"/>
            </w:tcBorders>
            <w:vAlign w:val="center"/>
          </w:tcPr>
          <w:p w14:paraId="2E82F7FC">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2</w:t>
            </w:r>
            <w:r>
              <w:rPr>
                <w:rFonts w:ascii="Times New Roman" w:hAnsi="Times New Roman"/>
                <w:color w:val="auto"/>
              </w:rPr>
              <w:t>个</w:t>
            </w:r>
          </w:p>
        </w:tc>
        <w:tc>
          <w:tcPr>
            <w:tcW w:w="4320" w:type="dxa"/>
            <w:tcBorders>
              <w:tl2br w:val="nil"/>
              <w:tr2bl w:val="nil"/>
            </w:tcBorders>
            <w:vAlign w:val="center"/>
          </w:tcPr>
          <w:p w14:paraId="71704713">
            <w:pPr>
              <w:jc w:val="center"/>
              <w:rPr>
                <w:color w:val="auto"/>
              </w:rPr>
            </w:pPr>
            <w:r>
              <w:rPr>
                <w:color w:val="auto"/>
              </w:rPr>
              <w:t>车间、仓库</w:t>
            </w:r>
          </w:p>
        </w:tc>
      </w:tr>
      <w:tr w14:paraId="73D00B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79E7CF0">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62BCEA4">
            <w:pPr>
              <w:pStyle w:val="118"/>
              <w:spacing w:line="240" w:lineRule="auto"/>
              <w:jc w:val="both"/>
              <w:rPr>
                <w:rFonts w:ascii="Times New Roman" w:hAnsi="Times New Roman"/>
                <w:color w:val="auto"/>
              </w:rPr>
            </w:pPr>
          </w:p>
        </w:tc>
        <w:tc>
          <w:tcPr>
            <w:tcW w:w="1631" w:type="dxa"/>
            <w:tcBorders>
              <w:tl2br w:val="nil"/>
              <w:tr2bl w:val="nil"/>
            </w:tcBorders>
            <w:vAlign w:val="center"/>
          </w:tcPr>
          <w:p w14:paraId="69A3400B">
            <w:pPr>
              <w:pStyle w:val="118"/>
              <w:spacing w:line="240" w:lineRule="auto"/>
              <w:ind w:firstLine="0"/>
              <w:rPr>
                <w:rFonts w:ascii="Times New Roman" w:hAnsi="Times New Roman"/>
                <w:color w:val="auto"/>
              </w:rPr>
            </w:pPr>
            <w:r>
              <w:rPr>
                <w:rFonts w:ascii="Times New Roman" w:hAnsi="Times New Roman"/>
                <w:color w:val="auto"/>
              </w:rPr>
              <w:t>氧气袋</w:t>
            </w:r>
          </w:p>
        </w:tc>
        <w:tc>
          <w:tcPr>
            <w:tcW w:w="1187" w:type="dxa"/>
            <w:tcBorders>
              <w:tl2br w:val="nil"/>
              <w:tr2bl w:val="nil"/>
            </w:tcBorders>
            <w:vAlign w:val="center"/>
          </w:tcPr>
          <w:p w14:paraId="36DCD75D">
            <w:pPr>
              <w:pStyle w:val="118"/>
              <w:spacing w:line="240" w:lineRule="auto"/>
              <w:ind w:firstLine="0"/>
              <w:rPr>
                <w:rFonts w:ascii="Times New Roman" w:hAnsi="Times New Roman"/>
                <w:color w:val="auto"/>
              </w:rPr>
            </w:pPr>
            <w:r>
              <w:rPr>
                <w:rFonts w:ascii="Times New Roman" w:hAnsi="Times New Roman"/>
                <w:color w:val="auto"/>
              </w:rPr>
              <w:t>2袋</w:t>
            </w:r>
          </w:p>
        </w:tc>
        <w:tc>
          <w:tcPr>
            <w:tcW w:w="4320" w:type="dxa"/>
            <w:tcBorders>
              <w:tl2br w:val="nil"/>
              <w:tr2bl w:val="nil"/>
            </w:tcBorders>
            <w:vAlign w:val="center"/>
          </w:tcPr>
          <w:p w14:paraId="513EDDCE">
            <w:pPr>
              <w:jc w:val="center"/>
              <w:rPr>
                <w:color w:val="auto"/>
              </w:rPr>
            </w:pPr>
            <w:r>
              <w:rPr>
                <w:color w:val="auto"/>
              </w:rPr>
              <w:t>车间、仓库</w:t>
            </w:r>
          </w:p>
        </w:tc>
      </w:tr>
      <w:tr w14:paraId="3B5585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F588A74">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2C4306C">
            <w:pPr>
              <w:pStyle w:val="118"/>
              <w:spacing w:line="240" w:lineRule="auto"/>
              <w:jc w:val="both"/>
              <w:rPr>
                <w:rFonts w:ascii="Times New Roman" w:hAnsi="Times New Roman"/>
                <w:color w:val="auto"/>
              </w:rPr>
            </w:pPr>
          </w:p>
        </w:tc>
        <w:tc>
          <w:tcPr>
            <w:tcW w:w="1631" w:type="dxa"/>
            <w:tcBorders>
              <w:tl2br w:val="nil"/>
              <w:tr2bl w:val="nil"/>
            </w:tcBorders>
            <w:vAlign w:val="center"/>
          </w:tcPr>
          <w:p w14:paraId="4B82867C">
            <w:pPr>
              <w:pStyle w:val="118"/>
              <w:spacing w:line="240" w:lineRule="auto"/>
              <w:ind w:firstLine="0"/>
              <w:rPr>
                <w:rFonts w:ascii="Times New Roman" w:hAnsi="Times New Roman"/>
                <w:color w:val="auto"/>
              </w:rPr>
            </w:pPr>
            <w:r>
              <w:rPr>
                <w:rFonts w:ascii="Times New Roman" w:hAnsi="Times New Roman"/>
                <w:color w:val="auto"/>
              </w:rPr>
              <w:t>担架</w:t>
            </w:r>
          </w:p>
        </w:tc>
        <w:tc>
          <w:tcPr>
            <w:tcW w:w="1187" w:type="dxa"/>
            <w:tcBorders>
              <w:tl2br w:val="nil"/>
              <w:tr2bl w:val="nil"/>
            </w:tcBorders>
            <w:vAlign w:val="center"/>
          </w:tcPr>
          <w:p w14:paraId="696E286C">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1</w:t>
            </w:r>
            <w:r>
              <w:rPr>
                <w:rFonts w:ascii="Times New Roman" w:hAnsi="Times New Roman"/>
                <w:color w:val="auto"/>
              </w:rPr>
              <w:t>个</w:t>
            </w:r>
          </w:p>
        </w:tc>
        <w:tc>
          <w:tcPr>
            <w:tcW w:w="4320" w:type="dxa"/>
            <w:tcBorders>
              <w:tl2br w:val="nil"/>
              <w:tr2bl w:val="nil"/>
            </w:tcBorders>
            <w:vAlign w:val="center"/>
          </w:tcPr>
          <w:p w14:paraId="4211AE38">
            <w:pPr>
              <w:jc w:val="center"/>
              <w:rPr>
                <w:color w:val="auto"/>
              </w:rPr>
            </w:pPr>
            <w:r>
              <w:rPr>
                <w:color w:val="auto"/>
              </w:rPr>
              <w:t>车间、仓库</w:t>
            </w:r>
          </w:p>
        </w:tc>
      </w:tr>
      <w:tr w14:paraId="5477B4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AE66342">
            <w:pPr>
              <w:pStyle w:val="118"/>
              <w:spacing w:line="240" w:lineRule="auto"/>
              <w:rPr>
                <w:rFonts w:ascii="Times New Roman" w:hAnsi="Times New Roman"/>
                <w:color w:val="auto"/>
              </w:rPr>
            </w:pPr>
          </w:p>
        </w:tc>
        <w:tc>
          <w:tcPr>
            <w:tcW w:w="1480" w:type="dxa"/>
            <w:vMerge w:val="restart"/>
            <w:tcBorders>
              <w:tl2br w:val="nil"/>
              <w:tr2bl w:val="nil"/>
            </w:tcBorders>
            <w:vAlign w:val="center"/>
          </w:tcPr>
          <w:p w14:paraId="537AC7D9">
            <w:pPr>
              <w:pStyle w:val="118"/>
              <w:spacing w:line="240" w:lineRule="auto"/>
              <w:ind w:firstLine="0"/>
              <w:rPr>
                <w:rFonts w:ascii="Times New Roman" w:hAnsi="Times New Roman"/>
                <w:color w:val="auto"/>
              </w:rPr>
            </w:pPr>
            <w:r>
              <w:rPr>
                <w:rFonts w:ascii="Times New Roman" w:hAnsi="Times New Roman"/>
                <w:color w:val="auto"/>
              </w:rPr>
              <w:t>应急检测</w:t>
            </w:r>
          </w:p>
        </w:tc>
        <w:tc>
          <w:tcPr>
            <w:tcW w:w="1631" w:type="dxa"/>
            <w:tcBorders>
              <w:tl2br w:val="nil"/>
              <w:tr2bl w:val="nil"/>
            </w:tcBorders>
            <w:vAlign w:val="center"/>
          </w:tcPr>
          <w:p w14:paraId="2851A6C0">
            <w:pPr>
              <w:pStyle w:val="118"/>
              <w:spacing w:line="240" w:lineRule="auto"/>
              <w:ind w:firstLine="0"/>
              <w:rPr>
                <w:rFonts w:ascii="Times New Roman" w:hAnsi="Times New Roman"/>
                <w:color w:val="auto"/>
              </w:rPr>
            </w:pPr>
            <w:r>
              <w:rPr>
                <w:rFonts w:ascii="Times New Roman" w:hAnsi="Times New Roman"/>
                <w:color w:val="auto"/>
              </w:rPr>
              <w:t>便携式</w:t>
            </w:r>
            <w:r>
              <w:rPr>
                <w:rFonts w:hint="eastAsia" w:ascii="Times New Roman" w:hAnsi="Times New Roman"/>
                <w:color w:val="auto"/>
                <w:lang w:val="en-US" w:eastAsia="zh-CN"/>
              </w:rPr>
              <w:t>辐射监测</w:t>
            </w:r>
            <w:r>
              <w:rPr>
                <w:rFonts w:ascii="Times New Roman" w:hAnsi="Times New Roman"/>
                <w:color w:val="auto"/>
              </w:rPr>
              <w:t>仪</w:t>
            </w:r>
          </w:p>
        </w:tc>
        <w:tc>
          <w:tcPr>
            <w:tcW w:w="1187" w:type="dxa"/>
            <w:tcBorders>
              <w:tl2br w:val="nil"/>
              <w:tr2bl w:val="nil"/>
            </w:tcBorders>
            <w:vAlign w:val="center"/>
          </w:tcPr>
          <w:p w14:paraId="5F76E233">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1</w:t>
            </w:r>
            <w:r>
              <w:rPr>
                <w:rFonts w:ascii="Times New Roman" w:hAnsi="Times New Roman"/>
                <w:color w:val="auto"/>
              </w:rPr>
              <w:t>台</w:t>
            </w:r>
          </w:p>
        </w:tc>
        <w:tc>
          <w:tcPr>
            <w:tcW w:w="4320" w:type="dxa"/>
            <w:tcBorders>
              <w:tl2br w:val="nil"/>
              <w:tr2bl w:val="nil"/>
            </w:tcBorders>
            <w:vAlign w:val="center"/>
          </w:tcPr>
          <w:p w14:paraId="6ED09F2F">
            <w:pPr>
              <w:jc w:val="center"/>
              <w:rPr>
                <w:color w:val="auto"/>
              </w:rPr>
            </w:pPr>
            <w:r>
              <w:rPr>
                <w:color w:val="auto"/>
              </w:rPr>
              <w:t>厂区</w:t>
            </w:r>
          </w:p>
        </w:tc>
      </w:tr>
      <w:tr w14:paraId="040A6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F4338CF">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20E707C3">
            <w:pPr>
              <w:pStyle w:val="118"/>
              <w:spacing w:line="240" w:lineRule="auto"/>
              <w:rPr>
                <w:rFonts w:ascii="Times New Roman" w:hAnsi="Times New Roman"/>
                <w:color w:val="auto"/>
              </w:rPr>
            </w:pPr>
          </w:p>
        </w:tc>
        <w:tc>
          <w:tcPr>
            <w:tcW w:w="1631" w:type="dxa"/>
            <w:tcBorders>
              <w:tl2br w:val="nil"/>
              <w:tr2bl w:val="nil"/>
            </w:tcBorders>
            <w:vAlign w:val="center"/>
          </w:tcPr>
          <w:p w14:paraId="5A217DE8">
            <w:pPr>
              <w:pStyle w:val="118"/>
              <w:spacing w:line="240" w:lineRule="auto"/>
              <w:ind w:firstLine="0"/>
              <w:rPr>
                <w:rFonts w:ascii="Times New Roman" w:hAnsi="Times New Roman"/>
                <w:color w:val="auto"/>
              </w:rPr>
            </w:pPr>
            <w:r>
              <w:rPr>
                <w:rFonts w:ascii="Times New Roman" w:hAnsi="Times New Roman"/>
                <w:color w:val="auto"/>
              </w:rPr>
              <w:t>可燃气体检测器</w:t>
            </w:r>
          </w:p>
        </w:tc>
        <w:tc>
          <w:tcPr>
            <w:tcW w:w="1187" w:type="dxa"/>
            <w:tcBorders>
              <w:tl2br w:val="nil"/>
              <w:tr2bl w:val="nil"/>
            </w:tcBorders>
            <w:vAlign w:val="center"/>
          </w:tcPr>
          <w:p w14:paraId="51E824B7">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2</w:t>
            </w:r>
            <w:r>
              <w:rPr>
                <w:rFonts w:ascii="Times New Roman" w:hAnsi="Times New Roman"/>
                <w:color w:val="auto"/>
              </w:rPr>
              <w:t>个</w:t>
            </w:r>
          </w:p>
        </w:tc>
        <w:tc>
          <w:tcPr>
            <w:tcW w:w="4320" w:type="dxa"/>
            <w:tcBorders>
              <w:tl2br w:val="nil"/>
              <w:tr2bl w:val="nil"/>
            </w:tcBorders>
            <w:vAlign w:val="center"/>
          </w:tcPr>
          <w:p w14:paraId="51D56ED9">
            <w:pPr>
              <w:jc w:val="center"/>
              <w:rPr>
                <w:color w:val="auto"/>
              </w:rPr>
            </w:pPr>
            <w:r>
              <w:rPr>
                <w:color w:val="auto"/>
              </w:rPr>
              <w:t>厂区</w:t>
            </w:r>
          </w:p>
        </w:tc>
      </w:tr>
      <w:tr w14:paraId="4AB7FF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81C459C">
            <w:pPr>
              <w:pStyle w:val="118"/>
              <w:spacing w:line="240" w:lineRule="auto"/>
              <w:rPr>
                <w:rFonts w:ascii="Times New Roman" w:hAnsi="Times New Roman"/>
                <w:color w:val="auto"/>
              </w:rPr>
            </w:pPr>
          </w:p>
        </w:tc>
        <w:tc>
          <w:tcPr>
            <w:tcW w:w="1480" w:type="dxa"/>
            <w:vMerge w:val="restart"/>
            <w:tcBorders>
              <w:tl2br w:val="nil"/>
              <w:tr2bl w:val="nil"/>
            </w:tcBorders>
            <w:vAlign w:val="center"/>
          </w:tcPr>
          <w:p w14:paraId="4FA75819">
            <w:pPr>
              <w:pStyle w:val="118"/>
              <w:spacing w:line="240" w:lineRule="auto"/>
              <w:ind w:firstLine="0"/>
              <w:rPr>
                <w:rFonts w:ascii="Times New Roman" w:hAnsi="Times New Roman"/>
                <w:color w:val="auto"/>
              </w:rPr>
            </w:pPr>
            <w:r>
              <w:rPr>
                <w:rFonts w:ascii="Times New Roman" w:hAnsi="Times New Roman"/>
                <w:color w:val="auto"/>
              </w:rPr>
              <w:t>应急通信和指挥</w:t>
            </w:r>
          </w:p>
        </w:tc>
        <w:tc>
          <w:tcPr>
            <w:tcW w:w="1631" w:type="dxa"/>
            <w:tcBorders>
              <w:tl2br w:val="nil"/>
              <w:tr2bl w:val="nil"/>
            </w:tcBorders>
            <w:vAlign w:val="center"/>
          </w:tcPr>
          <w:p w14:paraId="61EB9C88">
            <w:pPr>
              <w:pStyle w:val="118"/>
              <w:spacing w:line="240" w:lineRule="auto"/>
              <w:ind w:firstLine="0"/>
              <w:rPr>
                <w:rFonts w:ascii="Times New Roman" w:hAnsi="Times New Roman"/>
                <w:color w:val="auto"/>
              </w:rPr>
            </w:pPr>
            <w:r>
              <w:rPr>
                <w:rFonts w:ascii="Times New Roman" w:hAnsi="Times New Roman"/>
                <w:color w:val="auto"/>
              </w:rPr>
              <w:t>值班车</w:t>
            </w:r>
          </w:p>
        </w:tc>
        <w:tc>
          <w:tcPr>
            <w:tcW w:w="1187" w:type="dxa"/>
            <w:tcBorders>
              <w:tl2br w:val="nil"/>
              <w:tr2bl w:val="nil"/>
            </w:tcBorders>
            <w:vAlign w:val="center"/>
          </w:tcPr>
          <w:p w14:paraId="26E10B5D">
            <w:pPr>
              <w:pStyle w:val="118"/>
              <w:spacing w:line="240" w:lineRule="auto"/>
              <w:ind w:firstLine="0"/>
              <w:rPr>
                <w:rFonts w:ascii="Times New Roman" w:hAnsi="Times New Roman"/>
                <w:color w:val="auto"/>
              </w:rPr>
            </w:pPr>
            <w:r>
              <w:rPr>
                <w:rFonts w:ascii="Times New Roman" w:hAnsi="Times New Roman"/>
                <w:color w:val="auto"/>
              </w:rPr>
              <w:t>2辆</w:t>
            </w:r>
          </w:p>
        </w:tc>
        <w:tc>
          <w:tcPr>
            <w:tcW w:w="4320" w:type="dxa"/>
            <w:tcBorders>
              <w:tl2br w:val="nil"/>
              <w:tr2bl w:val="nil"/>
            </w:tcBorders>
            <w:vAlign w:val="center"/>
          </w:tcPr>
          <w:p w14:paraId="227DAF3A">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09691C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FD6F991">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530F1FD">
            <w:pPr>
              <w:pStyle w:val="118"/>
              <w:spacing w:line="240" w:lineRule="auto"/>
              <w:rPr>
                <w:rFonts w:ascii="Times New Roman" w:hAnsi="Times New Roman"/>
                <w:color w:val="auto"/>
              </w:rPr>
            </w:pPr>
          </w:p>
        </w:tc>
        <w:tc>
          <w:tcPr>
            <w:tcW w:w="1631" w:type="dxa"/>
            <w:tcBorders>
              <w:tl2br w:val="nil"/>
              <w:tr2bl w:val="nil"/>
            </w:tcBorders>
            <w:vAlign w:val="center"/>
          </w:tcPr>
          <w:p w14:paraId="01C0473D">
            <w:pPr>
              <w:pStyle w:val="118"/>
              <w:spacing w:line="240" w:lineRule="auto"/>
              <w:ind w:firstLine="0"/>
              <w:rPr>
                <w:rFonts w:ascii="Times New Roman" w:hAnsi="Times New Roman"/>
                <w:color w:val="auto"/>
              </w:rPr>
            </w:pPr>
            <w:r>
              <w:rPr>
                <w:rFonts w:ascii="Times New Roman" w:hAnsi="Times New Roman"/>
                <w:color w:val="auto"/>
              </w:rPr>
              <w:t>监控视频</w:t>
            </w:r>
          </w:p>
        </w:tc>
        <w:tc>
          <w:tcPr>
            <w:tcW w:w="1187" w:type="dxa"/>
            <w:tcBorders>
              <w:tl2br w:val="nil"/>
              <w:tr2bl w:val="nil"/>
            </w:tcBorders>
            <w:vAlign w:val="center"/>
          </w:tcPr>
          <w:p w14:paraId="487997D9">
            <w:pPr>
              <w:pStyle w:val="118"/>
              <w:spacing w:line="240" w:lineRule="auto"/>
              <w:ind w:firstLine="0"/>
              <w:rPr>
                <w:rFonts w:ascii="Times New Roman" w:hAnsi="Times New Roman"/>
                <w:color w:val="auto"/>
              </w:rPr>
            </w:pPr>
            <w:r>
              <w:rPr>
                <w:rFonts w:ascii="Times New Roman" w:hAnsi="Times New Roman"/>
                <w:color w:val="auto"/>
              </w:rPr>
              <w:t>1套</w:t>
            </w:r>
          </w:p>
        </w:tc>
        <w:tc>
          <w:tcPr>
            <w:tcW w:w="4320" w:type="dxa"/>
            <w:tcBorders>
              <w:tl2br w:val="nil"/>
              <w:tr2bl w:val="nil"/>
            </w:tcBorders>
            <w:vAlign w:val="center"/>
          </w:tcPr>
          <w:p w14:paraId="7BC32B82">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510FC1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207B1BE2">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2DE98212">
            <w:pPr>
              <w:pStyle w:val="118"/>
              <w:spacing w:line="240" w:lineRule="auto"/>
              <w:rPr>
                <w:rFonts w:ascii="Times New Roman" w:hAnsi="Times New Roman"/>
                <w:color w:val="auto"/>
              </w:rPr>
            </w:pPr>
          </w:p>
        </w:tc>
        <w:tc>
          <w:tcPr>
            <w:tcW w:w="1631" w:type="dxa"/>
            <w:tcBorders>
              <w:tl2br w:val="nil"/>
              <w:tr2bl w:val="nil"/>
            </w:tcBorders>
            <w:vAlign w:val="center"/>
          </w:tcPr>
          <w:p w14:paraId="722FC5A0">
            <w:pPr>
              <w:pStyle w:val="118"/>
              <w:spacing w:line="240" w:lineRule="auto"/>
              <w:ind w:firstLine="0"/>
              <w:rPr>
                <w:rFonts w:ascii="Times New Roman" w:hAnsi="Times New Roman"/>
                <w:color w:val="auto"/>
              </w:rPr>
            </w:pPr>
            <w:r>
              <w:rPr>
                <w:rFonts w:ascii="Times New Roman" w:hAnsi="Times New Roman"/>
                <w:color w:val="auto"/>
              </w:rPr>
              <w:t>对讲机</w:t>
            </w:r>
          </w:p>
        </w:tc>
        <w:tc>
          <w:tcPr>
            <w:tcW w:w="1187" w:type="dxa"/>
            <w:tcBorders>
              <w:tl2br w:val="nil"/>
              <w:tr2bl w:val="nil"/>
            </w:tcBorders>
            <w:vAlign w:val="center"/>
          </w:tcPr>
          <w:p w14:paraId="2DBD8A34">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8</w:t>
            </w:r>
            <w:r>
              <w:rPr>
                <w:rFonts w:ascii="Times New Roman" w:hAnsi="Times New Roman"/>
                <w:color w:val="auto"/>
              </w:rPr>
              <w:t>个</w:t>
            </w:r>
          </w:p>
        </w:tc>
        <w:tc>
          <w:tcPr>
            <w:tcW w:w="4320" w:type="dxa"/>
            <w:tcBorders>
              <w:tl2br w:val="nil"/>
              <w:tr2bl w:val="nil"/>
            </w:tcBorders>
            <w:vAlign w:val="center"/>
          </w:tcPr>
          <w:p w14:paraId="5B6BC920">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4E90CD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647DE13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C353BBE">
            <w:pPr>
              <w:pStyle w:val="118"/>
              <w:spacing w:line="240" w:lineRule="auto"/>
              <w:rPr>
                <w:rFonts w:ascii="Times New Roman" w:hAnsi="Times New Roman"/>
                <w:color w:val="auto"/>
              </w:rPr>
            </w:pPr>
          </w:p>
        </w:tc>
        <w:tc>
          <w:tcPr>
            <w:tcW w:w="1631" w:type="dxa"/>
            <w:tcBorders>
              <w:tl2br w:val="nil"/>
              <w:tr2bl w:val="nil"/>
            </w:tcBorders>
            <w:vAlign w:val="center"/>
          </w:tcPr>
          <w:p w14:paraId="3141B62D">
            <w:pPr>
              <w:pStyle w:val="118"/>
              <w:spacing w:line="240" w:lineRule="auto"/>
              <w:ind w:firstLine="0"/>
              <w:rPr>
                <w:rFonts w:ascii="Times New Roman" w:hAnsi="Times New Roman"/>
                <w:color w:val="auto"/>
              </w:rPr>
            </w:pPr>
            <w:r>
              <w:rPr>
                <w:rFonts w:ascii="Times New Roman" w:hAnsi="Times New Roman"/>
                <w:color w:val="auto"/>
              </w:rPr>
              <w:t>防爆型电筒</w:t>
            </w:r>
          </w:p>
        </w:tc>
        <w:tc>
          <w:tcPr>
            <w:tcW w:w="1187" w:type="dxa"/>
            <w:tcBorders>
              <w:tl2br w:val="nil"/>
              <w:tr2bl w:val="nil"/>
            </w:tcBorders>
            <w:vAlign w:val="center"/>
          </w:tcPr>
          <w:p w14:paraId="40F6A122">
            <w:pPr>
              <w:pStyle w:val="118"/>
              <w:spacing w:line="240" w:lineRule="auto"/>
              <w:ind w:firstLine="0"/>
              <w:rPr>
                <w:rFonts w:ascii="Times New Roman" w:hAnsi="Times New Roman"/>
                <w:color w:val="auto"/>
              </w:rPr>
            </w:pPr>
            <w:r>
              <w:rPr>
                <w:rFonts w:ascii="Times New Roman" w:hAnsi="Times New Roman"/>
                <w:color w:val="auto"/>
              </w:rPr>
              <w:t>6个</w:t>
            </w:r>
          </w:p>
        </w:tc>
        <w:tc>
          <w:tcPr>
            <w:tcW w:w="4320" w:type="dxa"/>
            <w:tcBorders>
              <w:tl2br w:val="nil"/>
              <w:tr2bl w:val="nil"/>
            </w:tcBorders>
            <w:vAlign w:val="center"/>
          </w:tcPr>
          <w:p w14:paraId="50906573">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5BA39B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24204190">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047FF534">
            <w:pPr>
              <w:pStyle w:val="118"/>
              <w:spacing w:line="240" w:lineRule="auto"/>
              <w:rPr>
                <w:rFonts w:ascii="Times New Roman" w:hAnsi="Times New Roman"/>
                <w:color w:val="auto"/>
              </w:rPr>
            </w:pPr>
          </w:p>
        </w:tc>
        <w:tc>
          <w:tcPr>
            <w:tcW w:w="1631" w:type="dxa"/>
            <w:tcBorders>
              <w:tl2br w:val="nil"/>
              <w:tr2bl w:val="nil"/>
            </w:tcBorders>
            <w:vAlign w:val="center"/>
          </w:tcPr>
          <w:p w14:paraId="3BEE6EBC">
            <w:pPr>
              <w:pStyle w:val="118"/>
              <w:spacing w:line="240" w:lineRule="auto"/>
              <w:ind w:firstLine="0"/>
              <w:rPr>
                <w:rFonts w:ascii="Times New Roman" w:hAnsi="Times New Roman"/>
                <w:color w:val="auto"/>
              </w:rPr>
            </w:pPr>
            <w:r>
              <w:rPr>
                <w:rFonts w:ascii="Times New Roman" w:hAnsi="Times New Roman"/>
                <w:color w:val="auto"/>
              </w:rPr>
              <w:t>现场应急电源和照明设备</w:t>
            </w:r>
          </w:p>
        </w:tc>
        <w:tc>
          <w:tcPr>
            <w:tcW w:w="1187" w:type="dxa"/>
            <w:tcBorders>
              <w:tl2br w:val="nil"/>
              <w:tr2bl w:val="nil"/>
            </w:tcBorders>
            <w:vAlign w:val="center"/>
          </w:tcPr>
          <w:p w14:paraId="451AE788">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14</w:t>
            </w:r>
            <w:r>
              <w:rPr>
                <w:rFonts w:ascii="Times New Roman" w:hAnsi="Times New Roman"/>
                <w:color w:val="auto"/>
              </w:rPr>
              <w:t>个</w:t>
            </w:r>
          </w:p>
        </w:tc>
        <w:tc>
          <w:tcPr>
            <w:tcW w:w="4320" w:type="dxa"/>
            <w:tcBorders>
              <w:tl2br w:val="nil"/>
              <w:tr2bl w:val="nil"/>
            </w:tcBorders>
            <w:vAlign w:val="center"/>
          </w:tcPr>
          <w:p w14:paraId="34311FF4">
            <w:pPr>
              <w:pStyle w:val="118"/>
              <w:spacing w:line="240" w:lineRule="auto"/>
              <w:ind w:firstLine="0"/>
              <w:rPr>
                <w:rFonts w:ascii="Times New Roman" w:hAnsi="Times New Roman"/>
                <w:color w:val="auto"/>
              </w:rPr>
            </w:pPr>
            <w:r>
              <w:rPr>
                <w:rFonts w:ascii="Times New Roman" w:hAnsi="Times New Roman"/>
                <w:color w:val="auto"/>
              </w:rPr>
              <w:t>应急物资库</w:t>
            </w:r>
          </w:p>
        </w:tc>
      </w:tr>
    </w:tbl>
    <w:p w14:paraId="66DF4506">
      <w:pPr>
        <w:jc w:val="left"/>
        <w:rPr>
          <w:b/>
          <w:bCs/>
          <w:color w:val="auto"/>
          <w:sz w:val="24"/>
        </w:rPr>
      </w:pPr>
    </w:p>
    <w:p w14:paraId="0699264C">
      <w:pPr>
        <w:spacing w:line="360" w:lineRule="auto"/>
        <w:jc w:val="left"/>
        <w:rPr>
          <w:b/>
          <w:bCs/>
          <w:color w:val="auto"/>
          <w:sz w:val="24"/>
        </w:rPr>
      </w:pPr>
      <w:r>
        <w:rPr>
          <w:b/>
          <w:bCs/>
          <w:color w:val="auto"/>
          <w:sz w:val="24"/>
        </w:rPr>
        <w:t>5.5.</w:t>
      </w:r>
      <w:r>
        <w:rPr>
          <w:rFonts w:hint="eastAsia"/>
          <w:b/>
          <w:bCs/>
          <w:color w:val="auto"/>
          <w:sz w:val="24"/>
          <w:lang w:val="en-US" w:eastAsia="zh-CN"/>
        </w:rPr>
        <w:t>3</w:t>
      </w:r>
      <w:r>
        <w:rPr>
          <w:b/>
          <w:bCs/>
          <w:color w:val="auto"/>
          <w:sz w:val="24"/>
        </w:rPr>
        <w:t>污染源监测计划</w:t>
      </w:r>
    </w:p>
    <w:p w14:paraId="135E0C16">
      <w:pPr>
        <w:spacing w:line="360" w:lineRule="auto"/>
        <w:jc w:val="both"/>
        <w:rPr>
          <w:rFonts w:hint="default" w:eastAsia="宋体"/>
          <w:b/>
          <w:bCs/>
          <w:color w:val="auto"/>
          <w:sz w:val="24"/>
          <w:lang w:val="en-US" w:eastAsia="zh-CN"/>
        </w:rPr>
      </w:pPr>
      <w:r>
        <w:rPr>
          <w:rFonts w:hint="eastAsia"/>
          <w:b/>
          <w:bCs/>
          <w:color w:val="auto"/>
          <w:sz w:val="24"/>
          <w:lang w:val="en-US" w:eastAsia="zh-CN"/>
        </w:rPr>
        <w:t>5.5.3.1 项目污染源监测计划</w:t>
      </w:r>
    </w:p>
    <w:p w14:paraId="37406199">
      <w:pPr>
        <w:spacing w:line="360" w:lineRule="auto"/>
        <w:ind w:firstLine="480" w:firstLineChars="200"/>
        <w:jc w:val="left"/>
        <w:rPr>
          <w:rFonts w:hint="default" w:eastAsia="宋体"/>
          <w:b w:val="0"/>
          <w:bCs w:val="0"/>
          <w:color w:val="auto"/>
          <w:sz w:val="24"/>
          <w:lang w:val="en-US" w:eastAsia="zh-CN"/>
        </w:rPr>
      </w:pPr>
      <w:r>
        <w:rPr>
          <w:rFonts w:hint="eastAsia"/>
          <w:b w:val="0"/>
          <w:bCs w:val="0"/>
          <w:color w:val="auto"/>
          <w:sz w:val="24"/>
          <w:lang w:val="en-US" w:eastAsia="zh-CN"/>
        </w:rPr>
        <w:t>项目污染源监测计划如下表所示：</w:t>
      </w:r>
    </w:p>
    <w:p w14:paraId="731BC9CC">
      <w:pPr>
        <w:spacing w:line="360" w:lineRule="auto"/>
        <w:jc w:val="center"/>
        <w:rPr>
          <w:b/>
          <w:bCs/>
          <w:color w:val="auto"/>
          <w:sz w:val="24"/>
        </w:rPr>
      </w:pPr>
      <w:r>
        <w:rPr>
          <w:b/>
          <w:bCs/>
          <w:color w:val="auto"/>
          <w:sz w:val="24"/>
        </w:rPr>
        <w:t>表5-</w:t>
      </w:r>
      <w:r>
        <w:rPr>
          <w:rFonts w:hint="eastAsia"/>
          <w:b/>
          <w:bCs/>
          <w:color w:val="auto"/>
          <w:sz w:val="24"/>
          <w:lang w:val="en-US" w:eastAsia="zh-CN"/>
        </w:rPr>
        <w:t>8</w:t>
      </w:r>
      <w:r>
        <w:rPr>
          <w:b/>
          <w:bCs/>
          <w:color w:val="auto"/>
          <w:sz w:val="24"/>
        </w:rPr>
        <w:t xml:space="preserve"> 项目污染源监测计划一览表</w:t>
      </w:r>
    </w:p>
    <w:tbl>
      <w:tblPr>
        <w:tblStyle w:val="31"/>
        <w:tblW w:w="4973"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409"/>
        <w:gridCol w:w="2480"/>
        <w:gridCol w:w="3374"/>
        <w:gridCol w:w="2645"/>
      </w:tblGrid>
      <w:tr w14:paraId="3463600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tcBorders>
              <w:tl2br w:val="nil"/>
              <w:tr2bl w:val="nil"/>
            </w:tcBorders>
            <w:vAlign w:val="center"/>
          </w:tcPr>
          <w:p w14:paraId="0C198F99">
            <w:pPr>
              <w:jc w:val="center"/>
              <w:rPr>
                <w:b/>
                <w:bCs/>
                <w:color w:val="auto"/>
              </w:rPr>
            </w:pPr>
            <w:r>
              <w:rPr>
                <w:b/>
                <w:bCs/>
                <w:color w:val="auto"/>
              </w:rPr>
              <w:t>环境要素</w:t>
            </w:r>
          </w:p>
        </w:tc>
        <w:tc>
          <w:tcPr>
            <w:tcW w:w="1251" w:type="pct"/>
            <w:tcBorders>
              <w:tl2br w:val="nil"/>
              <w:tr2bl w:val="nil"/>
            </w:tcBorders>
            <w:vAlign w:val="center"/>
          </w:tcPr>
          <w:p w14:paraId="4BA6970E">
            <w:pPr>
              <w:jc w:val="center"/>
              <w:rPr>
                <w:b/>
                <w:bCs/>
                <w:color w:val="auto"/>
              </w:rPr>
            </w:pPr>
            <w:r>
              <w:rPr>
                <w:b/>
                <w:bCs/>
                <w:color w:val="auto"/>
              </w:rPr>
              <w:t>监测位置</w:t>
            </w:r>
          </w:p>
        </w:tc>
        <w:tc>
          <w:tcPr>
            <w:tcW w:w="1702" w:type="pct"/>
            <w:tcBorders>
              <w:tl2br w:val="nil"/>
              <w:tr2bl w:val="nil"/>
            </w:tcBorders>
            <w:vAlign w:val="center"/>
          </w:tcPr>
          <w:p w14:paraId="50FDCFF3">
            <w:pPr>
              <w:jc w:val="center"/>
              <w:rPr>
                <w:b/>
                <w:bCs/>
                <w:color w:val="auto"/>
              </w:rPr>
            </w:pPr>
            <w:r>
              <w:rPr>
                <w:b/>
                <w:bCs/>
                <w:color w:val="auto"/>
              </w:rPr>
              <w:t>监测项目</w:t>
            </w:r>
          </w:p>
        </w:tc>
        <w:tc>
          <w:tcPr>
            <w:tcW w:w="1334" w:type="pct"/>
            <w:tcBorders>
              <w:tl2br w:val="nil"/>
              <w:tr2bl w:val="nil"/>
            </w:tcBorders>
            <w:vAlign w:val="center"/>
          </w:tcPr>
          <w:p w14:paraId="341F6B47">
            <w:pPr>
              <w:jc w:val="center"/>
              <w:rPr>
                <w:b/>
                <w:bCs/>
                <w:color w:val="auto"/>
              </w:rPr>
            </w:pPr>
            <w:r>
              <w:rPr>
                <w:b/>
                <w:bCs/>
                <w:color w:val="auto"/>
              </w:rPr>
              <w:t>监测频次</w:t>
            </w:r>
          </w:p>
        </w:tc>
      </w:tr>
      <w:tr w14:paraId="277851A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restart"/>
            <w:tcBorders>
              <w:tl2br w:val="nil"/>
              <w:tr2bl w:val="nil"/>
            </w:tcBorders>
            <w:vAlign w:val="center"/>
          </w:tcPr>
          <w:p w14:paraId="6366DEB4">
            <w:pPr>
              <w:jc w:val="center"/>
              <w:rPr>
                <w:color w:val="auto"/>
              </w:rPr>
            </w:pPr>
            <w:r>
              <w:rPr>
                <w:color w:val="auto"/>
              </w:rPr>
              <w:t>废气</w:t>
            </w:r>
          </w:p>
        </w:tc>
        <w:tc>
          <w:tcPr>
            <w:tcW w:w="1251" w:type="pct"/>
            <w:vMerge w:val="restart"/>
            <w:tcBorders>
              <w:tl2br w:val="nil"/>
              <w:tr2bl w:val="nil"/>
            </w:tcBorders>
            <w:vAlign w:val="center"/>
          </w:tcPr>
          <w:p w14:paraId="7C7A7F25">
            <w:pPr>
              <w:jc w:val="center"/>
              <w:rPr>
                <w:color w:val="auto"/>
              </w:rPr>
            </w:pPr>
            <w:r>
              <w:rPr>
                <w:color w:val="auto"/>
              </w:rPr>
              <w:t>DA001</w:t>
            </w:r>
          </w:p>
        </w:tc>
        <w:tc>
          <w:tcPr>
            <w:tcW w:w="1702" w:type="pct"/>
            <w:tcBorders>
              <w:tl2br w:val="nil"/>
              <w:tr2bl w:val="nil"/>
            </w:tcBorders>
            <w:vAlign w:val="center"/>
          </w:tcPr>
          <w:p w14:paraId="026CB3E5">
            <w:pPr>
              <w:jc w:val="center"/>
              <w:rPr>
                <w:rFonts w:hint="default" w:eastAsia="宋体"/>
                <w:color w:val="auto"/>
                <w:lang w:val="en-US" w:eastAsia="zh-CN"/>
              </w:rPr>
            </w:pPr>
            <w:r>
              <w:rPr>
                <w:rFonts w:hint="eastAsia"/>
                <w:color w:val="auto"/>
                <w:lang w:val="en-US" w:eastAsia="zh-CN"/>
              </w:rPr>
              <w:t>颗粒物、二氧化硫、氮氧化物</w:t>
            </w:r>
          </w:p>
        </w:tc>
        <w:tc>
          <w:tcPr>
            <w:tcW w:w="1334" w:type="pct"/>
            <w:tcBorders>
              <w:tl2br w:val="nil"/>
              <w:tr2bl w:val="nil"/>
            </w:tcBorders>
            <w:vAlign w:val="center"/>
          </w:tcPr>
          <w:p w14:paraId="1F3DF8A3">
            <w:pPr>
              <w:jc w:val="center"/>
              <w:rPr>
                <w:rFonts w:hint="default" w:eastAsia="宋体"/>
                <w:color w:val="auto"/>
                <w:lang w:val="en-US" w:eastAsia="zh-CN"/>
              </w:rPr>
            </w:pPr>
            <w:r>
              <w:rPr>
                <w:rFonts w:hint="eastAsia"/>
                <w:color w:val="auto"/>
                <w:lang w:val="en-US" w:eastAsia="zh-CN"/>
              </w:rPr>
              <w:t>自动监测</w:t>
            </w:r>
          </w:p>
        </w:tc>
      </w:tr>
      <w:tr w14:paraId="69E4364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4C64E21F">
            <w:pPr>
              <w:jc w:val="center"/>
              <w:rPr>
                <w:color w:val="auto"/>
              </w:rPr>
            </w:pPr>
          </w:p>
        </w:tc>
        <w:tc>
          <w:tcPr>
            <w:tcW w:w="1251" w:type="pct"/>
            <w:vMerge w:val="continue"/>
            <w:tcBorders>
              <w:tl2br w:val="nil"/>
              <w:tr2bl w:val="nil"/>
            </w:tcBorders>
            <w:vAlign w:val="center"/>
          </w:tcPr>
          <w:p w14:paraId="20DB241E">
            <w:pPr>
              <w:jc w:val="center"/>
              <w:rPr>
                <w:color w:val="auto"/>
              </w:rPr>
            </w:pPr>
          </w:p>
        </w:tc>
        <w:tc>
          <w:tcPr>
            <w:tcW w:w="1702" w:type="pct"/>
            <w:tcBorders>
              <w:tl2br w:val="nil"/>
              <w:tr2bl w:val="nil"/>
            </w:tcBorders>
            <w:vAlign w:val="center"/>
          </w:tcPr>
          <w:p w14:paraId="4EBE1002">
            <w:pPr>
              <w:jc w:val="center"/>
              <w:rPr>
                <w:rFonts w:hint="default" w:eastAsia="宋体"/>
                <w:color w:val="auto"/>
                <w:lang w:val="en-US" w:eastAsia="zh-CN"/>
              </w:rPr>
            </w:pPr>
            <w:r>
              <w:rPr>
                <w:rFonts w:hint="eastAsia"/>
                <w:color w:val="auto"/>
                <w:lang w:val="en-US" w:eastAsia="zh-CN"/>
              </w:rPr>
              <w:t>砷及其化合物、镉及其化合物、铬及其化合物、铅及其化合物、锡及其化合物、氟化物、氯化氢</w:t>
            </w:r>
          </w:p>
        </w:tc>
        <w:tc>
          <w:tcPr>
            <w:tcW w:w="1334" w:type="pct"/>
            <w:tcBorders>
              <w:tl2br w:val="nil"/>
              <w:tr2bl w:val="nil"/>
            </w:tcBorders>
            <w:vAlign w:val="center"/>
          </w:tcPr>
          <w:p w14:paraId="1B94729C">
            <w:pPr>
              <w:jc w:val="center"/>
              <w:rPr>
                <w:rFonts w:hint="eastAsia" w:eastAsia="宋体"/>
                <w:color w:val="auto"/>
                <w:lang w:val="en-US" w:eastAsia="zh-CN"/>
              </w:rPr>
            </w:pPr>
            <w:r>
              <w:rPr>
                <w:color w:val="auto"/>
              </w:rPr>
              <w:t>1次/</w:t>
            </w:r>
            <w:r>
              <w:rPr>
                <w:rFonts w:hint="eastAsia"/>
                <w:color w:val="auto"/>
                <w:lang w:val="en-US" w:eastAsia="zh-CN"/>
              </w:rPr>
              <w:t>季度</w:t>
            </w:r>
          </w:p>
        </w:tc>
      </w:tr>
      <w:tr w14:paraId="64EE746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4307E081">
            <w:pPr>
              <w:jc w:val="center"/>
              <w:rPr>
                <w:color w:val="auto"/>
              </w:rPr>
            </w:pPr>
          </w:p>
        </w:tc>
        <w:tc>
          <w:tcPr>
            <w:tcW w:w="1251" w:type="pct"/>
            <w:vMerge w:val="continue"/>
            <w:tcBorders>
              <w:tl2br w:val="nil"/>
              <w:tr2bl w:val="nil"/>
            </w:tcBorders>
            <w:vAlign w:val="center"/>
          </w:tcPr>
          <w:p w14:paraId="67E6E5DE">
            <w:pPr>
              <w:jc w:val="center"/>
              <w:rPr>
                <w:color w:val="auto"/>
              </w:rPr>
            </w:pPr>
          </w:p>
        </w:tc>
        <w:tc>
          <w:tcPr>
            <w:tcW w:w="1702" w:type="pct"/>
            <w:tcBorders>
              <w:tl2br w:val="nil"/>
              <w:tr2bl w:val="nil"/>
            </w:tcBorders>
            <w:vAlign w:val="center"/>
          </w:tcPr>
          <w:p w14:paraId="42AEDC81">
            <w:pPr>
              <w:jc w:val="center"/>
              <w:rPr>
                <w:rFonts w:hint="eastAsia" w:eastAsia="宋体"/>
                <w:color w:val="auto"/>
                <w:lang w:val="en-US" w:eastAsia="zh-CN"/>
              </w:rPr>
            </w:pPr>
            <w:r>
              <w:rPr>
                <w:rFonts w:hint="eastAsia"/>
                <w:color w:val="auto"/>
                <w:lang w:val="en-US" w:eastAsia="zh-CN"/>
              </w:rPr>
              <w:t>二噁英</w:t>
            </w:r>
          </w:p>
        </w:tc>
        <w:tc>
          <w:tcPr>
            <w:tcW w:w="1334" w:type="pct"/>
            <w:tcBorders>
              <w:tl2br w:val="nil"/>
              <w:tr2bl w:val="nil"/>
            </w:tcBorders>
            <w:vAlign w:val="center"/>
          </w:tcPr>
          <w:p w14:paraId="35D5365E">
            <w:pPr>
              <w:jc w:val="center"/>
              <w:rPr>
                <w:color w:val="auto"/>
              </w:rPr>
            </w:pPr>
            <w:r>
              <w:rPr>
                <w:color w:val="auto"/>
              </w:rPr>
              <w:t>1次/年</w:t>
            </w:r>
          </w:p>
        </w:tc>
      </w:tr>
      <w:tr w14:paraId="4A7FBAF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606172C4">
            <w:pPr>
              <w:jc w:val="center"/>
              <w:rPr>
                <w:color w:val="auto"/>
              </w:rPr>
            </w:pPr>
          </w:p>
        </w:tc>
        <w:tc>
          <w:tcPr>
            <w:tcW w:w="1251" w:type="pct"/>
            <w:tcBorders>
              <w:tl2br w:val="nil"/>
              <w:tr2bl w:val="nil"/>
            </w:tcBorders>
            <w:vAlign w:val="center"/>
          </w:tcPr>
          <w:p w14:paraId="4B2CF2BC">
            <w:pPr>
              <w:jc w:val="center"/>
              <w:rPr>
                <w:color w:val="auto"/>
              </w:rPr>
            </w:pPr>
            <w:r>
              <w:rPr>
                <w:color w:val="auto"/>
              </w:rPr>
              <w:t>DA002</w:t>
            </w:r>
          </w:p>
        </w:tc>
        <w:tc>
          <w:tcPr>
            <w:tcW w:w="1702" w:type="pct"/>
            <w:tcBorders>
              <w:tl2br w:val="nil"/>
              <w:tr2bl w:val="nil"/>
            </w:tcBorders>
            <w:vAlign w:val="center"/>
          </w:tcPr>
          <w:p w14:paraId="1668EF04">
            <w:pPr>
              <w:jc w:val="center"/>
              <w:rPr>
                <w:rFonts w:hint="eastAsia" w:eastAsia="宋体"/>
                <w:color w:val="auto"/>
                <w:lang w:eastAsia="zh-CN"/>
              </w:rPr>
            </w:pPr>
            <w:r>
              <w:rPr>
                <w:rFonts w:hint="eastAsia"/>
                <w:color w:val="auto"/>
                <w:lang w:val="en-US" w:eastAsia="zh-CN"/>
              </w:rPr>
              <w:t>氨</w:t>
            </w:r>
          </w:p>
        </w:tc>
        <w:tc>
          <w:tcPr>
            <w:tcW w:w="1334" w:type="pct"/>
            <w:tcBorders>
              <w:tl2br w:val="nil"/>
              <w:tr2bl w:val="nil"/>
            </w:tcBorders>
            <w:vAlign w:val="center"/>
          </w:tcPr>
          <w:p w14:paraId="52A62253">
            <w:pPr>
              <w:jc w:val="center"/>
              <w:rPr>
                <w:color w:val="auto"/>
              </w:rPr>
            </w:pPr>
            <w:r>
              <w:rPr>
                <w:color w:val="auto"/>
              </w:rPr>
              <w:t>1次/半年</w:t>
            </w:r>
          </w:p>
        </w:tc>
      </w:tr>
      <w:tr w14:paraId="070B64F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14D38479">
            <w:pPr>
              <w:jc w:val="center"/>
              <w:rPr>
                <w:color w:val="auto"/>
              </w:rPr>
            </w:pPr>
          </w:p>
        </w:tc>
        <w:tc>
          <w:tcPr>
            <w:tcW w:w="1251" w:type="pct"/>
            <w:tcBorders>
              <w:tl2br w:val="nil"/>
              <w:tr2bl w:val="nil"/>
            </w:tcBorders>
            <w:vAlign w:val="center"/>
          </w:tcPr>
          <w:p w14:paraId="0AD062A3">
            <w:pPr>
              <w:jc w:val="center"/>
              <w:rPr>
                <w:color w:val="auto"/>
              </w:rPr>
            </w:pPr>
            <w:r>
              <w:rPr>
                <w:color w:val="auto"/>
              </w:rPr>
              <w:t>厂界</w:t>
            </w:r>
          </w:p>
        </w:tc>
        <w:tc>
          <w:tcPr>
            <w:tcW w:w="1702" w:type="pct"/>
            <w:tcBorders>
              <w:tl2br w:val="nil"/>
              <w:tr2bl w:val="nil"/>
            </w:tcBorders>
            <w:vAlign w:val="center"/>
          </w:tcPr>
          <w:p w14:paraId="7764CB19">
            <w:pPr>
              <w:jc w:val="center"/>
              <w:rPr>
                <w:rFonts w:hint="default" w:eastAsia="宋体"/>
                <w:color w:val="auto"/>
                <w:lang w:val="en-US" w:eastAsia="zh-CN"/>
              </w:rPr>
            </w:pPr>
            <w:r>
              <w:rPr>
                <w:rFonts w:hint="eastAsia"/>
                <w:color w:val="auto"/>
                <w:lang w:val="en-US" w:eastAsia="zh-CN"/>
              </w:rPr>
              <w:t>砷及其化合物、镉及其化合物、铬及其化合物、铅及其化合物、锡及其化合物、氟化物、氯化氢</w:t>
            </w:r>
          </w:p>
        </w:tc>
        <w:tc>
          <w:tcPr>
            <w:tcW w:w="1334" w:type="pct"/>
            <w:tcBorders>
              <w:tl2br w:val="nil"/>
              <w:tr2bl w:val="nil"/>
            </w:tcBorders>
            <w:vAlign w:val="center"/>
          </w:tcPr>
          <w:p w14:paraId="70D06DA6">
            <w:pPr>
              <w:jc w:val="center"/>
              <w:rPr>
                <w:rFonts w:hint="eastAsia" w:eastAsia="宋体"/>
                <w:color w:val="auto"/>
                <w:lang w:val="en-US" w:eastAsia="zh-CN"/>
              </w:rPr>
            </w:pPr>
            <w:r>
              <w:rPr>
                <w:color w:val="auto"/>
              </w:rPr>
              <w:t>1次/</w:t>
            </w:r>
            <w:r>
              <w:rPr>
                <w:rFonts w:hint="eastAsia"/>
                <w:color w:val="auto"/>
                <w:lang w:val="en-US" w:eastAsia="zh-CN"/>
              </w:rPr>
              <w:t>季度</w:t>
            </w:r>
          </w:p>
        </w:tc>
      </w:tr>
      <w:tr w14:paraId="2FCF2EF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restart"/>
            <w:tcBorders>
              <w:tl2br w:val="nil"/>
              <w:tr2bl w:val="nil"/>
            </w:tcBorders>
            <w:vAlign w:val="center"/>
          </w:tcPr>
          <w:p w14:paraId="048FACD1">
            <w:pPr>
              <w:jc w:val="center"/>
              <w:rPr>
                <w:color w:val="auto"/>
              </w:rPr>
            </w:pPr>
            <w:r>
              <w:rPr>
                <w:color w:val="auto"/>
              </w:rPr>
              <w:t>废水</w:t>
            </w:r>
          </w:p>
        </w:tc>
        <w:tc>
          <w:tcPr>
            <w:tcW w:w="1251" w:type="pct"/>
            <w:tcBorders>
              <w:tl2br w:val="nil"/>
              <w:tr2bl w:val="nil"/>
            </w:tcBorders>
            <w:vAlign w:val="center"/>
          </w:tcPr>
          <w:p w14:paraId="16E57079">
            <w:pPr>
              <w:jc w:val="center"/>
              <w:rPr>
                <w:rFonts w:hint="default" w:eastAsia="宋体"/>
                <w:color w:val="auto"/>
                <w:lang w:val="en-US" w:eastAsia="zh-CN"/>
              </w:rPr>
            </w:pPr>
            <w:r>
              <w:rPr>
                <w:rFonts w:hint="eastAsia"/>
                <w:color w:val="auto"/>
                <w:lang w:val="en-US" w:eastAsia="zh-CN"/>
              </w:rPr>
              <w:t>DW001</w:t>
            </w:r>
          </w:p>
        </w:tc>
        <w:tc>
          <w:tcPr>
            <w:tcW w:w="1702" w:type="pct"/>
            <w:tcBorders>
              <w:tl2br w:val="nil"/>
              <w:tr2bl w:val="nil"/>
            </w:tcBorders>
            <w:vAlign w:val="center"/>
          </w:tcPr>
          <w:p w14:paraId="7B188926">
            <w:pPr>
              <w:jc w:val="center"/>
              <w:rPr>
                <w:rFonts w:hint="default" w:eastAsia="宋体"/>
                <w:color w:val="auto"/>
                <w:lang w:val="en-US" w:eastAsia="zh-CN"/>
              </w:rPr>
            </w:pPr>
            <w:r>
              <w:rPr>
                <w:rFonts w:hint="eastAsia"/>
                <w:color w:val="auto"/>
                <w:lang w:val="en-US" w:eastAsia="zh-CN"/>
              </w:rPr>
              <w:t>pH值、SS、BOD</w:t>
            </w:r>
            <w:r>
              <w:rPr>
                <w:rFonts w:hint="eastAsia"/>
                <w:color w:val="auto"/>
                <w:vertAlign w:val="subscript"/>
                <w:lang w:val="en-US" w:eastAsia="zh-CN"/>
              </w:rPr>
              <w:t>5</w:t>
            </w:r>
            <w:r>
              <w:rPr>
                <w:rFonts w:hint="eastAsia"/>
                <w:color w:val="auto"/>
                <w:lang w:val="en-US" w:eastAsia="zh-CN"/>
              </w:rPr>
              <w:t>、</w:t>
            </w:r>
            <w:r>
              <w:rPr>
                <w:color w:val="auto"/>
              </w:rPr>
              <w:t>COD</w:t>
            </w:r>
            <w:r>
              <w:rPr>
                <w:rFonts w:hint="eastAsia"/>
                <w:color w:val="auto"/>
                <w:lang w:eastAsia="zh-CN"/>
              </w:rPr>
              <w:t>、</w:t>
            </w:r>
            <w:r>
              <w:rPr>
                <w:rFonts w:hint="eastAsia"/>
                <w:color w:val="auto"/>
                <w:lang w:val="en-US" w:eastAsia="zh-CN"/>
              </w:rPr>
              <w:t>NH</w:t>
            </w:r>
            <w:r>
              <w:rPr>
                <w:rFonts w:hint="eastAsia"/>
                <w:color w:val="auto"/>
                <w:vertAlign w:val="subscript"/>
                <w:lang w:val="en-US" w:eastAsia="zh-CN"/>
              </w:rPr>
              <w:t>3</w:t>
            </w:r>
            <w:r>
              <w:rPr>
                <w:rFonts w:hint="eastAsia"/>
                <w:color w:val="auto"/>
                <w:lang w:val="en-US" w:eastAsia="zh-CN"/>
              </w:rPr>
              <w:t>-N</w:t>
            </w:r>
          </w:p>
        </w:tc>
        <w:tc>
          <w:tcPr>
            <w:tcW w:w="1334" w:type="pct"/>
            <w:tcBorders>
              <w:tl2br w:val="nil"/>
              <w:tr2bl w:val="nil"/>
            </w:tcBorders>
            <w:vAlign w:val="center"/>
          </w:tcPr>
          <w:p w14:paraId="77526A91">
            <w:pPr>
              <w:jc w:val="center"/>
              <w:rPr>
                <w:rFonts w:hint="default" w:eastAsia="宋体"/>
                <w:color w:val="auto"/>
                <w:lang w:val="en-US" w:eastAsia="zh-CN"/>
              </w:rPr>
            </w:pPr>
            <w:r>
              <w:rPr>
                <w:rFonts w:hint="eastAsia"/>
                <w:color w:val="auto"/>
                <w:lang w:val="en-US" w:eastAsia="zh-CN"/>
              </w:rPr>
              <w:t>一次/年</w:t>
            </w:r>
          </w:p>
        </w:tc>
      </w:tr>
      <w:tr w14:paraId="7EA342F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47112018">
            <w:pPr>
              <w:jc w:val="center"/>
              <w:rPr>
                <w:color w:val="auto"/>
              </w:rPr>
            </w:pPr>
          </w:p>
        </w:tc>
        <w:tc>
          <w:tcPr>
            <w:tcW w:w="1251" w:type="pct"/>
            <w:tcBorders>
              <w:tl2br w:val="nil"/>
              <w:tr2bl w:val="nil"/>
            </w:tcBorders>
            <w:shd w:val="clear" w:color="auto" w:fill="auto"/>
            <w:vAlign w:val="center"/>
          </w:tcPr>
          <w:p w14:paraId="50307B62">
            <w:pPr>
              <w:jc w:val="center"/>
              <w:rPr>
                <w:rFonts w:ascii="Times New Roman" w:hAnsi="Times New Roman" w:eastAsia="宋体" w:cs="Times New Roman"/>
                <w:color w:val="auto"/>
                <w:kern w:val="2"/>
                <w:sz w:val="21"/>
                <w:szCs w:val="24"/>
                <w:lang w:val="en-US" w:eastAsia="zh-CN" w:bidi="ar-SA"/>
              </w:rPr>
            </w:pPr>
            <w:r>
              <w:rPr>
                <w:color w:val="auto"/>
              </w:rPr>
              <w:t>雨水排口</w:t>
            </w:r>
          </w:p>
        </w:tc>
        <w:tc>
          <w:tcPr>
            <w:tcW w:w="1702" w:type="pct"/>
            <w:tcBorders>
              <w:tl2br w:val="nil"/>
              <w:tr2bl w:val="nil"/>
            </w:tcBorders>
            <w:shd w:val="clear" w:color="auto" w:fill="auto"/>
            <w:vAlign w:val="center"/>
          </w:tcPr>
          <w:p w14:paraId="069FA4E0">
            <w:pPr>
              <w:jc w:val="center"/>
              <w:rPr>
                <w:rFonts w:hint="default" w:ascii="Times New Roman" w:hAnsi="Times New Roman" w:eastAsia="宋体" w:cs="Times New Roman"/>
                <w:color w:val="auto"/>
                <w:kern w:val="2"/>
                <w:sz w:val="21"/>
                <w:szCs w:val="24"/>
                <w:lang w:val="en-US" w:eastAsia="zh-CN" w:bidi="ar-SA"/>
              </w:rPr>
            </w:pPr>
            <w:r>
              <w:rPr>
                <w:color w:val="auto"/>
              </w:rPr>
              <w:t>SS、COD</w:t>
            </w:r>
            <w:r>
              <w:rPr>
                <w:rFonts w:hint="eastAsia"/>
                <w:color w:val="auto"/>
                <w:lang w:eastAsia="zh-CN"/>
              </w:rPr>
              <w:t>、</w:t>
            </w:r>
            <w:r>
              <w:rPr>
                <w:rFonts w:hint="eastAsia"/>
                <w:color w:val="auto"/>
                <w:lang w:val="en-US" w:eastAsia="zh-CN"/>
              </w:rPr>
              <w:t>石油类</w:t>
            </w:r>
          </w:p>
        </w:tc>
        <w:tc>
          <w:tcPr>
            <w:tcW w:w="1334" w:type="pct"/>
            <w:tcBorders>
              <w:tl2br w:val="nil"/>
              <w:tr2bl w:val="nil"/>
            </w:tcBorders>
            <w:shd w:val="clear" w:color="auto" w:fill="auto"/>
            <w:vAlign w:val="center"/>
          </w:tcPr>
          <w:p w14:paraId="2EE5EADB">
            <w:pPr>
              <w:jc w:val="center"/>
              <w:rPr>
                <w:rFonts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kern w:val="2"/>
                <w:sz w:val="21"/>
                <w:szCs w:val="24"/>
                <w:lang w:val="en-US" w:eastAsia="zh-CN" w:bidi="ar-SA"/>
              </w:rPr>
              <w:t>排放期间每日至少开展一次监测</w:t>
            </w:r>
          </w:p>
        </w:tc>
      </w:tr>
      <w:tr w14:paraId="3F2EC83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tcBorders>
              <w:tl2br w:val="nil"/>
              <w:tr2bl w:val="nil"/>
            </w:tcBorders>
            <w:vAlign w:val="center"/>
          </w:tcPr>
          <w:p w14:paraId="3A48AD8A">
            <w:pPr>
              <w:jc w:val="center"/>
              <w:rPr>
                <w:color w:val="auto"/>
              </w:rPr>
            </w:pPr>
            <w:r>
              <w:rPr>
                <w:color w:val="auto"/>
              </w:rPr>
              <w:t>噪声</w:t>
            </w:r>
          </w:p>
        </w:tc>
        <w:tc>
          <w:tcPr>
            <w:tcW w:w="1251" w:type="pct"/>
            <w:tcBorders>
              <w:tl2br w:val="nil"/>
              <w:tr2bl w:val="nil"/>
            </w:tcBorders>
            <w:vAlign w:val="center"/>
          </w:tcPr>
          <w:p w14:paraId="113666BF">
            <w:pPr>
              <w:jc w:val="center"/>
              <w:rPr>
                <w:color w:val="auto"/>
              </w:rPr>
            </w:pPr>
            <w:r>
              <w:rPr>
                <w:color w:val="auto"/>
              </w:rPr>
              <w:t>厂界四周</w:t>
            </w:r>
          </w:p>
        </w:tc>
        <w:tc>
          <w:tcPr>
            <w:tcW w:w="1702" w:type="pct"/>
            <w:tcBorders>
              <w:tl2br w:val="nil"/>
              <w:tr2bl w:val="nil"/>
            </w:tcBorders>
            <w:vAlign w:val="center"/>
          </w:tcPr>
          <w:p w14:paraId="6F10582B">
            <w:pPr>
              <w:jc w:val="center"/>
              <w:rPr>
                <w:color w:val="auto"/>
              </w:rPr>
            </w:pPr>
            <w:r>
              <w:rPr>
                <w:color w:val="auto"/>
              </w:rPr>
              <w:t>Leq（A）</w:t>
            </w:r>
          </w:p>
        </w:tc>
        <w:tc>
          <w:tcPr>
            <w:tcW w:w="1334" w:type="pct"/>
            <w:tcBorders>
              <w:tl2br w:val="nil"/>
              <w:tr2bl w:val="nil"/>
            </w:tcBorders>
            <w:vAlign w:val="center"/>
          </w:tcPr>
          <w:p w14:paraId="61135EF5">
            <w:pPr>
              <w:jc w:val="center"/>
              <w:rPr>
                <w:color w:val="auto"/>
              </w:rPr>
            </w:pPr>
            <w:r>
              <w:rPr>
                <w:color w:val="auto"/>
              </w:rPr>
              <w:t>每季度一次，每次连续监测1天，每天昼夜各测一次</w:t>
            </w:r>
          </w:p>
        </w:tc>
      </w:tr>
    </w:tbl>
    <w:p w14:paraId="0B4BBC4D">
      <w:pPr>
        <w:spacing w:line="360" w:lineRule="auto"/>
        <w:rPr>
          <w:rFonts w:hint="eastAsia"/>
          <w:b/>
          <w:bCs/>
          <w:color w:val="0000FF"/>
          <w:sz w:val="24"/>
          <w:szCs w:val="32"/>
          <w:lang w:val="en-US" w:eastAsia="zh-CN"/>
        </w:rPr>
      </w:pPr>
      <w:r>
        <w:rPr>
          <w:rFonts w:hint="eastAsia"/>
          <w:b/>
          <w:bCs/>
          <w:color w:val="0000FF"/>
          <w:sz w:val="24"/>
          <w:szCs w:val="32"/>
          <w:lang w:val="en-US" w:eastAsia="zh-CN"/>
        </w:rPr>
        <w:t>5.5.3.2 环境质量监测计划</w:t>
      </w:r>
    </w:p>
    <w:p w14:paraId="4DE6A5C9">
      <w:pPr>
        <w:spacing w:line="360" w:lineRule="auto"/>
        <w:ind w:firstLine="480" w:firstLineChars="200"/>
        <w:rPr>
          <w:rFonts w:hint="eastAsia"/>
          <w:b w:val="0"/>
          <w:bCs w:val="0"/>
          <w:color w:val="0000FF"/>
          <w:sz w:val="24"/>
          <w:szCs w:val="32"/>
          <w:lang w:val="en-US" w:eastAsia="zh-CN"/>
        </w:rPr>
      </w:pPr>
      <w:r>
        <w:rPr>
          <w:rFonts w:hint="default" w:ascii="Times New Roman" w:hAnsi="Times New Roman" w:eastAsia="宋体" w:cs="Times New Roman"/>
          <w:b w:val="0"/>
          <w:bCs w:val="0"/>
          <w:color w:val="0000FF"/>
          <w:sz w:val="24"/>
          <w:szCs w:val="24"/>
          <w:highlight w:val="none"/>
          <w:lang w:val="en-US" w:eastAsia="zh-CN"/>
        </w:rPr>
        <w:t>根据《环境影响评价技术导则 大气环境》（HJ2.2-2018）、《环境影响评价技术导则 地下水环境》（HJ610-2016）、《环境影响评价技术导则 土壤环境（试行）》（HJ964-2018），《工业企业土壤和地下水自行监测技术指南（试行）》（ HJ1209-2021）结合项目特征，项目运营期环境质量监测计划制定见下表</w:t>
      </w:r>
      <w:r>
        <w:rPr>
          <w:rFonts w:hint="eastAsia" w:cs="Times New Roman"/>
          <w:b w:val="0"/>
          <w:bCs w:val="0"/>
          <w:color w:val="0000FF"/>
          <w:sz w:val="24"/>
          <w:szCs w:val="24"/>
          <w:highlight w:val="none"/>
          <w:lang w:val="en-US" w:eastAsia="zh-CN"/>
        </w:rPr>
        <w:t>。</w:t>
      </w:r>
    </w:p>
    <w:p w14:paraId="52DE02B5">
      <w:pPr>
        <w:pStyle w:val="9"/>
        <w:spacing w:line="360" w:lineRule="auto"/>
        <w:jc w:val="center"/>
        <w:rPr>
          <w:rFonts w:hint="default" w:ascii="Times New Roman" w:hAnsi="Times New Roman" w:eastAsia="宋体" w:cs="Times New Roman"/>
          <w:b/>
          <w:bCs/>
          <w:color w:val="0000FF"/>
          <w:sz w:val="24"/>
          <w:szCs w:val="24"/>
          <w:highlight w:val="none"/>
          <w:lang w:val="en-US" w:eastAsia="zh-CN"/>
        </w:rPr>
      </w:pPr>
      <w:r>
        <w:rPr>
          <w:rFonts w:hint="eastAsia" w:ascii="Times New Roman" w:hAnsi="Times New Roman" w:eastAsia="宋体" w:cs="Times New Roman"/>
          <w:b/>
          <w:bCs/>
          <w:color w:val="0000FF"/>
          <w:sz w:val="24"/>
          <w:szCs w:val="24"/>
          <w:highlight w:val="none"/>
          <w:lang w:val="en-US" w:eastAsia="zh-CN"/>
        </w:rPr>
        <w:t>表</w:t>
      </w:r>
      <w:r>
        <w:rPr>
          <w:rFonts w:hint="eastAsia" w:cs="Times New Roman"/>
          <w:b/>
          <w:bCs/>
          <w:color w:val="0000FF"/>
          <w:sz w:val="24"/>
          <w:szCs w:val="24"/>
          <w:highlight w:val="none"/>
          <w:lang w:val="en-US" w:eastAsia="zh-CN"/>
        </w:rPr>
        <w:t>5-6</w:t>
      </w:r>
      <w:r>
        <w:rPr>
          <w:rFonts w:hint="eastAsia" w:ascii="Times New Roman" w:hAnsi="Times New Roman" w:eastAsia="宋体" w:cs="Times New Roman"/>
          <w:b/>
          <w:bCs/>
          <w:color w:val="0000FF"/>
          <w:sz w:val="24"/>
          <w:szCs w:val="24"/>
          <w:highlight w:val="none"/>
          <w:lang w:val="en-US" w:eastAsia="zh-CN"/>
        </w:rPr>
        <w:t xml:space="preserve"> 项目环境质量监测计划一览表</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82"/>
        <w:gridCol w:w="2881"/>
        <w:gridCol w:w="1362"/>
        <w:gridCol w:w="1701"/>
        <w:gridCol w:w="3336"/>
      </w:tblGrid>
      <w:tr w14:paraId="501177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42" w:type="pct"/>
            <w:shd w:val="clear" w:color="auto" w:fill="auto"/>
            <w:vAlign w:val="center"/>
          </w:tcPr>
          <w:p w14:paraId="7E5FB3F8">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序号</w:t>
            </w:r>
          </w:p>
        </w:tc>
        <w:tc>
          <w:tcPr>
            <w:tcW w:w="1445" w:type="pct"/>
            <w:shd w:val="clear" w:color="auto" w:fill="auto"/>
            <w:vAlign w:val="center"/>
          </w:tcPr>
          <w:p w14:paraId="5798545B">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监测项目</w:t>
            </w:r>
          </w:p>
        </w:tc>
        <w:tc>
          <w:tcPr>
            <w:tcW w:w="683" w:type="pct"/>
            <w:vAlign w:val="center"/>
          </w:tcPr>
          <w:p w14:paraId="4D5D5726">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监测点位</w:t>
            </w:r>
          </w:p>
        </w:tc>
        <w:tc>
          <w:tcPr>
            <w:tcW w:w="853" w:type="pct"/>
            <w:shd w:val="clear" w:color="auto" w:fill="auto"/>
            <w:vAlign w:val="center"/>
          </w:tcPr>
          <w:p w14:paraId="0F946701">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监测时间及频率</w:t>
            </w:r>
          </w:p>
        </w:tc>
        <w:tc>
          <w:tcPr>
            <w:tcW w:w="1673" w:type="pct"/>
            <w:vAlign w:val="center"/>
          </w:tcPr>
          <w:p w14:paraId="2F2D6546">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执行标准</w:t>
            </w:r>
          </w:p>
        </w:tc>
      </w:tr>
      <w:tr w14:paraId="404227A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42" w:type="pct"/>
            <w:shd w:val="clear" w:color="auto" w:fill="auto"/>
            <w:vAlign w:val="center"/>
          </w:tcPr>
          <w:p w14:paraId="1DD27543">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地下水</w:t>
            </w:r>
          </w:p>
        </w:tc>
        <w:tc>
          <w:tcPr>
            <w:tcW w:w="1445" w:type="pct"/>
            <w:shd w:val="clear" w:color="auto" w:fill="auto"/>
            <w:vAlign w:val="center"/>
          </w:tcPr>
          <w:p w14:paraId="7637D049">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eastAsia" w:eastAsia="新宋体" w:cs="Times New Roman"/>
                <w:b w:val="0"/>
                <w:bCs w:val="0"/>
                <w:color w:val="0000FF"/>
                <w:kern w:val="24"/>
                <w:sz w:val="21"/>
                <w:szCs w:val="21"/>
                <w:lang w:val="en-US" w:eastAsia="zh-CN"/>
              </w:rPr>
              <w:t>pH值、溶解性总固体、总硬度、耗氧量、汞、镉、六价铬、砷、铅、铜、锌、铁、氨氮、氟化物</w:t>
            </w:r>
          </w:p>
        </w:tc>
        <w:tc>
          <w:tcPr>
            <w:tcW w:w="683" w:type="pct"/>
            <w:vAlign w:val="center"/>
          </w:tcPr>
          <w:p w14:paraId="4BE89DAA">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地下水监控井</w:t>
            </w:r>
          </w:p>
        </w:tc>
        <w:tc>
          <w:tcPr>
            <w:tcW w:w="853" w:type="pct"/>
            <w:shd w:val="clear" w:color="auto" w:fill="auto"/>
            <w:vAlign w:val="center"/>
          </w:tcPr>
          <w:p w14:paraId="53A6AF6A">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每年1次</w:t>
            </w:r>
          </w:p>
        </w:tc>
        <w:tc>
          <w:tcPr>
            <w:tcW w:w="1673" w:type="pct"/>
            <w:vAlign w:val="center"/>
          </w:tcPr>
          <w:p w14:paraId="6E72AECC">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《地下水环境质量标准》（GB/T14848-2017）</w:t>
            </w:r>
          </w:p>
        </w:tc>
      </w:tr>
      <w:tr w14:paraId="4A7B63B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42" w:type="pct"/>
            <w:shd w:val="clear" w:color="auto" w:fill="auto"/>
            <w:vAlign w:val="center"/>
          </w:tcPr>
          <w:p w14:paraId="099B38FA">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土壤</w:t>
            </w:r>
          </w:p>
        </w:tc>
        <w:tc>
          <w:tcPr>
            <w:tcW w:w="1445" w:type="pct"/>
            <w:shd w:val="clear" w:color="auto" w:fill="auto"/>
            <w:vAlign w:val="center"/>
          </w:tcPr>
          <w:p w14:paraId="09DA9921">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pH+</w:t>
            </w:r>
            <w:r>
              <w:rPr>
                <w:rFonts w:hint="eastAsia" w:eastAsia="新宋体" w:cs="Times New Roman"/>
                <w:b w:val="0"/>
                <w:bCs w:val="0"/>
                <w:color w:val="0000FF"/>
                <w:kern w:val="24"/>
                <w:sz w:val="21"/>
                <w:szCs w:val="21"/>
                <w:lang w:val="en-US" w:eastAsia="zh-CN"/>
              </w:rPr>
              <w:t>总镉、六价铬、总砷、总铅、总镍、总铜、总锌、二噁英类</w:t>
            </w:r>
          </w:p>
        </w:tc>
        <w:tc>
          <w:tcPr>
            <w:tcW w:w="683" w:type="pct"/>
            <w:vAlign w:val="center"/>
          </w:tcPr>
          <w:p w14:paraId="1A09C122">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eastAsia" w:eastAsia="新宋体" w:cs="Times New Roman"/>
                <w:b w:val="0"/>
                <w:bCs w:val="0"/>
                <w:color w:val="0000FF"/>
                <w:kern w:val="24"/>
                <w:sz w:val="21"/>
                <w:szCs w:val="21"/>
                <w:lang w:val="en-US" w:eastAsia="zh-CN"/>
              </w:rPr>
              <w:t>厂区土壤监测点位</w:t>
            </w:r>
          </w:p>
        </w:tc>
        <w:tc>
          <w:tcPr>
            <w:tcW w:w="853" w:type="pct"/>
            <w:shd w:val="clear" w:color="auto" w:fill="auto"/>
            <w:vAlign w:val="center"/>
          </w:tcPr>
          <w:p w14:paraId="7A360123">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每年</w:t>
            </w:r>
            <w:r>
              <w:rPr>
                <w:rFonts w:hint="eastAsia" w:ascii="Times New Roman" w:hAnsi="Times New Roman" w:eastAsia="新宋体" w:cs="Times New Roman"/>
                <w:b w:val="0"/>
                <w:bCs w:val="0"/>
                <w:color w:val="0000FF"/>
                <w:kern w:val="24"/>
                <w:sz w:val="21"/>
                <w:szCs w:val="21"/>
                <w:lang w:val="en-US" w:eastAsia="zh-CN"/>
              </w:rPr>
              <w:t>1</w:t>
            </w:r>
            <w:r>
              <w:rPr>
                <w:rFonts w:hint="default" w:ascii="Times New Roman" w:hAnsi="Times New Roman" w:eastAsia="新宋体" w:cs="Times New Roman"/>
                <w:b w:val="0"/>
                <w:bCs w:val="0"/>
                <w:color w:val="0000FF"/>
                <w:kern w:val="24"/>
                <w:sz w:val="21"/>
                <w:szCs w:val="21"/>
                <w:lang w:val="en-US" w:eastAsia="zh-CN"/>
              </w:rPr>
              <w:t>次</w:t>
            </w:r>
          </w:p>
        </w:tc>
        <w:tc>
          <w:tcPr>
            <w:tcW w:w="1673" w:type="pct"/>
            <w:vAlign w:val="center"/>
          </w:tcPr>
          <w:p w14:paraId="37B58BA6">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执行（GB36600-2018）第二类用地筛选值</w:t>
            </w:r>
          </w:p>
        </w:tc>
      </w:tr>
    </w:tbl>
    <w:p w14:paraId="7197FF5A">
      <w:pPr>
        <w:spacing w:line="360" w:lineRule="auto"/>
        <w:rPr>
          <w:rFonts w:hint="eastAsia"/>
          <w:b w:val="0"/>
          <w:bCs w:val="0"/>
          <w:color w:val="auto"/>
          <w:sz w:val="24"/>
          <w:szCs w:val="32"/>
          <w:lang w:val="en-US" w:eastAsia="zh-CN"/>
        </w:rPr>
      </w:pPr>
    </w:p>
    <w:p w14:paraId="248A00CE">
      <w:pPr>
        <w:spacing w:line="360" w:lineRule="auto"/>
        <w:rPr>
          <w:rFonts w:hint="default" w:eastAsia="宋体"/>
          <w:b w:val="0"/>
          <w:bCs w:val="0"/>
          <w:color w:val="auto"/>
          <w:sz w:val="24"/>
          <w:szCs w:val="32"/>
          <w:lang w:val="en-US" w:eastAsia="zh-CN"/>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01778B1B">
      <w:pPr>
        <w:spacing w:line="360" w:lineRule="auto"/>
        <w:jc w:val="center"/>
        <w:outlineLvl w:val="0"/>
        <w:rPr>
          <w:b/>
          <w:bCs/>
          <w:color w:val="auto"/>
          <w:sz w:val="32"/>
          <w:szCs w:val="40"/>
        </w:rPr>
      </w:pPr>
      <w:bookmarkStart w:id="373" w:name="_Toc26181"/>
      <w:r>
        <w:rPr>
          <w:b/>
          <w:bCs/>
          <w:color w:val="auto"/>
          <w:sz w:val="32"/>
          <w:szCs w:val="40"/>
        </w:rPr>
        <w:t>6 环境影响预测验证</w:t>
      </w:r>
      <w:bookmarkEnd w:id="373"/>
    </w:p>
    <w:p w14:paraId="62203CDC">
      <w:pPr>
        <w:spacing w:line="360" w:lineRule="auto"/>
        <w:rPr>
          <w:color w:val="auto"/>
          <w:sz w:val="24"/>
          <w:szCs w:val="32"/>
        </w:rPr>
      </w:pPr>
    </w:p>
    <w:p w14:paraId="09CBB627">
      <w:pPr>
        <w:spacing w:line="360" w:lineRule="auto"/>
        <w:outlineLvl w:val="1"/>
        <w:rPr>
          <w:b/>
          <w:bCs/>
          <w:color w:val="auto"/>
          <w:sz w:val="28"/>
          <w:szCs w:val="36"/>
        </w:rPr>
      </w:pPr>
      <w:bookmarkStart w:id="374" w:name="_Toc6645"/>
      <w:r>
        <w:rPr>
          <w:b/>
          <w:bCs/>
          <w:color w:val="auto"/>
          <w:sz w:val="28"/>
          <w:szCs w:val="36"/>
        </w:rPr>
        <w:t>6.1大气预测影响差异分析</w:t>
      </w:r>
      <w:bookmarkEnd w:id="374"/>
    </w:p>
    <w:p w14:paraId="0F5E3441">
      <w:pPr>
        <w:spacing w:line="360" w:lineRule="auto"/>
        <w:ind w:firstLine="482" w:firstLineChars="200"/>
        <w:rPr>
          <w:rFonts w:hint="eastAsia"/>
          <w:color w:val="auto"/>
          <w:sz w:val="24"/>
          <w:szCs w:val="32"/>
          <w:lang w:val="en-US" w:eastAsia="zh-CN"/>
        </w:rPr>
      </w:pPr>
      <w:r>
        <w:rPr>
          <w:b/>
          <w:bCs/>
          <w:color w:val="auto"/>
          <w:sz w:val="24"/>
          <w:szCs w:val="32"/>
        </w:rPr>
        <w:t>原环评阶段：</w:t>
      </w:r>
      <w:r>
        <w:rPr>
          <w:color w:val="auto"/>
          <w:sz w:val="24"/>
          <w:szCs w:val="32"/>
        </w:rPr>
        <w:t>原环评中选取</w:t>
      </w:r>
      <w:r>
        <w:rPr>
          <w:color w:val="auto"/>
          <w:sz w:val="24"/>
        </w:rPr>
        <w:t>PM</w:t>
      </w:r>
      <w:r>
        <w:rPr>
          <w:color w:val="auto"/>
          <w:sz w:val="24"/>
          <w:vertAlign w:val="subscript"/>
        </w:rPr>
        <w:t>10</w:t>
      </w:r>
      <w:r>
        <w:rPr>
          <w:color w:val="auto"/>
          <w:sz w:val="24"/>
        </w:rPr>
        <w:t>、SO</w:t>
      </w:r>
      <w:r>
        <w:rPr>
          <w:color w:val="auto"/>
          <w:sz w:val="24"/>
          <w:vertAlign w:val="subscript"/>
        </w:rPr>
        <w:t>2</w:t>
      </w:r>
      <w:r>
        <w:rPr>
          <w:color w:val="auto"/>
          <w:sz w:val="24"/>
        </w:rPr>
        <w:t>、NO</w:t>
      </w:r>
      <w:r>
        <w:rPr>
          <w:color w:val="auto"/>
          <w:sz w:val="24"/>
          <w:vertAlign w:val="subscript"/>
        </w:rPr>
        <w:t>X</w:t>
      </w:r>
      <w:r>
        <w:rPr>
          <w:color w:val="auto"/>
          <w:sz w:val="24"/>
        </w:rPr>
        <w:t>、HCl、二噁英类</w:t>
      </w:r>
      <w:r>
        <w:rPr>
          <w:color w:val="auto"/>
          <w:sz w:val="24"/>
          <w:szCs w:val="32"/>
        </w:rPr>
        <w:t>作为预测因子，原评价预测模式为《环境影响评价技术导则——大气环境》(HJ2.2 -2008)中推荐的AERMOD模式和大气环境防护距离计算软件</w:t>
      </w:r>
      <w:r>
        <w:rPr>
          <w:rFonts w:hint="eastAsia"/>
          <w:color w:val="auto"/>
          <w:sz w:val="24"/>
          <w:szCs w:val="32"/>
          <w:lang w:val="en-US" w:eastAsia="zh-CN"/>
        </w:rPr>
        <w:t>进行</w:t>
      </w:r>
      <w:r>
        <w:rPr>
          <w:color w:val="auto"/>
          <w:sz w:val="24"/>
          <w:szCs w:val="32"/>
        </w:rPr>
        <w:t>预测</w:t>
      </w:r>
      <w:r>
        <w:rPr>
          <w:rFonts w:hint="eastAsia"/>
          <w:color w:val="auto"/>
          <w:sz w:val="24"/>
          <w:szCs w:val="32"/>
          <w:lang w:eastAsia="zh-CN"/>
        </w:rPr>
        <w:t>，</w:t>
      </w:r>
      <w:r>
        <w:rPr>
          <w:rFonts w:hint="eastAsia"/>
          <w:color w:val="auto"/>
          <w:sz w:val="24"/>
          <w:szCs w:val="32"/>
          <w:lang w:val="en-US" w:eastAsia="zh-CN"/>
        </w:rPr>
        <w:t>预测</w:t>
      </w:r>
      <w:r>
        <w:rPr>
          <w:color w:val="auto"/>
          <w:sz w:val="24"/>
          <w:szCs w:val="32"/>
        </w:rPr>
        <w:t>结果</w:t>
      </w:r>
      <w:r>
        <w:rPr>
          <w:rFonts w:hint="eastAsia"/>
          <w:color w:val="auto"/>
          <w:sz w:val="24"/>
          <w:szCs w:val="32"/>
          <w:lang w:val="en-US" w:eastAsia="zh-CN"/>
        </w:rPr>
        <w:t>如下：</w:t>
      </w:r>
    </w:p>
    <w:p w14:paraId="5B19C7B1">
      <w:pPr>
        <w:spacing w:line="360" w:lineRule="auto"/>
        <w:ind w:firstLine="480" w:firstLineChars="200"/>
        <w:rPr>
          <w:color w:val="auto"/>
          <w:sz w:val="24"/>
          <w:szCs w:val="32"/>
        </w:rPr>
      </w:pPr>
      <w:r>
        <w:rPr>
          <w:color w:val="auto"/>
          <w:sz w:val="24"/>
        </w:rPr>
        <w:t>PM</w:t>
      </w:r>
      <w:r>
        <w:rPr>
          <w:color w:val="auto"/>
          <w:sz w:val="24"/>
          <w:vertAlign w:val="subscript"/>
        </w:rPr>
        <w:t>10</w:t>
      </w:r>
      <w:r>
        <w:rPr>
          <w:color w:val="auto"/>
          <w:sz w:val="24"/>
        </w:rPr>
        <w:t>年均最大落地浓度贡献值为6.811ug/m</w:t>
      </w:r>
      <w:r>
        <w:rPr>
          <w:color w:val="auto"/>
          <w:sz w:val="24"/>
          <w:vertAlign w:val="superscript"/>
        </w:rPr>
        <w:t>3</w:t>
      </w:r>
      <w:r>
        <w:rPr>
          <w:color w:val="auto"/>
          <w:sz w:val="24"/>
        </w:rPr>
        <w:t>，占标率为9.73%。评价范围内各关心点处的PM</w:t>
      </w:r>
      <w:r>
        <w:rPr>
          <w:color w:val="auto"/>
          <w:sz w:val="24"/>
          <w:vertAlign w:val="subscript"/>
        </w:rPr>
        <w:t>10</w:t>
      </w:r>
      <w:r>
        <w:rPr>
          <w:color w:val="auto"/>
          <w:sz w:val="24"/>
        </w:rPr>
        <w:t>最大年均浓度贡献值范围为</w:t>
      </w:r>
      <w:r>
        <w:rPr>
          <w:rFonts w:hint="eastAsia"/>
          <w:color w:val="auto"/>
          <w:sz w:val="24"/>
        </w:rPr>
        <w:t>0.235</w:t>
      </w:r>
      <w:r>
        <w:rPr>
          <w:color w:val="auto"/>
          <w:sz w:val="24"/>
        </w:rPr>
        <w:t>ug/m</w:t>
      </w:r>
      <w:r>
        <w:rPr>
          <w:color w:val="auto"/>
          <w:sz w:val="24"/>
          <w:vertAlign w:val="superscript"/>
        </w:rPr>
        <w:t>3</w:t>
      </w:r>
      <w:r>
        <w:rPr>
          <w:color w:val="auto"/>
          <w:sz w:val="24"/>
        </w:rPr>
        <w:t>~3.886ug/m</w:t>
      </w:r>
      <w:r>
        <w:rPr>
          <w:color w:val="auto"/>
          <w:sz w:val="24"/>
          <w:vertAlign w:val="superscript"/>
        </w:rPr>
        <w:t>3</w:t>
      </w:r>
      <w:r>
        <w:rPr>
          <w:color w:val="auto"/>
          <w:sz w:val="24"/>
        </w:rPr>
        <w:t>，均低于评价标准限值</w:t>
      </w:r>
      <w:r>
        <w:rPr>
          <w:color w:val="auto"/>
          <w:sz w:val="24"/>
          <w:szCs w:val="32"/>
        </w:rPr>
        <w:t>；</w:t>
      </w:r>
    </w:p>
    <w:p w14:paraId="52B6F777">
      <w:pPr>
        <w:spacing w:line="360" w:lineRule="auto"/>
        <w:ind w:firstLine="480" w:firstLineChars="200"/>
        <w:rPr>
          <w:color w:val="auto"/>
          <w:sz w:val="24"/>
          <w:szCs w:val="32"/>
        </w:rPr>
      </w:pPr>
      <w:r>
        <w:rPr>
          <w:color w:val="auto"/>
          <w:sz w:val="24"/>
        </w:rPr>
        <w:t>SO</w:t>
      </w:r>
      <w:r>
        <w:rPr>
          <w:color w:val="auto"/>
          <w:sz w:val="24"/>
          <w:vertAlign w:val="subscript"/>
        </w:rPr>
        <w:t>2</w:t>
      </w:r>
      <w:r>
        <w:rPr>
          <w:color w:val="auto"/>
          <w:sz w:val="24"/>
        </w:rPr>
        <w:t>年均最大落地浓度贡献值为0.00</w:t>
      </w:r>
      <w:r>
        <w:rPr>
          <w:rFonts w:hint="eastAsia"/>
          <w:color w:val="auto"/>
          <w:sz w:val="24"/>
        </w:rPr>
        <w:t>154</w:t>
      </w:r>
      <w:r>
        <w:rPr>
          <w:color w:val="auto"/>
          <w:sz w:val="24"/>
        </w:rPr>
        <w:t>ug/m</w:t>
      </w:r>
      <w:r>
        <w:rPr>
          <w:color w:val="auto"/>
          <w:sz w:val="24"/>
          <w:vertAlign w:val="superscript"/>
        </w:rPr>
        <w:t>3</w:t>
      </w:r>
      <w:r>
        <w:rPr>
          <w:color w:val="auto"/>
          <w:sz w:val="24"/>
        </w:rPr>
        <w:t>，占标率为0.0</w:t>
      </w:r>
      <w:r>
        <w:rPr>
          <w:rFonts w:hint="eastAsia"/>
          <w:color w:val="auto"/>
          <w:sz w:val="24"/>
        </w:rPr>
        <w:t>026</w:t>
      </w:r>
      <w:r>
        <w:rPr>
          <w:color w:val="auto"/>
          <w:sz w:val="24"/>
        </w:rPr>
        <w:t>%。评价范围内各关心点处的SO</w:t>
      </w:r>
      <w:r>
        <w:rPr>
          <w:color w:val="auto"/>
          <w:sz w:val="24"/>
          <w:vertAlign w:val="subscript"/>
        </w:rPr>
        <w:t>2</w:t>
      </w:r>
      <w:r>
        <w:rPr>
          <w:color w:val="auto"/>
          <w:sz w:val="24"/>
        </w:rPr>
        <w:t>最大年均浓度贡献值范围为0.00</w:t>
      </w:r>
      <w:r>
        <w:rPr>
          <w:rFonts w:hint="eastAsia"/>
          <w:color w:val="auto"/>
          <w:sz w:val="24"/>
        </w:rPr>
        <w:t>007</w:t>
      </w:r>
      <w:r>
        <w:rPr>
          <w:color w:val="auto"/>
          <w:sz w:val="24"/>
        </w:rPr>
        <w:t>ug/m</w:t>
      </w:r>
      <w:r>
        <w:rPr>
          <w:color w:val="auto"/>
          <w:sz w:val="24"/>
          <w:vertAlign w:val="superscript"/>
        </w:rPr>
        <w:t>3</w:t>
      </w:r>
      <w:r>
        <w:rPr>
          <w:color w:val="auto"/>
          <w:sz w:val="24"/>
        </w:rPr>
        <w:t>~0.00</w:t>
      </w:r>
      <w:r>
        <w:rPr>
          <w:rFonts w:hint="eastAsia"/>
          <w:color w:val="auto"/>
          <w:sz w:val="24"/>
        </w:rPr>
        <w:t>111</w:t>
      </w:r>
      <w:r>
        <w:rPr>
          <w:color w:val="auto"/>
          <w:sz w:val="24"/>
        </w:rPr>
        <w:t xml:space="preserve"> ug/m</w:t>
      </w:r>
      <w:r>
        <w:rPr>
          <w:color w:val="auto"/>
          <w:sz w:val="24"/>
          <w:vertAlign w:val="superscript"/>
        </w:rPr>
        <w:t>3</w:t>
      </w:r>
      <w:r>
        <w:rPr>
          <w:color w:val="auto"/>
          <w:sz w:val="24"/>
        </w:rPr>
        <w:t>，均低于评价标准限值</w:t>
      </w:r>
      <w:r>
        <w:rPr>
          <w:color w:val="auto"/>
          <w:sz w:val="24"/>
          <w:szCs w:val="32"/>
        </w:rPr>
        <w:t>；</w:t>
      </w:r>
    </w:p>
    <w:p w14:paraId="5312D8AB">
      <w:pPr>
        <w:spacing w:line="360" w:lineRule="auto"/>
        <w:ind w:firstLine="480" w:firstLineChars="200"/>
        <w:rPr>
          <w:color w:val="auto"/>
          <w:sz w:val="24"/>
          <w:szCs w:val="32"/>
        </w:rPr>
      </w:pPr>
      <w:r>
        <w:rPr>
          <w:color w:val="auto"/>
          <w:sz w:val="24"/>
        </w:rPr>
        <w:t>NO</w:t>
      </w:r>
      <w:r>
        <w:rPr>
          <w:color w:val="auto"/>
          <w:sz w:val="24"/>
          <w:vertAlign w:val="subscript"/>
        </w:rPr>
        <w:t>X</w:t>
      </w:r>
      <w:r>
        <w:rPr>
          <w:color w:val="auto"/>
          <w:sz w:val="24"/>
        </w:rPr>
        <w:t>年均最大落地浓度贡献值为0.</w:t>
      </w:r>
      <w:r>
        <w:rPr>
          <w:rFonts w:hint="eastAsia"/>
          <w:color w:val="auto"/>
          <w:sz w:val="24"/>
        </w:rPr>
        <w:t>059</w:t>
      </w:r>
      <w:r>
        <w:rPr>
          <w:color w:val="auto"/>
          <w:sz w:val="24"/>
        </w:rPr>
        <w:t>ug/m</w:t>
      </w:r>
      <w:r>
        <w:rPr>
          <w:color w:val="auto"/>
          <w:sz w:val="24"/>
          <w:vertAlign w:val="superscript"/>
        </w:rPr>
        <w:t>3</w:t>
      </w:r>
      <w:r>
        <w:rPr>
          <w:color w:val="auto"/>
          <w:sz w:val="24"/>
        </w:rPr>
        <w:t>，占标率为</w:t>
      </w:r>
      <w:r>
        <w:rPr>
          <w:rFonts w:hint="eastAsia"/>
          <w:color w:val="auto"/>
          <w:sz w:val="24"/>
        </w:rPr>
        <w:t>0.119</w:t>
      </w:r>
      <w:r>
        <w:rPr>
          <w:color w:val="auto"/>
          <w:sz w:val="24"/>
        </w:rPr>
        <w:t>%。评价范围内各关心点处的NO</w:t>
      </w:r>
      <w:r>
        <w:rPr>
          <w:color w:val="auto"/>
          <w:sz w:val="24"/>
          <w:vertAlign w:val="subscript"/>
        </w:rPr>
        <w:t>X</w:t>
      </w:r>
      <w:r>
        <w:rPr>
          <w:color w:val="auto"/>
          <w:sz w:val="24"/>
        </w:rPr>
        <w:t>最大年均浓度贡献值范围为0.0</w:t>
      </w:r>
      <w:r>
        <w:rPr>
          <w:rFonts w:hint="eastAsia"/>
          <w:color w:val="auto"/>
          <w:sz w:val="24"/>
        </w:rPr>
        <w:t>03</w:t>
      </w:r>
      <w:r>
        <w:rPr>
          <w:color w:val="auto"/>
          <w:sz w:val="24"/>
        </w:rPr>
        <w:t>ug/m</w:t>
      </w:r>
      <w:r>
        <w:rPr>
          <w:color w:val="auto"/>
          <w:sz w:val="24"/>
          <w:vertAlign w:val="superscript"/>
        </w:rPr>
        <w:t>3</w:t>
      </w:r>
      <w:r>
        <w:rPr>
          <w:color w:val="auto"/>
          <w:sz w:val="24"/>
        </w:rPr>
        <w:t>~0.</w:t>
      </w:r>
      <w:r>
        <w:rPr>
          <w:rFonts w:hint="eastAsia"/>
          <w:color w:val="auto"/>
          <w:sz w:val="24"/>
        </w:rPr>
        <w:t>043</w:t>
      </w:r>
      <w:r>
        <w:rPr>
          <w:color w:val="auto"/>
          <w:sz w:val="24"/>
        </w:rPr>
        <w:t>ug/m</w:t>
      </w:r>
      <w:r>
        <w:rPr>
          <w:color w:val="auto"/>
          <w:sz w:val="24"/>
          <w:vertAlign w:val="superscript"/>
        </w:rPr>
        <w:t>3</w:t>
      </w:r>
      <w:r>
        <w:rPr>
          <w:color w:val="auto"/>
          <w:sz w:val="24"/>
        </w:rPr>
        <w:t>，均低于评价标准限值</w:t>
      </w:r>
      <w:r>
        <w:rPr>
          <w:color w:val="auto"/>
          <w:sz w:val="24"/>
          <w:szCs w:val="32"/>
        </w:rPr>
        <w:t>；</w:t>
      </w:r>
    </w:p>
    <w:p w14:paraId="4D2F43BA">
      <w:pPr>
        <w:spacing w:line="360" w:lineRule="auto"/>
        <w:ind w:firstLine="480" w:firstLineChars="200"/>
        <w:rPr>
          <w:rFonts w:hint="eastAsia"/>
          <w:color w:val="auto"/>
          <w:sz w:val="24"/>
          <w:lang w:eastAsia="zh-CN"/>
        </w:rPr>
      </w:pPr>
      <w:r>
        <w:rPr>
          <w:color w:val="auto"/>
          <w:sz w:val="24"/>
        </w:rPr>
        <w:t>HCl日均最大落地浓度贡献值为</w:t>
      </w:r>
      <w:r>
        <w:rPr>
          <w:rFonts w:hint="eastAsia"/>
          <w:color w:val="auto"/>
          <w:sz w:val="24"/>
        </w:rPr>
        <w:t>0.198</w:t>
      </w:r>
      <w:r>
        <w:rPr>
          <w:color w:val="auto"/>
          <w:sz w:val="24"/>
        </w:rPr>
        <w:t>ug/m</w:t>
      </w:r>
      <w:r>
        <w:rPr>
          <w:color w:val="auto"/>
          <w:sz w:val="24"/>
          <w:vertAlign w:val="superscript"/>
        </w:rPr>
        <w:t>3</w:t>
      </w:r>
      <w:r>
        <w:rPr>
          <w:color w:val="auto"/>
          <w:sz w:val="24"/>
        </w:rPr>
        <w:t>，占标率为</w:t>
      </w:r>
      <w:r>
        <w:rPr>
          <w:rFonts w:hint="eastAsia"/>
          <w:color w:val="auto"/>
          <w:sz w:val="24"/>
        </w:rPr>
        <w:t>1.321</w:t>
      </w:r>
      <w:r>
        <w:rPr>
          <w:color w:val="auto"/>
          <w:sz w:val="24"/>
        </w:rPr>
        <w:t>%。评价范围内各关心点处的HCl最大日均浓度贡献值范围为0.0</w:t>
      </w:r>
      <w:r>
        <w:rPr>
          <w:rFonts w:hint="eastAsia"/>
          <w:color w:val="auto"/>
          <w:sz w:val="24"/>
        </w:rPr>
        <w:t>15</w:t>
      </w:r>
      <w:r>
        <w:rPr>
          <w:color w:val="auto"/>
          <w:sz w:val="24"/>
        </w:rPr>
        <w:t>ug/m</w:t>
      </w:r>
      <w:r>
        <w:rPr>
          <w:color w:val="auto"/>
          <w:sz w:val="24"/>
          <w:vertAlign w:val="superscript"/>
        </w:rPr>
        <w:t>3</w:t>
      </w:r>
      <w:r>
        <w:rPr>
          <w:color w:val="auto"/>
          <w:sz w:val="24"/>
        </w:rPr>
        <w:t>~0.</w:t>
      </w:r>
      <w:r>
        <w:rPr>
          <w:rFonts w:hint="eastAsia"/>
          <w:color w:val="auto"/>
          <w:sz w:val="24"/>
        </w:rPr>
        <w:t>078</w:t>
      </w:r>
      <w:r>
        <w:rPr>
          <w:color w:val="auto"/>
          <w:sz w:val="24"/>
        </w:rPr>
        <w:t>ug/m</w:t>
      </w:r>
      <w:r>
        <w:rPr>
          <w:color w:val="auto"/>
          <w:sz w:val="24"/>
          <w:vertAlign w:val="superscript"/>
        </w:rPr>
        <w:t>3</w:t>
      </w:r>
      <w:r>
        <w:rPr>
          <w:color w:val="auto"/>
          <w:sz w:val="24"/>
        </w:rPr>
        <w:t>，均低于评价标准限值</w:t>
      </w:r>
      <w:r>
        <w:rPr>
          <w:rFonts w:hint="eastAsia"/>
          <w:color w:val="auto"/>
          <w:sz w:val="24"/>
          <w:lang w:eastAsia="zh-CN"/>
        </w:rPr>
        <w:t>；</w:t>
      </w:r>
    </w:p>
    <w:p w14:paraId="7B835859">
      <w:pPr>
        <w:spacing w:line="360" w:lineRule="auto"/>
        <w:ind w:firstLine="480" w:firstLineChars="200"/>
        <w:rPr>
          <w:rFonts w:hint="eastAsia" w:eastAsia="宋体"/>
          <w:color w:val="auto"/>
          <w:sz w:val="24"/>
          <w:lang w:val="en-US" w:eastAsia="zh-CN"/>
        </w:rPr>
      </w:pPr>
      <w:r>
        <w:rPr>
          <w:color w:val="auto"/>
          <w:sz w:val="24"/>
        </w:rPr>
        <w:t>二噁英年均最大落地浓度贡献值为0.0007pg/m</w:t>
      </w:r>
      <w:r>
        <w:rPr>
          <w:color w:val="auto"/>
          <w:sz w:val="24"/>
          <w:vertAlign w:val="superscript"/>
        </w:rPr>
        <w:t>3</w:t>
      </w:r>
      <w:r>
        <w:rPr>
          <w:color w:val="auto"/>
          <w:sz w:val="24"/>
        </w:rPr>
        <w:t>，占标率为0.116%。评价范围内各关心点处的二噁英最大年均浓度贡献值范围为0.00003pg/m</w:t>
      </w:r>
      <w:r>
        <w:rPr>
          <w:color w:val="auto"/>
          <w:sz w:val="24"/>
          <w:vertAlign w:val="superscript"/>
        </w:rPr>
        <w:t>3</w:t>
      </w:r>
      <w:r>
        <w:rPr>
          <w:color w:val="auto"/>
          <w:sz w:val="24"/>
        </w:rPr>
        <w:t>~0.00</w:t>
      </w:r>
      <w:r>
        <w:rPr>
          <w:rFonts w:hint="eastAsia"/>
          <w:color w:val="auto"/>
          <w:sz w:val="24"/>
        </w:rPr>
        <w:t>051</w:t>
      </w:r>
      <w:r>
        <w:rPr>
          <w:color w:val="auto"/>
          <w:sz w:val="24"/>
        </w:rPr>
        <w:t>pg/m</w:t>
      </w:r>
      <w:r>
        <w:rPr>
          <w:color w:val="auto"/>
          <w:sz w:val="24"/>
          <w:vertAlign w:val="superscript"/>
        </w:rPr>
        <w:t>3</w:t>
      </w:r>
      <w:r>
        <w:rPr>
          <w:color w:val="auto"/>
          <w:sz w:val="24"/>
        </w:rPr>
        <w:t>，均低于评价标准限值</w:t>
      </w:r>
      <w:r>
        <w:rPr>
          <w:rFonts w:hint="eastAsia"/>
          <w:color w:val="auto"/>
          <w:sz w:val="24"/>
          <w:lang w:eastAsia="zh-CN"/>
        </w:rPr>
        <w:t>。</w:t>
      </w:r>
    </w:p>
    <w:p w14:paraId="10BFFD08">
      <w:pPr>
        <w:spacing w:line="360" w:lineRule="auto"/>
        <w:ind w:firstLine="480" w:firstLineChars="200"/>
        <w:rPr>
          <w:color w:val="auto"/>
          <w:sz w:val="24"/>
          <w:szCs w:val="32"/>
        </w:rPr>
      </w:pPr>
      <w:r>
        <w:rPr>
          <w:color w:val="auto"/>
          <w:sz w:val="24"/>
          <w:szCs w:val="32"/>
        </w:rPr>
        <w:t>根据</w:t>
      </w:r>
      <w:r>
        <w:rPr>
          <w:rFonts w:hint="eastAsia" w:ascii="宋体" w:hAnsi="宋体" w:eastAsia="宋体" w:cs="宋体"/>
          <w:color w:val="auto"/>
          <w:sz w:val="24"/>
          <w:szCs w:val="32"/>
        </w:rPr>
        <w:t>“</w:t>
      </w:r>
      <w:r>
        <w:rPr>
          <w:color w:val="auto"/>
          <w:sz w:val="24"/>
          <w:szCs w:val="32"/>
        </w:rPr>
        <w:t>4.3.1大气环境质量现状</w:t>
      </w:r>
      <w:r>
        <w:rPr>
          <w:rFonts w:hint="eastAsia" w:ascii="宋体" w:hAnsi="宋体" w:eastAsia="宋体" w:cs="宋体"/>
          <w:color w:val="auto"/>
          <w:sz w:val="24"/>
          <w:szCs w:val="32"/>
        </w:rPr>
        <w:t>”</w:t>
      </w:r>
      <w:r>
        <w:rPr>
          <w:color w:val="auto"/>
          <w:sz w:val="24"/>
          <w:szCs w:val="32"/>
        </w:rPr>
        <w:t>章节可知，项目所在区域为不达标区，与历史监测数据对比，主要环境空气污染物浓度与环评阶段变化不大</w:t>
      </w:r>
      <w:r>
        <w:rPr>
          <w:rFonts w:hint="eastAsia"/>
          <w:color w:val="auto"/>
          <w:sz w:val="24"/>
          <w:szCs w:val="32"/>
          <w:lang w:eastAsia="zh-CN"/>
        </w:rPr>
        <w:t>，</w:t>
      </w:r>
      <w:r>
        <w:rPr>
          <w:color w:val="auto"/>
          <w:sz w:val="24"/>
          <w:szCs w:val="32"/>
        </w:rPr>
        <w:t>与原环评大气环境影响评价结论一致。</w:t>
      </w:r>
    </w:p>
    <w:p w14:paraId="305ADAEC">
      <w:pPr>
        <w:spacing w:line="360" w:lineRule="auto"/>
        <w:outlineLvl w:val="1"/>
        <w:rPr>
          <w:b/>
          <w:bCs/>
          <w:color w:val="auto"/>
          <w:sz w:val="28"/>
          <w:szCs w:val="36"/>
        </w:rPr>
      </w:pPr>
      <w:bookmarkStart w:id="375" w:name="_Toc24682"/>
      <w:r>
        <w:rPr>
          <w:b/>
          <w:bCs/>
          <w:color w:val="auto"/>
          <w:sz w:val="28"/>
          <w:szCs w:val="36"/>
        </w:rPr>
        <w:t>6.2废水影响和实际影响差异性分析</w:t>
      </w:r>
      <w:bookmarkEnd w:id="375"/>
    </w:p>
    <w:p w14:paraId="6DE99A87">
      <w:pPr>
        <w:spacing w:line="360" w:lineRule="auto"/>
        <w:ind w:firstLine="480" w:firstLineChars="200"/>
        <w:rPr>
          <w:color w:val="auto"/>
          <w:sz w:val="24"/>
        </w:rPr>
      </w:pPr>
      <w:r>
        <w:rPr>
          <w:rFonts w:hint="eastAsia"/>
          <w:color w:val="auto"/>
          <w:sz w:val="24"/>
        </w:rPr>
        <w:t>和原环评对比，项目废水</w:t>
      </w:r>
      <w:r>
        <w:rPr>
          <w:rFonts w:hint="eastAsia"/>
          <w:color w:val="auto"/>
          <w:sz w:val="24"/>
          <w:lang w:val="en-US" w:eastAsia="zh-CN"/>
        </w:rPr>
        <w:t>产生与排放未发生变化。项目无生产废水外排，项目采用“雨污分流、清污分流”系统。循环冷却水回用于生产，不外排；生活污水经化粪池处理后排入开发区污水管网进入滩溪县第二污水处理厂集中处理。</w:t>
      </w:r>
    </w:p>
    <w:p w14:paraId="35DA2A53">
      <w:pPr>
        <w:spacing w:line="360" w:lineRule="auto"/>
        <w:outlineLvl w:val="1"/>
        <w:rPr>
          <w:b/>
          <w:bCs/>
          <w:color w:val="auto"/>
          <w:sz w:val="28"/>
          <w:szCs w:val="36"/>
        </w:rPr>
      </w:pPr>
      <w:bookmarkStart w:id="376" w:name="_Toc15470"/>
      <w:r>
        <w:rPr>
          <w:b/>
          <w:bCs/>
          <w:color w:val="auto"/>
          <w:sz w:val="28"/>
          <w:szCs w:val="36"/>
        </w:rPr>
        <w:t>6.3固废预测影响差异分析</w:t>
      </w:r>
      <w:bookmarkEnd w:id="376"/>
    </w:p>
    <w:p w14:paraId="3D1DD4E3">
      <w:pPr>
        <w:spacing w:line="360" w:lineRule="auto"/>
        <w:ind w:firstLine="480" w:firstLineChars="200"/>
        <w:rPr>
          <w:color w:val="auto"/>
          <w:sz w:val="24"/>
          <w:szCs w:val="32"/>
        </w:rPr>
      </w:pPr>
      <w:r>
        <w:rPr>
          <w:color w:val="auto"/>
          <w:sz w:val="24"/>
          <w:szCs w:val="32"/>
        </w:rPr>
        <w:t>环评中</w:t>
      </w:r>
      <w:r>
        <w:rPr>
          <w:rFonts w:hint="eastAsia"/>
          <w:color w:val="auto"/>
          <w:sz w:val="24"/>
          <w:szCs w:val="32"/>
        </w:rPr>
        <w:t>一期</w:t>
      </w:r>
      <w:r>
        <w:rPr>
          <w:color w:val="auto"/>
          <w:sz w:val="24"/>
          <w:szCs w:val="32"/>
        </w:rPr>
        <w:t>项目产生的固体废物全部得到妥善处理处置。危险废物送有资质的危险废物处置中心集中处置，不会产生二次污染。因此，项目产生的固废不会对周围环境产生的影响</w:t>
      </w:r>
      <w:r>
        <w:rPr>
          <w:rFonts w:hint="eastAsia"/>
          <w:color w:val="auto"/>
          <w:sz w:val="24"/>
          <w:szCs w:val="32"/>
        </w:rPr>
        <w:t>。</w:t>
      </w:r>
    </w:p>
    <w:p w14:paraId="0D96809B">
      <w:pPr>
        <w:spacing w:line="360" w:lineRule="auto"/>
        <w:ind w:firstLine="480" w:firstLineChars="200"/>
        <w:rPr>
          <w:color w:val="auto"/>
          <w:sz w:val="24"/>
          <w:szCs w:val="32"/>
        </w:rPr>
      </w:pPr>
      <w:r>
        <w:rPr>
          <w:color w:val="auto"/>
          <w:sz w:val="24"/>
          <w:szCs w:val="32"/>
        </w:rPr>
        <w:t>项目实际固废产生及治理措施见</w:t>
      </w:r>
      <w:r>
        <w:rPr>
          <w:rFonts w:hint="eastAsia"/>
          <w:color w:val="auto"/>
          <w:sz w:val="24"/>
          <w:szCs w:val="32"/>
        </w:rPr>
        <w:t>下表：</w:t>
      </w:r>
    </w:p>
    <w:p w14:paraId="61D0749A">
      <w:pPr>
        <w:spacing w:line="360" w:lineRule="auto"/>
        <w:jc w:val="center"/>
        <w:rPr>
          <w:b/>
          <w:bCs/>
          <w:color w:val="auto"/>
          <w:sz w:val="24"/>
          <w:szCs w:val="32"/>
        </w:rPr>
      </w:pPr>
      <w:r>
        <w:rPr>
          <w:b/>
          <w:bCs/>
          <w:color w:val="auto"/>
          <w:sz w:val="24"/>
          <w:szCs w:val="32"/>
        </w:rPr>
        <w:t xml:space="preserve">表6-1 </w:t>
      </w:r>
      <w:r>
        <w:rPr>
          <w:rFonts w:hint="eastAsia"/>
          <w:b/>
          <w:bCs/>
          <w:color w:val="auto"/>
          <w:sz w:val="24"/>
          <w:szCs w:val="32"/>
        </w:rPr>
        <w:t>项目一期</w:t>
      </w:r>
      <w:r>
        <w:rPr>
          <w:rFonts w:hint="eastAsia"/>
          <w:b/>
          <w:bCs/>
          <w:color w:val="auto"/>
          <w:sz w:val="24"/>
          <w:szCs w:val="32"/>
          <w:lang w:val="en-US" w:eastAsia="zh-CN"/>
        </w:rPr>
        <w:t>工程</w:t>
      </w:r>
      <w:r>
        <w:rPr>
          <w:b/>
          <w:bCs/>
          <w:color w:val="auto"/>
          <w:sz w:val="24"/>
          <w:szCs w:val="32"/>
        </w:rPr>
        <w:t>实际产生的固体废弃物和处理处置去向</w:t>
      </w:r>
      <w:r>
        <w:rPr>
          <w:rFonts w:hint="eastAsia"/>
          <w:b/>
          <w:bCs/>
          <w:color w:val="auto"/>
          <w:sz w:val="24"/>
          <w:szCs w:val="32"/>
          <w:lang w:val="en-US" w:eastAsia="zh-CN"/>
        </w:rPr>
        <w:t>一览表</w:t>
      </w:r>
    </w:p>
    <w:tbl>
      <w:tblPr>
        <w:tblStyle w:val="3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756"/>
        <w:gridCol w:w="1258"/>
        <w:gridCol w:w="1430"/>
        <w:gridCol w:w="1383"/>
        <w:gridCol w:w="1910"/>
        <w:gridCol w:w="914"/>
        <w:gridCol w:w="2111"/>
      </w:tblGrid>
      <w:tr w14:paraId="63E98E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6A9BBD3D">
            <w:pPr>
              <w:jc w:val="center"/>
              <w:rPr>
                <w:b/>
                <w:bCs/>
                <w:color w:val="auto"/>
              </w:rPr>
            </w:pPr>
            <w:r>
              <w:rPr>
                <w:b/>
                <w:bCs/>
                <w:color w:val="auto"/>
              </w:rPr>
              <w:t>序号</w:t>
            </w:r>
          </w:p>
        </w:tc>
        <w:tc>
          <w:tcPr>
            <w:tcW w:w="644" w:type="pct"/>
            <w:tcBorders>
              <w:tl2br w:val="nil"/>
              <w:tr2bl w:val="nil"/>
            </w:tcBorders>
            <w:vAlign w:val="center"/>
          </w:tcPr>
          <w:p w14:paraId="00464DDF">
            <w:pPr>
              <w:jc w:val="center"/>
              <w:rPr>
                <w:b/>
                <w:bCs/>
                <w:color w:val="auto"/>
              </w:rPr>
            </w:pPr>
            <w:r>
              <w:rPr>
                <w:b/>
                <w:bCs/>
                <w:color w:val="auto"/>
              </w:rPr>
              <w:t>名称</w:t>
            </w:r>
          </w:p>
        </w:tc>
        <w:tc>
          <w:tcPr>
            <w:tcW w:w="732" w:type="pct"/>
            <w:tcBorders>
              <w:tl2br w:val="nil"/>
              <w:tr2bl w:val="nil"/>
            </w:tcBorders>
            <w:vAlign w:val="center"/>
          </w:tcPr>
          <w:p w14:paraId="3BBF73C5">
            <w:pPr>
              <w:jc w:val="center"/>
              <w:rPr>
                <w:b/>
                <w:bCs/>
                <w:color w:val="auto"/>
              </w:rPr>
            </w:pPr>
            <w:r>
              <w:rPr>
                <w:b/>
                <w:bCs/>
                <w:color w:val="auto"/>
              </w:rPr>
              <w:t>主要成分</w:t>
            </w:r>
          </w:p>
        </w:tc>
        <w:tc>
          <w:tcPr>
            <w:tcW w:w="708" w:type="pct"/>
            <w:tcBorders>
              <w:tl2br w:val="nil"/>
              <w:tr2bl w:val="nil"/>
            </w:tcBorders>
            <w:vAlign w:val="center"/>
          </w:tcPr>
          <w:p w14:paraId="35E223B5">
            <w:pPr>
              <w:jc w:val="center"/>
              <w:rPr>
                <w:rFonts w:hint="default" w:eastAsia="宋体"/>
                <w:b/>
                <w:bCs/>
                <w:color w:val="auto"/>
                <w:lang w:val="en-US" w:eastAsia="zh-CN"/>
              </w:rPr>
            </w:pPr>
            <w:r>
              <w:rPr>
                <w:rFonts w:hint="eastAsia"/>
                <w:b/>
                <w:bCs/>
                <w:color w:val="auto"/>
                <w:lang w:val="en-US" w:eastAsia="zh-CN"/>
              </w:rPr>
              <w:t>固废属性</w:t>
            </w:r>
          </w:p>
        </w:tc>
        <w:tc>
          <w:tcPr>
            <w:tcW w:w="978" w:type="pct"/>
            <w:tcBorders>
              <w:tl2br w:val="nil"/>
              <w:tr2bl w:val="nil"/>
            </w:tcBorders>
            <w:vAlign w:val="center"/>
          </w:tcPr>
          <w:p w14:paraId="0824FBDB">
            <w:pPr>
              <w:jc w:val="center"/>
              <w:rPr>
                <w:b/>
                <w:bCs/>
                <w:color w:val="auto"/>
              </w:rPr>
            </w:pPr>
            <w:r>
              <w:rPr>
                <w:rFonts w:hint="eastAsia"/>
                <w:b/>
                <w:bCs/>
                <w:color w:val="auto"/>
                <w:lang w:val="en-US" w:eastAsia="zh-CN"/>
              </w:rPr>
              <w:t>固废类别及</w:t>
            </w:r>
            <w:r>
              <w:rPr>
                <w:b/>
                <w:bCs/>
                <w:color w:val="auto"/>
              </w:rPr>
              <w:t>代码</w:t>
            </w:r>
          </w:p>
        </w:tc>
        <w:tc>
          <w:tcPr>
            <w:tcW w:w="468" w:type="pct"/>
            <w:tcBorders>
              <w:tl2br w:val="nil"/>
              <w:tr2bl w:val="nil"/>
            </w:tcBorders>
            <w:vAlign w:val="center"/>
          </w:tcPr>
          <w:p w14:paraId="1D62B705">
            <w:pPr>
              <w:jc w:val="center"/>
              <w:rPr>
                <w:b/>
                <w:bCs/>
                <w:color w:val="auto"/>
              </w:rPr>
            </w:pPr>
            <w:r>
              <w:rPr>
                <w:b/>
                <w:bCs/>
                <w:color w:val="auto"/>
              </w:rPr>
              <w:t>排放量</w:t>
            </w:r>
          </w:p>
        </w:tc>
        <w:tc>
          <w:tcPr>
            <w:tcW w:w="1081" w:type="pct"/>
            <w:tcBorders>
              <w:tl2br w:val="nil"/>
              <w:tr2bl w:val="nil"/>
            </w:tcBorders>
            <w:vAlign w:val="center"/>
          </w:tcPr>
          <w:p w14:paraId="0625CB57">
            <w:pPr>
              <w:jc w:val="center"/>
              <w:rPr>
                <w:b/>
                <w:bCs/>
                <w:color w:val="auto"/>
              </w:rPr>
            </w:pPr>
            <w:r>
              <w:rPr>
                <w:b/>
                <w:bCs/>
                <w:color w:val="auto"/>
              </w:rPr>
              <w:t>处置去向</w:t>
            </w:r>
          </w:p>
        </w:tc>
      </w:tr>
      <w:tr w14:paraId="385B3B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3205B573">
            <w:pPr>
              <w:jc w:val="center"/>
              <w:rPr>
                <w:color w:val="auto"/>
              </w:rPr>
            </w:pPr>
            <w:r>
              <w:rPr>
                <w:color w:val="auto"/>
              </w:rPr>
              <w:t>1</w:t>
            </w:r>
          </w:p>
        </w:tc>
        <w:tc>
          <w:tcPr>
            <w:tcW w:w="644" w:type="pct"/>
            <w:tcBorders>
              <w:tl2br w:val="nil"/>
              <w:tr2bl w:val="nil"/>
            </w:tcBorders>
            <w:vAlign w:val="center"/>
          </w:tcPr>
          <w:p w14:paraId="1D784982">
            <w:pPr>
              <w:jc w:val="center"/>
              <w:rPr>
                <w:color w:val="auto"/>
              </w:rPr>
            </w:pPr>
            <w:r>
              <w:rPr>
                <w:rFonts w:hint="eastAsia"/>
                <w:color w:val="auto"/>
                <w:lang w:val="en-US" w:eastAsia="zh-CN"/>
              </w:rPr>
              <w:t>废铁、废塑料杂质</w:t>
            </w:r>
          </w:p>
        </w:tc>
        <w:tc>
          <w:tcPr>
            <w:tcW w:w="732" w:type="pct"/>
            <w:tcBorders>
              <w:tl2br w:val="nil"/>
              <w:tr2bl w:val="nil"/>
            </w:tcBorders>
            <w:vAlign w:val="center"/>
          </w:tcPr>
          <w:p w14:paraId="1943AC8A">
            <w:pPr>
              <w:jc w:val="center"/>
              <w:rPr>
                <w:rFonts w:hint="default"/>
                <w:color w:val="auto"/>
                <w:lang w:val="en-US"/>
              </w:rPr>
            </w:pPr>
            <w:r>
              <w:rPr>
                <w:rFonts w:hint="eastAsia"/>
                <w:color w:val="auto"/>
                <w:lang w:val="en-US" w:eastAsia="zh-CN"/>
              </w:rPr>
              <w:t>废铁、废塑料等</w:t>
            </w:r>
          </w:p>
        </w:tc>
        <w:tc>
          <w:tcPr>
            <w:tcW w:w="708" w:type="pct"/>
            <w:tcBorders>
              <w:tl2br w:val="nil"/>
              <w:tr2bl w:val="nil"/>
            </w:tcBorders>
            <w:vAlign w:val="center"/>
          </w:tcPr>
          <w:p w14:paraId="19DB90FA">
            <w:pPr>
              <w:jc w:val="center"/>
              <w:rPr>
                <w:rFonts w:hint="default"/>
                <w:color w:val="auto"/>
                <w:lang w:val="en-US" w:eastAsia="zh-CN"/>
              </w:rPr>
            </w:pPr>
            <w:r>
              <w:rPr>
                <w:rFonts w:hint="eastAsia"/>
                <w:color w:val="auto"/>
                <w:lang w:val="en-US" w:eastAsia="zh-CN"/>
              </w:rPr>
              <w:t>一般固废</w:t>
            </w:r>
          </w:p>
        </w:tc>
        <w:tc>
          <w:tcPr>
            <w:tcW w:w="978" w:type="pct"/>
            <w:tcBorders>
              <w:tl2br w:val="nil"/>
              <w:tr2bl w:val="nil"/>
            </w:tcBorders>
            <w:vAlign w:val="center"/>
          </w:tcPr>
          <w:p w14:paraId="3501D374">
            <w:pPr>
              <w:jc w:val="center"/>
              <w:rPr>
                <w:rFonts w:hint="eastAsia" w:eastAsia="宋体"/>
                <w:color w:val="auto"/>
                <w:lang w:eastAsia="zh-CN"/>
              </w:rPr>
            </w:pPr>
            <w:r>
              <w:rPr>
                <w:rFonts w:hint="eastAsia"/>
                <w:color w:val="auto"/>
                <w:lang w:val="en-US" w:eastAsia="zh-CN"/>
              </w:rPr>
              <w:t>/</w:t>
            </w:r>
          </w:p>
        </w:tc>
        <w:tc>
          <w:tcPr>
            <w:tcW w:w="468" w:type="pct"/>
            <w:tcBorders>
              <w:tl2br w:val="nil"/>
              <w:tr2bl w:val="nil"/>
            </w:tcBorders>
            <w:vAlign w:val="center"/>
          </w:tcPr>
          <w:p w14:paraId="3B8EF62C">
            <w:pPr>
              <w:jc w:val="center"/>
              <w:rPr>
                <w:rFonts w:hint="default" w:eastAsia="宋体"/>
                <w:color w:val="auto"/>
                <w:lang w:val="en-US" w:eastAsia="zh-CN"/>
              </w:rPr>
            </w:pPr>
            <w:r>
              <w:rPr>
                <w:rFonts w:hint="eastAsia"/>
                <w:color w:val="auto"/>
                <w:lang w:val="en-US" w:eastAsia="zh-CN"/>
              </w:rPr>
              <w:t>233.22</w:t>
            </w:r>
          </w:p>
        </w:tc>
        <w:tc>
          <w:tcPr>
            <w:tcW w:w="1081" w:type="pct"/>
            <w:tcBorders>
              <w:tl2br w:val="nil"/>
              <w:tr2bl w:val="nil"/>
            </w:tcBorders>
            <w:vAlign w:val="center"/>
          </w:tcPr>
          <w:p w14:paraId="672CC8A3">
            <w:pPr>
              <w:jc w:val="center"/>
              <w:rPr>
                <w:rFonts w:hint="default" w:eastAsia="宋体"/>
                <w:color w:val="auto"/>
                <w:lang w:val="en-US" w:eastAsia="zh-CN"/>
              </w:rPr>
            </w:pPr>
            <w:r>
              <w:rPr>
                <w:rFonts w:hint="eastAsia"/>
                <w:color w:val="auto"/>
                <w:lang w:val="en-US" w:eastAsia="zh-CN"/>
              </w:rPr>
              <w:t>外售</w:t>
            </w:r>
          </w:p>
        </w:tc>
      </w:tr>
      <w:tr w14:paraId="5453FF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atLeast"/>
          <w:jc w:val="center"/>
        </w:trPr>
        <w:tc>
          <w:tcPr>
            <w:tcW w:w="387" w:type="pct"/>
            <w:tcBorders>
              <w:tl2br w:val="nil"/>
              <w:tr2bl w:val="nil"/>
            </w:tcBorders>
            <w:vAlign w:val="center"/>
          </w:tcPr>
          <w:p w14:paraId="2EC32A92">
            <w:pPr>
              <w:jc w:val="center"/>
              <w:rPr>
                <w:color w:val="auto"/>
              </w:rPr>
            </w:pPr>
            <w:r>
              <w:rPr>
                <w:color w:val="auto"/>
              </w:rPr>
              <w:t>2</w:t>
            </w:r>
          </w:p>
        </w:tc>
        <w:tc>
          <w:tcPr>
            <w:tcW w:w="644" w:type="pct"/>
            <w:tcBorders>
              <w:tl2br w:val="nil"/>
              <w:tr2bl w:val="nil"/>
            </w:tcBorders>
            <w:vAlign w:val="center"/>
          </w:tcPr>
          <w:p w14:paraId="4F23B2C3">
            <w:pPr>
              <w:jc w:val="center"/>
              <w:rPr>
                <w:rFonts w:hint="default" w:eastAsia="宋体"/>
                <w:color w:val="auto"/>
                <w:lang w:val="en-US" w:eastAsia="zh-CN"/>
              </w:rPr>
            </w:pPr>
            <w:r>
              <w:rPr>
                <w:rFonts w:hint="eastAsia"/>
                <w:color w:val="auto"/>
                <w:lang w:val="en-US" w:eastAsia="zh-CN"/>
              </w:rPr>
              <w:t>废除尘灰</w:t>
            </w:r>
          </w:p>
        </w:tc>
        <w:tc>
          <w:tcPr>
            <w:tcW w:w="732" w:type="pct"/>
            <w:tcBorders>
              <w:tl2br w:val="nil"/>
              <w:tr2bl w:val="nil"/>
            </w:tcBorders>
            <w:vAlign w:val="center"/>
          </w:tcPr>
          <w:p w14:paraId="01F8B9B9">
            <w:pPr>
              <w:jc w:val="center"/>
              <w:rPr>
                <w:rFonts w:hint="eastAsia" w:eastAsia="宋体"/>
                <w:color w:val="auto"/>
                <w:lang w:val="en-US" w:eastAsia="zh-CN"/>
              </w:rPr>
            </w:pPr>
            <w:r>
              <w:rPr>
                <w:rFonts w:hint="eastAsia"/>
                <w:color w:val="auto"/>
                <w:lang w:val="en-US" w:eastAsia="zh-CN"/>
              </w:rPr>
              <w:t>铝灰</w:t>
            </w:r>
          </w:p>
        </w:tc>
        <w:tc>
          <w:tcPr>
            <w:tcW w:w="708" w:type="pct"/>
            <w:tcBorders>
              <w:tl2br w:val="nil"/>
              <w:tr2bl w:val="nil"/>
            </w:tcBorders>
            <w:vAlign w:val="center"/>
          </w:tcPr>
          <w:p w14:paraId="2495F386">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57DAEE9A">
            <w:pPr>
              <w:jc w:val="center"/>
              <w:rPr>
                <w:rFonts w:hint="default" w:eastAsia="宋体"/>
                <w:color w:val="auto"/>
                <w:lang w:val="en-US" w:eastAsia="zh-CN"/>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321-034-48</w:t>
            </w:r>
          </w:p>
        </w:tc>
        <w:tc>
          <w:tcPr>
            <w:tcW w:w="468" w:type="pct"/>
            <w:tcBorders>
              <w:tl2br w:val="nil"/>
              <w:tr2bl w:val="nil"/>
            </w:tcBorders>
            <w:vAlign w:val="center"/>
          </w:tcPr>
          <w:p w14:paraId="1575EBA5">
            <w:pPr>
              <w:jc w:val="center"/>
              <w:rPr>
                <w:rFonts w:hint="default" w:eastAsia="宋体"/>
                <w:color w:val="auto"/>
                <w:lang w:val="en-US" w:eastAsia="zh-CN"/>
              </w:rPr>
            </w:pPr>
            <w:r>
              <w:rPr>
                <w:rFonts w:hint="eastAsia"/>
                <w:color w:val="auto"/>
                <w:lang w:val="en-US" w:eastAsia="zh-CN"/>
              </w:rPr>
              <w:t>1518.82</w:t>
            </w:r>
          </w:p>
        </w:tc>
        <w:tc>
          <w:tcPr>
            <w:tcW w:w="1081" w:type="pct"/>
            <w:tcBorders>
              <w:tl2br w:val="nil"/>
              <w:tr2bl w:val="nil"/>
            </w:tcBorders>
            <w:vAlign w:val="center"/>
          </w:tcPr>
          <w:p w14:paraId="15331364">
            <w:pPr>
              <w:jc w:val="center"/>
              <w:rPr>
                <w:rFonts w:hint="default" w:eastAsia="宋体"/>
                <w:color w:val="auto"/>
                <w:lang w:val="en-US" w:eastAsia="zh-CN"/>
              </w:rPr>
            </w:pPr>
            <w:r>
              <w:rPr>
                <w:color w:val="auto"/>
              </w:rPr>
              <w:t>委托</w:t>
            </w:r>
            <w:r>
              <w:rPr>
                <w:rFonts w:hint="eastAsia"/>
                <w:color w:val="auto"/>
                <w:lang w:val="en-US" w:eastAsia="zh-CN"/>
              </w:rPr>
              <w:t>有资质单位处置</w:t>
            </w:r>
          </w:p>
        </w:tc>
      </w:tr>
      <w:tr w14:paraId="4A4AB2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2C5B80A0">
            <w:pPr>
              <w:jc w:val="center"/>
              <w:rPr>
                <w:color w:val="auto"/>
              </w:rPr>
            </w:pPr>
            <w:r>
              <w:rPr>
                <w:color w:val="auto"/>
              </w:rPr>
              <w:t>3</w:t>
            </w:r>
          </w:p>
        </w:tc>
        <w:tc>
          <w:tcPr>
            <w:tcW w:w="644" w:type="pct"/>
            <w:tcBorders>
              <w:tl2br w:val="nil"/>
              <w:tr2bl w:val="nil"/>
            </w:tcBorders>
            <w:vAlign w:val="center"/>
          </w:tcPr>
          <w:p w14:paraId="57ED1FCD">
            <w:pPr>
              <w:jc w:val="center"/>
              <w:rPr>
                <w:rFonts w:hint="eastAsia" w:eastAsia="宋体"/>
                <w:color w:val="auto"/>
                <w:lang w:eastAsia="zh-CN"/>
              </w:rPr>
            </w:pPr>
            <w:r>
              <w:rPr>
                <w:rFonts w:hint="eastAsia" w:eastAsia="宋体"/>
                <w:color w:val="auto"/>
                <w:lang w:val="en-US" w:eastAsia="zh-CN"/>
              </w:rPr>
              <w:t>铝灰渣</w:t>
            </w:r>
          </w:p>
        </w:tc>
        <w:tc>
          <w:tcPr>
            <w:tcW w:w="732" w:type="pct"/>
            <w:tcBorders>
              <w:tl2br w:val="nil"/>
              <w:tr2bl w:val="nil"/>
            </w:tcBorders>
            <w:vAlign w:val="center"/>
          </w:tcPr>
          <w:p w14:paraId="1CAD4D72">
            <w:pPr>
              <w:jc w:val="center"/>
              <w:rPr>
                <w:color w:val="auto"/>
              </w:rPr>
            </w:pPr>
            <w:r>
              <w:rPr>
                <w:rFonts w:hint="default" w:ascii="Times New Roman" w:hAnsi="Times New Roman" w:eastAsia="宋体" w:cs="Times New Roman"/>
                <w:color w:val="auto"/>
                <w:kern w:val="0"/>
                <w:sz w:val="21"/>
                <w:szCs w:val="21"/>
              </w:rPr>
              <w:t>铝灰</w:t>
            </w:r>
          </w:p>
        </w:tc>
        <w:tc>
          <w:tcPr>
            <w:tcW w:w="708" w:type="pct"/>
            <w:tcBorders>
              <w:tl2br w:val="nil"/>
              <w:tr2bl w:val="nil"/>
            </w:tcBorders>
            <w:vAlign w:val="center"/>
          </w:tcPr>
          <w:p w14:paraId="4F026D9F">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462832A4">
            <w:pPr>
              <w:jc w:val="center"/>
              <w:rPr>
                <w:color w:val="auto"/>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321-026-48</w:t>
            </w:r>
          </w:p>
        </w:tc>
        <w:tc>
          <w:tcPr>
            <w:tcW w:w="468" w:type="pct"/>
            <w:tcBorders>
              <w:tl2br w:val="nil"/>
              <w:tr2bl w:val="nil"/>
            </w:tcBorders>
            <w:vAlign w:val="center"/>
          </w:tcPr>
          <w:p w14:paraId="42578E9E">
            <w:pPr>
              <w:jc w:val="center"/>
              <w:rPr>
                <w:rFonts w:hint="default" w:eastAsia="宋体"/>
                <w:color w:val="auto"/>
                <w:lang w:val="en-US" w:eastAsia="zh-CN"/>
              </w:rPr>
            </w:pPr>
            <w:r>
              <w:rPr>
                <w:rFonts w:hint="eastAsia"/>
                <w:color w:val="auto"/>
                <w:lang w:val="en-US" w:eastAsia="zh-CN"/>
              </w:rPr>
              <w:t>1880.43</w:t>
            </w:r>
          </w:p>
        </w:tc>
        <w:tc>
          <w:tcPr>
            <w:tcW w:w="1081" w:type="pct"/>
            <w:tcBorders>
              <w:tl2br w:val="nil"/>
              <w:tr2bl w:val="nil"/>
            </w:tcBorders>
            <w:vAlign w:val="center"/>
          </w:tcPr>
          <w:p w14:paraId="52538D81">
            <w:pPr>
              <w:jc w:val="center"/>
              <w:rPr>
                <w:color w:val="auto"/>
              </w:rPr>
            </w:pPr>
            <w:r>
              <w:rPr>
                <w:color w:val="auto"/>
              </w:rPr>
              <w:t>委托</w:t>
            </w:r>
            <w:r>
              <w:rPr>
                <w:rFonts w:hint="eastAsia"/>
                <w:color w:val="auto"/>
                <w:lang w:val="en-US" w:eastAsia="zh-CN"/>
              </w:rPr>
              <w:t>有资质单位处置</w:t>
            </w:r>
          </w:p>
        </w:tc>
      </w:tr>
    </w:tbl>
    <w:p w14:paraId="1DD0ABA0">
      <w:pPr>
        <w:spacing w:line="360" w:lineRule="auto"/>
        <w:ind w:firstLine="480" w:firstLineChars="200"/>
        <w:rPr>
          <w:color w:val="auto"/>
          <w:sz w:val="24"/>
          <w:szCs w:val="32"/>
        </w:rPr>
      </w:pPr>
      <w:r>
        <w:rPr>
          <w:color w:val="auto"/>
          <w:sz w:val="24"/>
          <w:szCs w:val="32"/>
        </w:rPr>
        <w:t>根据上表可知，项目固体废弃物均得到有效处理处置。企业严格按照《危险废物贮存污染控制标准》（GB18597-2023）相关规定建设</w:t>
      </w:r>
      <w:r>
        <w:rPr>
          <w:rFonts w:hint="eastAsia"/>
          <w:color w:val="auto"/>
          <w:sz w:val="24"/>
          <w:szCs w:val="32"/>
        </w:rPr>
        <w:t>危废库</w:t>
      </w:r>
      <w:r>
        <w:rPr>
          <w:color w:val="auto"/>
          <w:sz w:val="24"/>
          <w:szCs w:val="32"/>
        </w:rPr>
        <w:t>，地面进行了防腐防渗，危险废物分类存放，并建立危险废物管理制度，明确责任人，对</w:t>
      </w:r>
      <w:r>
        <w:rPr>
          <w:rFonts w:hint="eastAsia"/>
          <w:color w:val="auto"/>
          <w:sz w:val="24"/>
          <w:szCs w:val="32"/>
        </w:rPr>
        <w:t>危废库</w:t>
      </w:r>
      <w:r>
        <w:rPr>
          <w:color w:val="auto"/>
          <w:sz w:val="24"/>
          <w:szCs w:val="32"/>
        </w:rPr>
        <w:t>加强环境管理，宣贯落实环境保护法、环境影响评价法等法律文件精神，提高员工环境保护意识，加强环境管理，杜绝倾倒危废或其他危废流失现象的发生。总体来说固废对环境影响较环评期预测影响变小。</w:t>
      </w:r>
    </w:p>
    <w:p w14:paraId="6954E506">
      <w:pPr>
        <w:spacing w:line="360" w:lineRule="auto"/>
        <w:outlineLvl w:val="1"/>
        <w:rPr>
          <w:b/>
          <w:bCs/>
          <w:color w:val="auto"/>
          <w:sz w:val="28"/>
          <w:szCs w:val="36"/>
        </w:rPr>
      </w:pPr>
      <w:bookmarkStart w:id="377" w:name="_Toc24168"/>
      <w:r>
        <w:rPr>
          <w:b/>
          <w:bCs/>
          <w:color w:val="auto"/>
          <w:sz w:val="28"/>
          <w:szCs w:val="36"/>
        </w:rPr>
        <w:t>6.4噪声预测影响差异分析</w:t>
      </w:r>
      <w:bookmarkEnd w:id="377"/>
    </w:p>
    <w:p w14:paraId="78E31774">
      <w:pPr>
        <w:spacing w:line="360" w:lineRule="auto"/>
        <w:ind w:firstLine="480" w:firstLineChars="200"/>
        <w:rPr>
          <w:color w:val="auto"/>
          <w:sz w:val="24"/>
          <w:szCs w:val="32"/>
        </w:rPr>
      </w:pPr>
      <w:r>
        <w:rPr>
          <w:color w:val="auto"/>
          <w:sz w:val="24"/>
          <w:szCs w:val="32"/>
        </w:rPr>
        <w:t>根据原环评预测结果，建设项目建成后，厂区的噪声设备在所有测点均能达标排放。与本底值叠加后，噪声值虽有小幅上升，但基本能维持现状。因此设备噪声对环境影响不大，且厂界附近无居民区，不会出现噪声扰民现象。</w:t>
      </w:r>
    </w:p>
    <w:p w14:paraId="3B07BC25">
      <w:pPr>
        <w:spacing w:line="360" w:lineRule="auto"/>
        <w:ind w:firstLine="480" w:firstLineChars="200"/>
        <w:rPr>
          <w:color w:val="auto"/>
          <w:sz w:val="24"/>
          <w:szCs w:val="32"/>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color w:val="auto"/>
          <w:sz w:val="24"/>
          <w:szCs w:val="32"/>
        </w:rPr>
        <w:t>根据调查和实际监测结果，由于项目位于工业园区，且厂界附近无居民区，项目噪声的环境影响与原环评基本一致。</w:t>
      </w:r>
    </w:p>
    <w:p w14:paraId="32C9ACC9">
      <w:pPr>
        <w:spacing w:line="360" w:lineRule="auto"/>
        <w:jc w:val="center"/>
        <w:outlineLvl w:val="0"/>
        <w:rPr>
          <w:b/>
          <w:bCs/>
          <w:color w:val="auto"/>
          <w:sz w:val="32"/>
          <w:szCs w:val="40"/>
        </w:rPr>
      </w:pPr>
      <w:bookmarkStart w:id="378" w:name="_Toc18905"/>
      <w:r>
        <w:rPr>
          <w:b/>
          <w:bCs/>
          <w:color w:val="auto"/>
          <w:sz w:val="32"/>
          <w:szCs w:val="40"/>
        </w:rPr>
        <w:t>7 环境保护措施补救方案和改进措施</w:t>
      </w:r>
      <w:bookmarkEnd w:id="378"/>
    </w:p>
    <w:p w14:paraId="52D072E3">
      <w:pPr>
        <w:spacing w:line="360" w:lineRule="auto"/>
        <w:jc w:val="left"/>
        <w:outlineLvl w:val="1"/>
        <w:rPr>
          <w:rFonts w:hint="default" w:cs="Times New Roman"/>
          <w:b/>
          <w:bCs/>
          <w:color w:val="auto"/>
          <w:sz w:val="28"/>
          <w:szCs w:val="28"/>
          <w:lang w:val="en-US" w:eastAsia="zh-CN"/>
        </w:rPr>
      </w:pPr>
      <w:bookmarkStart w:id="379" w:name="_Toc31004"/>
      <w:bookmarkStart w:id="380" w:name="_Toc4609"/>
      <w:r>
        <w:rPr>
          <w:rFonts w:hint="eastAsia" w:cs="Times New Roman"/>
          <w:b/>
          <w:bCs/>
          <w:color w:val="auto"/>
          <w:sz w:val="28"/>
          <w:szCs w:val="28"/>
          <w:lang w:val="en-US" w:eastAsia="zh-CN"/>
        </w:rPr>
        <w:t>7.1 现存的主要环境问题及整改措施</w:t>
      </w:r>
      <w:bookmarkEnd w:id="379"/>
      <w:bookmarkEnd w:id="380"/>
    </w:p>
    <w:p w14:paraId="342DC773">
      <w:pPr>
        <w:spacing w:line="360" w:lineRule="auto"/>
        <w:ind w:firstLine="480" w:firstLineChars="200"/>
        <w:jc w:val="left"/>
        <w:rPr>
          <w:rFonts w:hint="eastAsia" w:cs="Times New Roman"/>
          <w:b w:val="0"/>
          <w:bCs w:val="0"/>
          <w:color w:val="auto"/>
          <w:sz w:val="24"/>
          <w:szCs w:val="24"/>
          <w:lang w:val="en-US" w:eastAsia="zh-CN"/>
        </w:rPr>
      </w:pPr>
      <w:r>
        <w:rPr>
          <w:rFonts w:hint="eastAsia" w:cs="Times New Roman"/>
          <w:b w:val="0"/>
          <w:bCs w:val="0"/>
          <w:color w:val="auto"/>
          <w:sz w:val="24"/>
          <w:szCs w:val="24"/>
          <w:lang w:val="en-US" w:eastAsia="zh-CN"/>
        </w:rPr>
        <w:t>根据现场调查，本项目厂区内存在的主要环境问题及整改建议如下表所述：</w:t>
      </w:r>
    </w:p>
    <w:p w14:paraId="51E732AC">
      <w:pPr>
        <w:spacing w:line="360" w:lineRule="auto"/>
        <w:jc w:val="center"/>
        <w:rPr>
          <w:rFonts w:hint="eastAsia" w:cs="Times New Roman"/>
          <w:b/>
          <w:bCs/>
          <w:color w:val="auto"/>
          <w:sz w:val="24"/>
          <w:szCs w:val="24"/>
          <w:lang w:val="en-US" w:eastAsia="zh-CN"/>
        </w:rPr>
      </w:pPr>
      <w:r>
        <w:rPr>
          <w:rFonts w:hint="eastAsia" w:cs="Times New Roman"/>
          <w:b/>
          <w:bCs/>
          <w:color w:val="auto"/>
          <w:sz w:val="24"/>
          <w:szCs w:val="24"/>
          <w:lang w:val="en-US" w:eastAsia="zh-CN"/>
        </w:rPr>
        <w:t>表7-1 项目目前存在的主要环境问题及整改措施一览表</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6"/>
        <w:gridCol w:w="3904"/>
        <w:gridCol w:w="5182"/>
      </w:tblGrid>
      <w:tr w14:paraId="14ED1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0FF106BE">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序号</w:t>
            </w:r>
          </w:p>
        </w:tc>
        <w:tc>
          <w:tcPr>
            <w:tcW w:w="3904" w:type="dxa"/>
            <w:tcBorders>
              <w:tl2br w:val="nil"/>
              <w:tr2bl w:val="nil"/>
            </w:tcBorders>
            <w:vAlign w:val="center"/>
          </w:tcPr>
          <w:p w14:paraId="1A0ACF5F">
            <w:pPr>
              <w:pStyle w:val="6"/>
              <w:spacing w:line="320" w:lineRule="exact"/>
              <w:ind w:firstLine="480"/>
              <w:jc w:val="center"/>
              <w:rPr>
                <w:rFonts w:ascii="Times New Roman" w:hAnsi="Times New Roman" w:cs="Times New Roman"/>
                <w:b/>
                <w:bCs/>
                <w:color w:val="auto"/>
                <w:szCs w:val="21"/>
              </w:rPr>
            </w:pPr>
            <w:r>
              <w:rPr>
                <w:rFonts w:ascii="Times New Roman" w:hAnsi="Times New Roman" w:cs="Times New Roman"/>
                <w:b/>
                <w:bCs/>
                <w:color w:val="auto"/>
                <w:szCs w:val="21"/>
              </w:rPr>
              <w:t>现有工程存在问题</w:t>
            </w:r>
          </w:p>
        </w:tc>
        <w:tc>
          <w:tcPr>
            <w:tcW w:w="5182" w:type="dxa"/>
            <w:tcBorders>
              <w:tl2br w:val="nil"/>
              <w:tr2bl w:val="nil"/>
            </w:tcBorders>
            <w:vAlign w:val="center"/>
          </w:tcPr>
          <w:p w14:paraId="0E8C1156">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整改措施</w:t>
            </w:r>
          </w:p>
        </w:tc>
      </w:tr>
      <w:tr w14:paraId="184FC6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5955C7A4">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1</w:t>
            </w:r>
          </w:p>
        </w:tc>
        <w:tc>
          <w:tcPr>
            <w:tcW w:w="3904" w:type="dxa"/>
            <w:tcBorders>
              <w:tl2br w:val="nil"/>
              <w:tr2bl w:val="nil"/>
            </w:tcBorders>
            <w:vAlign w:val="center"/>
          </w:tcPr>
          <w:p w14:paraId="56242A76">
            <w:pPr>
              <w:spacing w:line="320" w:lineRule="exact"/>
              <w:ind w:left="105" w:hanging="105" w:hangingChars="50"/>
              <w:jc w:val="center"/>
              <w:rPr>
                <w:rFonts w:hint="eastAsia" w:eastAsiaTheme="minorEastAsia"/>
                <w:color w:val="auto"/>
                <w:szCs w:val="21"/>
                <w:lang w:eastAsia="zh-CN"/>
              </w:rPr>
            </w:pPr>
            <w:r>
              <w:rPr>
                <w:rFonts w:eastAsiaTheme="minorEastAsia"/>
                <w:color w:val="auto"/>
                <w:szCs w:val="21"/>
              </w:rPr>
              <w:t>企业生产车间地面硬化局部破</w:t>
            </w:r>
            <w:r>
              <w:rPr>
                <w:rFonts w:hint="eastAsia" w:eastAsiaTheme="minorEastAsia"/>
                <w:color w:val="auto"/>
                <w:szCs w:val="21"/>
                <w:lang w:val="en-US" w:eastAsia="zh-CN"/>
              </w:rPr>
              <w:t>损</w:t>
            </w:r>
          </w:p>
        </w:tc>
        <w:tc>
          <w:tcPr>
            <w:tcW w:w="5182" w:type="dxa"/>
            <w:tcBorders>
              <w:tl2br w:val="nil"/>
              <w:tr2bl w:val="nil"/>
            </w:tcBorders>
            <w:vAlign w:val="center"/>
          </w:tcPr>
          <w:p w14:paraId="0D9A346D">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对生产车间局部破裂地面重新硬化，建议表层铺设环氧地坪漆。</w:t>
            </w:r>
          </w:p>
        </w:tc>
      </w:tr>
      <w:tr w14:paraId="1A15C7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16E4EF1F">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2</w:t>
            </w:r>
          </w:p>
        </w:tc>
        <w:tc>
          <w:tcPr>
            <w:tcW w:w="3904" w:type="dxa"/>
            <w:tcBorders>
              <w:tl2br w:val="nil"/>
              <w:tr2bl w:val="nil"/>
            </w:tcBorders>
            <w:vAlign w:val="center"/>
          </w:tcPr>
          <w:p w14:paraId="03A4B94F">
            <w:pPr>
              <w:spacing w:line="320" w:lineRule="exact"/>
              <w:ind w:firstLine="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废气在线监测设备及日常管理需加强完善</w:t>
            </w:r>
          </w:p>
        </w:tc>
        <w:tc>
          <w:tcPr>
            <w:tcW w:w="5182" w:type="dxa"/>
            <w:tcBorders>
              <w:tl2br w:val="nil"/>
              <w:tr2bl w:val="nil"/>
            </w:tcBorders>
            <w:vAlign w:val="center"/>
          </w:tcPr>
          <w:p w14:paraId="54D0B7D6">
            <w:pPr>
              <w:pStyle w:val="6"/>
              <w:spacing w:line="320" w:lineRule="exact"/>
              <w:ind w:firstLine="0"/>
              <w:jc w:val="center"/>
              <w:rPr>
                <w:rFonts w:hint="default" w:ascii="Times New Roman" w:hAnsi="Times New Roman" w:cs="Times New Roman" w:eastAsiaTheme="minorEastAsia"/>
                <w:color w:val="auto"/>
                <w:szCs w:val="21"/>
                <w:lang w:val="en-US" w:eastAsia="zh-CN"/>
              </w:rPr>
            </w:pPr>
            <w:r>
              <w:rPr>
                <w:rFonts w:hint="eastAsia" w:cs="Times New Roman"/>
                <w:b w:val="0"/>
                <w:bCs w:val="0"/>
                <w:color w:val="auto"/>
                <w:sz w:val="21"/>
                <w:szCs w:val="21"/>
                <w:vertAlign w:val="baseline"/>
                <w:lang w:val="en-US" w:eastAsia="zh-CN"/>
              </w:rPr>
              <w:t>建立健全有组织废气在线监测设备的日常监控、管理</w:t>
            </w:r>
          </w:p>
        </w:tc>
      </w:tr>
      <w:tr w14:paraId="1C6F37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7E2BB789">
            <w:pPr>
              <w:pStyle w:val="6"/>
              <w:spacing w:line="320" w:lineRule="exact"/>
              <w:ind w:firstLine="0"/>
              <w:jc w:val="center"/>
              <w:rPr>
                <w:rFonts w:hint="eastAsia" w:ascii="Times New Roman" w:hAnsi="Times New Roman" w:cs="Times New Roman" w:eastAsiaTheme="minorEastAsia"/>
                <w:color w:val="0000FF"/>
                <w:szCs w:val="21"/>
                <w:lang w:val="en-US" w:eastAsia="zh-CN"/>
              </w:rPr>
            </w:pPr>
            <w:bookmarkStart w:id="381" w:name="_Toc9597"/>
            <w:r>
              <w:rPr>
                <w:rFonts w:hint="eastAsia" w:ascii="Times New Roman" w:hAnsi="Times New Roman" w:cs="Times New Roman"/>
                <w:color w:val="0000FF"/>
                <w:szCs w:val="21"/>
                <w:lang w:val="en-US" w:eastAsia="zh-CN"/>
              </w:rPr>
              <w:t>3</w:t>
            </w:r>
          </w:p>
        </w:tc>
        <w:tc>
          <w:tcPr>
            <w:tcW w:w="3904" w:type="dxa"/>
            <w:tcBorders>
              <w:tl2br w:val="nil"/>
              <w:tr2bl w:val="nil"/>
            </w:tcBorders>
            <w:vAlign w:val="center"/>
          </w:tcPr>
          <w:p w14:paraId="61C93C85">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厂区未建立土壤及地下水环境例行监测制度，未按要求开展土壤及地下水环境质量监测，未设置地下水监测井，无法及时掌握土壤及地下水环境质量状况</w:t>
            </w:r>
          </w:p>
        </w:tc>
        <w:tc>
          <w:tcPr>
            <w:tcW w:w="5182" w:type="dxa"/>
            <w:tcBorders>
              <w:tl2br w:val="nil"/>
              <w:tr2bl w:val="nil"/>
            </w:tcBorders>
            <w:vAlign w:val="center"/>
          </w:tcPr>
          <w:p w14:paraId="4908E507">
            <w:pPr>
              <w:pStyle w:val="6"/>
              <w:spacing w:line="320" w:lineRule="exact"/>
              <w:ind w:firstLine="0"/>
              <w:jc w:val="center"/>
              <w:rPr>
                <w:rFonts w:hint="default"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结合厂区水文地质条件，设置地下水监测井</w:t>
            </w:r>
            <w:r>
              <w:rPr>
                <w:rFonts w:hint="eastAsia" w:ascii="Times New Roman" w:hAnsi="Times New Roman" w:cs="Times New Roman"/>
                <w:b w:val="0"/>
                <w:bCs w:val="0"/>
                <w:color w:val="0000FF"/>
                <w:sz w:val="21"/>
                <w:szCs w:val="21"/>
                <w:vertAlign w:val="baseline"/>
                <w:lang w:val="en-US" w:eastAsia="zh-CN"/>
              </w:rPr>
              <w:t>，并</w:t>
            </w:r>
            <w:r>
              <w:rPr>
                <w:rFonts w:hint="default" w:ascii="Times New Roman" w:hAnsi="Times New Roman" w:cs="Times New Roman"/>
                <w:b w:val="0"/>
                <w:bCs w:val="0"/>
                <w:color w:val="0000FF"/>
                <w:sz w:val="21"/>
                <w:szCs w:val="21"/>
                <w:vertAlign w:val="baseline"/>
                <w:lang w:val="en-US" w:eastAsia="zh-CN"/>
              </w:rPr>
              <w:t>按照《排污单位自行监测技术指南有色金属工业一再生金属》（HJ1208-2021）</w:t>
            </w:r>
            <w:r>
              <w:rPr>
                <w:rFonts w:hint="eastAsia" w:ascii="Times New Roman" w:hAnsi="Times New Roman" w:cs="Times New Roman"/>
                <w:b w:val="0"/>
                <w:bCs w:val="0"/>
                <w:color w:val="0000FF"/>
                <w:sz w:val="21"/>
                <w:szCs w:val="21"/>
                <w:vertAlign w:val="baseline"/>
                <w:lang w:val="en-US" w:eastAsia="zh-CN"/>
              </w:rPr>
              <w:t>相关要求定期开展</w:t>
            </w:r>
            <w:r>
              <w:rPr>
                <w:rFonts w:hint="default" w:ascii="Times New Roman" w:hAnsi="Times New Roman" w:eastAsia="宋体" w:cs="Times New Roman"/>
                <w:color w:val="0000FF"/>
                <w:szCs w:val="21"/>
                <w:lang w:val="en-US" w:eastAsia="zh-CN"/>
              </w:rPr>
              <w:t>土壤及地下水环境例行监测</w:t>
            </w:r>
          </w:p>
        </w:tc>
      </w:tr>
      <w:tr w14:paraId="79019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07419154">
            <w:pPr>
              <w:pStyle w:val="6"/>
              <w:spacing w:line="320" w:lineRule="exact"/>
              <w:ind w:firstLine="0"/>
              <w:jc w:val="center"/>
              <w:rPr>
                <w:rFonts w:hint="default" w:ascii="Times New Roman" w:hAnsi="Times New Roman" w:cs="Times New Roman"/>
                <w:color w:val="0000FF"/>
                <w:szCs w:val="21"/>
                <w:lang w:val="en-US" w:eastAsia="zh-CN"/>
              </w:rPr>
            </w:pPr>
            <w:r>
              <w:rPr>
                <w:rFonts w:hint="eastAsia" w:ascii="Times New Roman" w:hAnsi="Times New Roman" w:cs="Times New Roman"/>
                <w:color w:val="0000FF"/>
                <w:szCs w:val="21"/>
                <w:lang w:val="en-US" w:eastAsia="zh-CN"/>
              </w:rPr>
              <w:t>4</w:t>
            </w:r>
          </w:p>
        </w:tc>
        <w:tc>
          <w:tcPr>
            <w:tcW w:w="3904" w:type="dxa"/>
            <w:tcBorders>
              <w:tl2br w:val="nil"/>
              <w:tr2bl w:val="nil"/>
            </w:tcBorders>
            <w:vAlign w:val="center"/>
          </w:tcPr>
          <w:p w14:paraId="7B97F695">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厂区未按《企业事业单位突发环境事件应急预案备案管理办法》《突发环境事件应急管理办法》等相关规定编制企业突发环境事件应急预案</w:t>
            </w:r>
          </w:p>
        </w:tc>
        <w:tc>
          <w:tcPr>
            <w:tcW w:w="5182" w:type="dxa"/>
            <w:tcBorders>
              <w:tl2br w:val="nil"/>
              <w:tr2bl w:val="nil"/>
            </w:tcBorders>
            <w:vAlign w:val="center"/>
          </w:tcPr>
          <w:p w14:paraId="1C338F0D">
            <w:pPr>
              <w:pStyle w:val="6"/>
              <w:spacing w:line="320" w:lineRule="exact"/>
              <w:ind w:firstLine="0"/>
              <w:jc w:val="center"/>
              <w:rPr>
                <w:rFonts w:hint="default" w:ascii="Times New Roman" w:hAnsi="Times New Roman"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限期开展突发环境事件风险评估，编制符合厂区实际的突发环境事件应急预案并完成备案；定期组织应急培训与演练，配备必要应急物资与器材，完善环境应急防控体系</w:t>
            </w:r>
          </w:p>
        </w:tc>
      </w:tr>
    </w:tbl>
    <w:p w14:paraId="168D5C4C">
      <w:pPr>
        <w:spacing w:line="360" w:lineRule="auto"/>
        <w:jc w:val="left"/>
        <w:outlineLvl w:val="1"/>
        <w:rPr>
          <w:b/>
          <w:bCs/>
          <w:color w:val="auto"/>
          <w:sz w:val="28"/>
          <w:szCs w:val="28"/>
        </w:rPr>
      </w:pPr>
      <w:r>
        <w:rPr>
          <w:b/>
          <w:bCs/>
          <w:color w:val="auto"/>
          <w:sz w:val="28"/>
          <w:szCs w:val="28"/>
        </w:rPr>
        <w:t>7.</w:t>
      </w:r>
      <w:r>
        <w:rPr>
          <w:rFonts w:hint="eastAsia"/>
          <w:b/>
          <w:bCs/>
          <w:color w:val="auto"/>
          <w:sz w:val="28"/>
          <w:szCs w:val="28"/>
          <w:lang w:val="en-US" w:eastAsia="zh-CN"/>
        </w:rPr>
        <w:t>2</w:t>
      </w:r>
      <w:r>
        <w:rPr>
          <w:b/>
          <w:bCs/>
          <w:color w:val="auto"/>
          <w:sz w:val="28"/>
          <w:szCs w:val="28"/>
        </w:rPr>
        <w:t xml:space="preserve"> 其他补救及改进措施</w:t>
      </w:r>
      <w:bookmarkEnd w:id="381"/>
    </w:p>
    <w:p w14:paraId="481A7CA4">
      <w:pPr>
        <w:spacing w:line="360" w:lineRule="auto"/>
        <w:jc w:val="left"/>
        <w:outlineLvl w:val="2"/>
        <w:rPr>
          <w:b/>
          <w:bCs/>
          <w:color w:val="auto"/>
          <w:sz w:val="24"/>
        </w:rPr>
      </w:pPr>
      <w:r>
        <w:rPr>
          <w:b/>
          <w:bCs/>
          <w:color w:val="auto"/>
          <w:sz w:val="24"/>
        </w:rPr>
        <w:t>7.</w:t>
      </w:r>
      <w:r>
        <w:rPr>
          <w:rFonts w:hint="eastAsia"/>
          <w:b/>
          <w:bCs/>
          <w:color w:val="auto"/>
          <w:sz w:val="24"/>
          <w:lang w:val="en-US" w:eastAsia="zh-CN"/>
        </w:rPr>
        <w:t>1</w:t>
      </w:r>
      <w:r>
        <w:rPr>
          <w:b/>
          <w:bCs/>
          <w:color w:val="auto"/>
          <w:sz w:val="24"/>
        </w:rPr>
        <w:t>.1 危废库运行环境管理措施改进</w:t>
      </w:r>
    </w:p>
    <w:p w14:paraId="3B2C7FC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（1）严格遵守</w:t>
      </w:r>
      <w:r>
        <w:rPr>
          <w:rFonts w:hint="eastAsia"/>
          <w:color w:val="auto"/>
          <w:sz w:val="24"/>
          <w:lang w:val="en-US" w:eastAsia="zh-CN"/>
        </w:rPr>
        <w:t>废除尘灰</w:t>
      </w:r>
      <w:r>
        <w:rPr>
          <w:color w:val="auto"/>
          <w:sz w:val="24"/>
        </w:rPr>
        <w:t>等危险废物的暂存要求。</w:t>
      </w:r>
    </w:p>
    <w:p w14:paraId="352F248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2）危险废物存入贮存设施前应对危险废物类别和特性与危险废物标签等危险废物识别标志的一致性进行核验，不一致的或类别、特性不明的不应存入。应定期检查危险废物的贮存状况，及时清理贮存设施地面，更换破损泄漏的危险废物贮存容器和包装物。</w:t>
      </w:r>
    </w:p>
    <w:p w14:paraId="0F21E9F7">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eastAsia"/>
          <w:color w:val="auto"/>
          <w:sz w:val="24"/>
          <w:lang w:eastAsia="zh-CN"/>
        </w:rPr>
      </w:pPr>
      <w:r>
        <w:rPr>
          <w:color w:val="auto"/>
          <w:sz w:val="24"/>
        </w:rPr>
        <w:t>（3）</w:t>
      </w:r>
      <w:r>
        <w:rPr>
          <w:rFonts w:hint="eastAsia"/>
          <w:color w:val="auto"/>
          <w:sz w:val="24"/>
        </w:rPr>
        <w:t>危废库</w:t>
      </w:r>
      <w:r>
        <w:rPr>
          <w:color w:val="auto"/>
          <w:sz w:val="24"/>
        </w:rPr>
        <w:t>运行期间应按国家有关标准和规定建立危险废物管理台账并保存，并建立贮存设施环境管理制度、管理人员岗位职责制度、设施运行操作制度、人员岗位培训制度等，结合贮存设施特点建立土壤和地下水污染隐患排査制度，并定期开展隐患排查；发现隐患应及时采取措施消除隐患，并建立档案</w:t>
      </w:r>
      <w:r>
        <w:rPr>
          <w:rFonts w:hint="eastAsia"/>
          <w:color w:val="auto"/>
          <w:sz w:val="24"/>
          <w:lang w:eastAsia="zh-CN"/>
        </w:rPr>
        <w:t>。</w:t>
      </w:r>
    </w:p>
    <w:p w14:paraId="6CF37920">
      <w:pPr>
        <w:keepNext w:val="0"/>
        <w:keepLines w:val="0"/>
        <w:pageBreakBefore w:val="0"/>
        <w:widowControl w:val="0"/>
        <w:kinsoku/>
        <w:wordWrap/>
        <w:overflowPunct/>
        <w:topLinePunct w:val="0"/>
        <w:autoSpaceDE/>
        <w:autoSpaceDN/>
        <w:bidi w:val="0"/>
        <w:adjustRightInd/>
        <w:snapToGrid/>
        <w:spacing w:line="360" w:lineRule="auto"/>
        <w:jc w:val="both"/>
        <w:textAlignment w:val="auto"/>
        <w:outlineLvl w:val="9"/>
        <w:rPr>
          <w:rFonts w:hint="default" w:eastAsia="宋体"/>
          <w:b/>
          <w:bCs/>
          <w:color w:val="auto"/>
          <w:sz w:val="24"/>
          <w:lang w:val="en-US" w:eastAsia="zh-CN"/>
        </w:rPr>
      </w:pPr>
      <w:r>
        <w:rPr>
          <w:rFonts w:hint="eastAsia"/>
          <w:b/>
          <w:bCs/>
          <w:color w:val="auto"/>
          <w:sz w:val="24"/>
          <w:lang w:val="en-US" w:eastAsia="zh-CN"/>
        </w:rPr>
        <w:t>7.1.2 在线监测设施</w:t>
      </w:r>
      <w:r>
        <w:rPr>
          <w:b/>
          <w:bCs/>
          <w:color w:val="auto"/>
          <w:sz w:val="24"/>
        </w:rPr>
        <w:t>运行环境管理措施</w:t>
      </w:r>
    </w:p>
    <w:p w14:paraId="31660B4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eastAsia="宋体" w:cs="Times New Roman"/>
          <w:color w:val="auto"/>
          <w:sz w:val="24"/>
          <w:lang w:eastAsia="zh-CN"/>
        </w:rPr>
      </w:pPr>
      <w:r>
        <w:rPr>
          <w:rFonts w:hint="eastAsia"/>
          <w:color w:val="auto"/>
          <w:sz w:val="24"/>
          <w:lang w:eastAsia="zh-CN"/>
        </w:rPr>
        <w:t>（</w:t>
      </w:r>
      <w:r>
        <w:rPr>
          <w:rFonts w:hint="eastAsia"/>
          <w:color w:val="auto"/>
          <w:sz w:val="24"/>
          <w:lang w:val="en-US" w:eastAsia="zh-CN"/>
        </w:rPr>
        <w:t>1</w:t>
      </w:r>
      <w:r>
        <w:rPr>
          <w:rFonts w:hint="eastAsia"/>
          <w:color w:val="auto"/>
          <w:sz w:val="24"/>
          <w:lang w:eastAsia="zh-CN"/>
        </w:rPr>
        <w:t>）</w:t>
      </w:r>
      <w:r>
        <w:rPr>
          <w:rFonts w:hint="default" w:ascii="Times New Roman" w:hAnsi="Times New Roman" w:eastAsia="宋体" w:cs="Times New Roman"/>
          <w:color w:val="auto"/>
          <w:sz w:val="24"/>
          <w:szCs w:val="24"/>
        </w:rPr>
        <w:t>日常运行与维护管理</w:t>
      </w:r>
    </w:p>
    <w:p w14:paraId="7B372E4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rFonts w:hint="eastAsia"/>
          <w:color w:val="auto"/>
          <w:sz w:val="24"/>
          <w:lang w:eastAsia="zh-CN"/>
        </w:rPr>
        <w:t>严格遵循《固定污染源烟气（SO</w:t>
      </w:r>
      <w:r>
        <w:rPr>
          <w:rFonts w:hint="eastAsia"/>
          <w:color w:val="auto"/>
          <w:sz w:val="24"/>
          <w:vertAlign w:val="subscript"/>
          <w:lang w:val="en-US" w:eastAsia="zh-CN"/>
        </w:rPr>
        <w:t>2</w:t>
      </w:r>
      <w:r>
        <w:rPr>
          <w:rFonts w:hint="eastAsia"/>
          <w:color w:val="auto"/>
          <w:sz w:val="24"/>
          <w:lang w:eastAsia="zh-CN"/>
        </w:rPr>
        <w:t>、NOx、颗粒物）排放连续监测技术规范》（HJ75</w:t>
      </w:r>
      <w:r>
        <w:rPr>
          <w:rFonts w:hint="eastAsia"/>
          <w:color w:val="auto"/>
          <w:sz w:val="24"/>
          <w:lang w:val="en-US" w:eastAsia="zh-CN"/>
        </w:rPr>
        <w:t>-2017</w:t>
      </w:r>
      <w:r>
        <w:rPr>
          <w:rFonts w:hint="eastAsia"/>
          <w:color w:val="auto"/>
          <w:sz w:val="24"/>
          <w:lang w:eastAsia="zh-CN"/>
        </w:rPr>
        <w:t>）及设备说明书要求，制定标准化操作规程；每周现场巡检设备运行状态（如采样探头堵塞、管路泄漏、冷凝器效能等），并记录异常情况。</w:t>
      </w:r>
    </w:p>
    <w:p w14:paraId="197EA753">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eastAsia" w:eastAsia="宋体"/>
          <w:color w:val="auto"/>
          <w:sz w:val="24"/>
          <w:lang w:eastAsia="zh-CN"/>
        </w:rPr>
      </w:pPr>
      <w:r>
        <w:rPr>
          <w:rFonts w:hint="eastAsia"/>
          <w:color w:val="auto"/>
          <w:sz w:val="24"/>
          <w:lang w:eastAsia="zh-CN"/>
        </w:rPr>
        <w:t>（</w:t>
      </w:r>
      <w:r>
        <w:rPr>
          <w:rFonts w:hint="eastAsia"/>
          <w:color w:val="auto"/>
          <w:sz w:val="24"/>
          <w:lang w:val="en-US" w:eastAsia="zh-CN"/>
        </w:rPr>
        <w:t>2</w:t>
      </w:r>
      <w:r>
        <w:rPr>
          <w:rFonts w:hint="eastAsia"/>
          <w:color w:val="auto"/>
          <w:sz w:val="24"/>
          <w:lang w:eastAsia="zh-CN"/>
        </w:rPr>
        <w:t>）质量保证与质量控制</w:t>
      </w:r>
    </w:p>
    <w:p w14:paraId="2D517D7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设备故障超24小时无法修复时，启动手工监测替代方案（如每日至少4次手工采样），并报送监测结果</w:t>
      </w:r>
      <w:r>
        <w:rPr>
          <w:rFonts w:hint="eastAsia"/>
          <w:color w:val="auto"/>
          <w:sz w:val="24"/>
          <w:lang w:eastAsia="zh-CN"/>
        </w:rPr>
        <w:t>；</w:t>
      </w:r>
      <w:r>
        <w:rPr>
          <w:rFonts w:hint="default" w:ascii="Times New Roman" w:hAnsi="Times New Roman" w:eastAsia="宋体" w:cs="Times New Roman"/>
          <w:color w:val="auto"/>
          <w:sz w:val="24"/>
          <w:szCs w:val="24"/>
        </w:rPr>
        <w:t>对因故障导致的超标数据，需在24小时内向监管部门报告，并提交故障分析报告及整改计划</w:t>
      </w:r>
      <w:r>
        <w:rPr>
          <w:rFonts w:hint="default" w:ascii="Times New Roman" w:hAnsi="Times New Roman" w:cs="Times New Roman"/>
          <w:color w:val="auto"/>
          <w:sz w:val="24"/>
        </w:rPr>
        <w:t>。</w:t>
      </w:r>
    </w:p>
    <w:p w14:paraId="1203061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eastAsia" w:eastAsia="宋体"/>
          <w:color w:val="auto"/>
          <w:sz w:val="24"/>
          <w:lang w:eastAsia="zh-CN"/>
        </w:rPr>
      </w:pPr>
      <w:r>
        <w:rPr>
          <w:rFonts w:hint="eastAsia"/>
          <w:color w:val="auto"/>
          <w:sz w:val="24"/>
          <w:lang w:eastAsia="zh-CN"/>
        </w:rPr>
        <w:t>（</w:t>
      </w:r>
      <w:r>
        <w:rPr>
          <w:rFonts w:hint="eastAsia"/>
          <w:color w:val="auto"/>
          <w:sz w:val="24"/>
          <w:lang w:val="en-US" w:eastAsia="zh-CN"/>
        </w:rPr>
        <w:t>3</w:t>
      </w:r>
      <w:r>
        <w:rPr>
          <w:rFonts w:hint="eastAsia"/>
          <w:color w:val="auto"/>
          <w:sz w:val="24"/>
          <w:lang w:eastAsia="zh-CN"/>
        </w:rPr>
        <w:t>）合规与风险防范</w:t>
      </w:r>
    </w:p>
    <w:p w14:paraId="0828116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cs="Times New Roman"/>
          <w:color w:val="auto"/>
          <w:sz w:val="24"/>
        </w:rPr>
      </w:pPr>
      <w:r>
        <w:rPr>
          <w:rFonts w:hint="default" w:ascii="Times New Roman" w:hAnsi="Times New Roman" w:cs="Times New Roman"/>
          <w:color w:val="auto"/>
          <w:sz w:val="24"/>
        </w:rPr>
        <w:t>确保CEMS实时联网，数据传输率≥90%（按地方要求），严禁篡改、屏蔽或伪造数据</w:t>
      </w:r>
      <w:r>
        <w:rPr>
          <w:rFonts w:hint="default" w:ascii="Times New Roman" w:hAnsi="Times New Roman" w:cs="Times New Roman"/>
          <w:color w:val="auto"/>
          <w:sz w:val="24"/>
          <w:lang w:eastAsia="zh-CN"/>
        </w:rPr>
        <w:t>；定期检查数据采集传输仪（DTU）的防病毒设置，防止网络攻击导致数据异常；</w:t>
      </w:r>
      <w:r>
        <w:rPr>
          <w:rFonts w:hint="default" w:ascii="Times New Roman" w:hAnsi="Times New Roman" w:eastAsia="宋体" w:cs="Times New Roman"/>
          <w:color w:val="auto"/>
          <w:sz w:val="24"/>
          <w:szCs w:val="24"/>
        </w:rPr>
        <w:t>建立“日巡查、周维护、月总结”的管理制度，明确责任人及考核指标</w:t>
      </w:r>
      <w:r>
        <w:rPr>
          <w:rFonts w:hint="default" w:ascii="Times New Roman" w:hAnsi="Times New Roman" w:cs="Times New Roman"/>
          <w:color w:val="auto"/>
          <w:sz w:val="24"/>
        </w:rPr>
        <w:t>。</w:t>
      </w:r>
    </w:p>
    <w:p w14:paraId="6C6ED3EC">
      <w:pPr>
        <w:spacing w:line="360" w:lineRule="auto"/>
        <w:jc w:val="left"/>
        <w:outlineLvl w:val="2"/>
        <w:rPr>
          <w:rFonts w:eastAsia="宋体"/>
          <w:b/>
          <w:bCs/>
          <w:color w:val="auto"/>
          <w:sz w:val="24"/>
        </w:rPr>
      </w:pPr>
      <w:r>
        <w:rPr>
          <w:rFonts w:eastAsia="宋体"/>
          <w:b/>
          <w:bCs/>
          <w:color w:val="auto"/>
          <w:sz w:val="24"/>
        </w:rPr>
        <w:t>7.</w:t>
      </w:r>
      <w:r>
        <w:rPr>
          <w:rFonts w:hint="eastAsia" w:eastAsia="宋体"/>
          <w:b/>
          <w:bCs/>
          <w:color w:val="auto"/>
          <w:sz w:val="24"/>
          <w:lang w:val="en-US" w:eastAsia="zh-CN"/>
        </w:rPr>
        <w:t>1</w:t>
      </w:r>
      <w:r>
        <w:rPr>
          <w:rFonts w:eastAsia="宋体"/>
          <w:b/>
          <w:bCs/>
          <w:color w:val="auto"/>
          <w:sz w:val="24"/>
        </w:rPr>
        <w:t>.2 声环境保护措施改进</w:t>
      </w:r>
    </w:p>
    <w:p w14:paraId="72C4FE7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（1）严格按照噪声污染源监测计划要求开展例行监测和自行监测。</w:t>
      </w:r>
    </w:p>
    <w:p w14:paraId="0A64080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（2）加强产噪设备维检工作，发现隔振减震等噪声防治设施老化或防治效果明显降低时，及时进行更换。</w:t>
      </w:r>
    </w:p>
    <w:p w14:paraId="3A95EAA9">
      <w:pPr>
        <w:spacing w:line="360" w:lineRule="auto"/>
        <w:jc w:val="left"/>
        <w:outlineLvl w:val="2"/>
        <w:rPr>
          <w:rFonts w:eastAsia="宋体"/>
          <w:b/>
          <w:bCs/>
          <w:color w:val="auto"/>
          <w:sz w:val="24"/>
        </w:rPr>
      </w:pPr>
      <w:r>
        <w:rPr>
          <w:rFonts w:eastAsia="宋体"/>
          <w:b/>
          <w:bCs/>
          <w:color w:val="auto"/>
          <w:sz w:val="24"/>
        </w:rPr>
        <w:t>7.</w:t>
      </w:r>
      <w:r>
        <w:rPr>
          <w:rFonts w:hint="eastAsia" w:eastAsia="宋体"/>
          <w:b/>
          <w:bCs/>
          <w:color w:val="auto"/>
          <w:sz w:val="24"/>
          <w:lang w:val="en-US" w:eastAsia="zh-CN"/>
        </w:rPr>
        <w:t>1</w:t>
      </w:r>
      <w:r>
        <w:rPr>
          <w:rFonts w:eastAsia="宋体"/>
          <w:b/>
          <w:bCs/>
          <w:color w:val="auto"/>
          <w:sz w:val="24"/>
        </w:rPr>
        <w:t>.3 地下水污染防治改进措施</w:t>
      </w:r>
    </w:p>
    <w:p w14:paraId="24582C9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b/>
          <w:bCs/>
          <w:color w:val="auto"/>
          <w:sz w:val="24"/>
        </w:rPr>
      </w:pPr>
      <w:r>
        <w:rPr>
          <w:color w:val="auto"/>
          <w:sz w:val="24"/>
        </w:rPr>
        <w:t>完善厂区地下水环境监控体系，包括地下水监控制度和环境管理体系、监测计划、配备必要的检测仪器设备，以便及时发现问题，及时采取措施。</w:t>
      </w:r>
    </w:p>
    <w:p w14:paraId="65B446FE">
      <w:pPr>
        <w:spacing w:line="360" w:lineRule="auto"/>
        <w:jc w:val="left"/>
        <w:outlineLvl w:val="2"/>
        <w:rPr>
          <w:rFonts w:eastAsia="宋体"/>
          <w:b/>
          <w:bCs/>
          <w:color w:val="auto"/>
          <w:sz w:val="24"/>
        </w:rPr>
      </w:pPr>
      <w:r>
        <w:rPr>
          <w:rFonts w:eastAsia="宋体"/>
          <w:b/>
          <w:bCs/>
          <w:color w:val="auto"/>
          <w:sz w:val="24"/>
        </w:rPr>
        <w:t>7.</w:t>
      </w:r>
      <w:r>
        <w:rPr>
          <w:rFonts w:hint="eastAsia" w:eastAsia="宋体"/>
          <w:b/>
          <w:bCs/>
          <w:color w:val="auto"/>
          <w:sz w:val="24"/>
          <w:lang w:val="en-US" w:eastAsia="zh-CN"/>
        </w:rPr>
        <w:t>1</w:t>
      </w:r>
      <w:r>
        <w:rPr>
          <w:rFonts w:eastAsia="宋体"/>
          <w:b/>
          <w:bCs/>
          <w:color w:val="auto"/>
          <w:sz w:val="24"/>
        </w:rPr>
        <w:t>.4 环保管理制度</w:t>
      </w:r>
    </w:p>
    <w:p w14:paraId="501474C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建立完善的环境管理文件和档案管理制度，明确责任部门、人员、流程、形式、权限及各类环境管理档案及保存要求等，确保企业环境管理规章制度和操作规程编制、使用、评审、修订符合有关要求。</w:t>
      </w:r>
    </w:p>
    <w:p w14:paraId="3BD210A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通过对各项环境管理制度建立和严格执行，形成目标管理、监督反馈紧密配合的环保工作管理体系，可有效防止非正常生产和突发性事故造成的危害。</w:t>
      </w:r>
    </w:p>
    <w:p w14:paraId="04D690C5">
      <w:pPr>
        <w:spacing w:line="360" w:lineRule="auto"/>
        <w:jc w:val="left"/>
        <w:outlineLvl w:val="1"/>
        <w:rPr>
          <w:rFonts w:hint="eastAsia" w:eastAsia="宋体" w:cs="Times New Roman"/>
          <w:b/>
          <w:bCs/>
          <w:color w:val="auto"/>
          <w:sz w:val="28"/>
          <w:szCs w:val="28"/>
          <w:lang w:val="en-US" w:eastAsia="zh-CN"/>
        </w:rPr>
      </w:pPr>
      <w:bookmarkStart w:id="382" w:name="_Toc1291"/>
      <w:r>
        <w:rPr>
          <w:rFonts w:hint="eastAsia" w:eastAsia="宋体" w:cs="Times New Roman"/>
          <w:b/>
          <w:bCs/>
          <w:color w:val="auto"/>
          <w:sz w:val="28"/>
          <w:szCs w:val="28"/>
          <w:lang w:val="en-US" w:eastAsia="zh-CN"/>
        </w:rPr>
        <w:t>7.3 排污许可证证后管理要求</w:t>
      </w:r>
      <w:bookmarkEnd w:id="382"/>
    </w:p>
    <w:p w14:paraId="367C99D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①开展自行监测：排污单位须按排污许可证规定的监测点位、监测因子、监测频次和相关监测技术规范开展自行监测并保留原始监测记录。手工监测记录内容包括监测日期、采样及测定方法、监测结果等。自动监测运维记录需包含自动监测及辅助设备运行状态、系统校准、校验记录、定期比对监测记录、维护保养记录、是否故障、故障维修记录、巡检日期等。排污单位应在全国排污许可证管理信息平台企业端监测记录块进行公开。</w:t>
      </w:r>
    </w:p>
    <w:p w14:paraId="65261FB2">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②建立台账管理制度：排污单位应建立环境管理台账制度，设置专职人员开展台账记录、整理、维护等管理工作，并对台账记录结果的真实性、准确性、完整性负责。台账应按照电子化储存和纸质储存两种形式同步管理，保存期限不得少于五年。排污单位环境管理台账应真实记录生产运行、污染治理设施运行、自行监测和其他环境管理信息，其中记录频次和内容需满足排污许可证环境管理要求。台账记录模板可在全国排污许可证管理信息平台公开端台账记录模块下载。填报好的电子版台账可在该模块上传。</w:t>
      </w:r>
    </w:p>
    <w:p w14:paraId="029AED0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③按时提交执行（守法）报告：排污单位应当按照排污许可证规定的关于执行报告内容和频次的要求，编制排污许可证执行报告。执行报告包括年度执行报告、季度执行报告和月执行报告。季度（月度）执行报告于当季（月）结束后15日内提交；年度执行报告于每年结束后15日内提交。执行报告电子版在全国排污许可证管理信息平台上报送。书面执行报告应当由法定代表人或者主要负责人签字或者盖章。执行报告必须按时提交，根据企业真实情况进行填报，是企业生产与排污的真实反映。</w:t>
      </w:r>
    </w:p>
    <w:p w14:paraId="0C83AE3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④及时信息公开：在国家排污许可证信息公开系统或其他便于公众知晓的方式按照《企业事业单位信息公开办法》和《排污许可证管理办法》相关规定进行信息公开。信息公开内容包括：建设项目环境影响评价及其他环境保护行政许可情况；突发环境事件应急预案；月/季度、半年及年度排污许可证执行报告中相关内容；其他应当公开的环境信息。</w:t>
      </w:r>
    </w:p>
    <w:p w14:paraId="32C0105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⑤按期完成整改：排污单位应当在整改期满前取得排污许可证，鼓励排污单位提前完成整改并报送申请材料。排污单位未按照整改通知书要求完成整改的，将不予核发排污许可证；按要求整改完成并经主管部门审核通过的排污单位换发排污许可证。限期整改排污单位将纳入双随机、一公开监管，适当提高抽查比例。排污单位逾期未完成整改，未在整改期限内取得排污许可证且继续排放污染物的，生态环境主管部门应当依据《中华人民共和国大气污染防治法》第九十九条、第一百条，《中华人民共和国水污染防治法》第八十二条、第八十三条，《中华人民共和国环境影响评价法》第三十一条，《建设项目环境保护管理条例》第二十一条等法律法规予以处理。</w:t>
      </w:r>
    </w:p>
    <w:p w14:paraId="5B29C91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⑥及时变更排污许可证：企业若出现《排污许可管理办法》中第四十三条中的任一情形，均应按办法要求及时变更排污许可证，排污许可证所载明的内容应与企业实际保持一致，确保排污许可证的真实性、准确性、完整性。</w:t>
      </w:r>
    </w:p>
    <w:p w14:paraId="2EA2D18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b/>
          <w:bCs/>
          <w:color w:val="auto"/>
          <w:sz w:val="32"/>
          <w:szCs w:val="40"/>
        </w:rPr>
      </w:pPr>
      <w:r>
        <w:rPr>
          <w:color w:val="auto"/>
          <w:sz w:val="24"/>
          <w:szCs w:val="32"/>
        </w:rPr>
        <w:t>⑦有效期内及时办理延续：首次发放的排污许可证有效期为三年，延续换发的排污许可证有效期为五年。排污单位需要延续依法取得的排污许可证的有效期的，应当在排污许可证届满三十个工作日前向原核发环保部门提出申请。到期未延续的排污许可证视为无效，排污单位继续排污的视为无证排污，将依法进行处罚。</w:t>
      </w:r>
      <w:r>
        <w:rPr>
          <w:b/>
          <w:bCs/>
          <w:color w:val="auto"/>
          <w:sz w:val="32"/>
          <w:szCs w:val="40"/>
        </w:rPr>
        <w:br w:type="page"/>
      </w:r>
    </w:p>
    <w:p w14:paraId="20A7846B">
      <w:pPr>
        <w:spacing w:line="360" w:lineRule="auto"/>
        <w:jc w:val="center"/>
        <w:outlineLvl w:val="0"/>
        <w:rPr>
          <w:b/>
          <w:bCs/>
          <w:color w:val="auto"/>
          <w:sz w:val="32"/>
          <w:szCs w:val="40"/>
        </w:rPr>
      </w:pPr>
      <w:bookmarkStart w:id="383" w:name="_Toc16068"/>
      <w:bookmarkStart w:id="384" w:name="_Toc5809"/>
      <w:r>
        <w:rPr>
          <w:rFonts w:hint="eastAsia"/>
          <w:b/>
          <w:bCs/>
          <w:color w:val="auto"/>
          <w:sz w:val="32"/>
          <w:szCs w:val="40"/>
          <w:lang w:val="en-US" w:eastAsia="zh-CN"/>
        </w:rPr>
        <w:t xml:space="preserve">8 </w:t>
      </w:r>
      <w:r>
        <w:rPr>
          <w:b/>
          <w:bCs/>
          <w:color w:val="auto"/>
          <w:sz w:val="32"/>
          <w:szCs w:val="40"/>
        </w:rPr>
        <w:t>评价结论</w:t>
      </w:r>
      <w:bookmarkEnd w:id="383"/>
      <w:bookmarkEnd w:id="384"/>
    </w:p>
    <w:p w14:paraId="0F91469B">
      <w:pPr>
        <w:spacing w:line="360" w:lineRule="auto"/>
        <w:rPr>
          <w:color w:val="auto"/>
          <w:sz w:val="24"/>
          <w:szCs w:val="32"/>
        </w:rPr>
      </w:pPr>
    </w:p>
    <w:p w14:paraId="1B2F66CE">
      <w:pPr>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原安徽华中天力铝业有限公司年产11万吨再生铝建设项目于</w:t>
      </w:r>
      <w:r>
        <w:rPr>
          <w:rFonts w:hint="eastAsia"/>
          <w:color w:val="auto"/>
          <w:kern w:val="24"/>
          <w:sz w:val="24"/>
        </w:rPr>
        <w:t>于2016年6月30日取得原淮北市环境保护局环评批复</w:t>
      </w:r>
      <w:r>
        <w:rPr>
          <w:rFonts w:hint="eastAsia"/>
          <w:color w:val="auto"/>
          <w:kern w:val="24"/>
          <w:sz w:val="24"/>
          <w:lang w:eastAsia="zh-CN"/>
        </w:rPr>
        <w:t>，</w:t>
      </w:r>
      <w:r>
        <w:rPr>
          <w:rFonts w:hint="eastAsia"/>
          <w:color w:val="auto"/>
          <w:kern w:val="24"/>
          <w:sz w:val="24"/>
        </w:rPr>
        <w:t>批复文号</w:t>
      </w:r>
      <w:r>
        <w:rPr>
          <w:rFonts w:hint="eastAsia"/>
          <w:color w:val="auto"/>
          <w:kern w:val="24"/>
          <w:sz w:val="24"/>
          <w:lang w:eastAsia="zh-CN"/>
        </w:rPr>
        <w:t>：</w:t>
      </w:r>
      <w:r>
        <w:rPr>
          <w:rFonts w:hint="eastAsia"/>
          <w:color w:val="auto"/>
          <w:kern w:val="24"/>
          <w:sz w:val="24"/>
          <w:lang w:val="en-US" w:eastAsia="zh-CN"/>
        </w:rPr>
        <w:t>淮环行【2016】27号</w:t>
      </w:r>
      <w:r>
        <w:rPr>
          <w:rFonts w:hint="eastAsia"/>
          <w:color w:val="auto"/>
          <w:sz w:val="24"/>
          <w:szCs w:val="32"/>
          <w:lang w:eastAsia="zh-CN"/>
        </w:rPr>
        <w:t>，</w:t>
      </w:r>
      <w:r>
        <w:rPr>
          <w:rFonts w:hint="eastAsia"/>
          <w:color w:val="auto"/>
          <w:kern w:val="24"/>
          <w:sz w:val="24"/>
          <w:lang w:val="en-US" w:eastAsia="zh-CN"/>
        </w:rPr>
        <w:t>项目分两期建设，其中一期产能5.05万吨/年，二期产能5.95万吨/年。</w:t>
      </w:r>
      <w:r>
        <w:rPr>
          <w:rFonts w:hint="eastAsia"/>
          <w:color w:val="auto"/>
          <w:sz w:val="24"/>
          <w:szCs w:val="32"/>
          <w:lang w:val="en-US" w:eastAsia="zh-CN"/>
        </w:rPr>
        <w:t>该项目一期工程</w:t>
      </w:r>
      <w:r>
        <w:rPr>
          <w:rFonts w:hint="eastAsia"/>
          <w:color w:val="auto"/>
          <w:kern w:val="24"/>
          <w:sz w:val="24"/>
          <w:lang w:val="en-US" w:eastAsia="zh-CN"/>
        </w:rPr>
        <w:t>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3EA0CC7D">
      <w:pPr>
        <w:spacing w:line="360" w:lineRule="auto"/>
        <w:ind w:firstLine="480" w:firstLineChars="200"/>
        <w:rPr>
          <w:rFonts w:hint="default"/>
          <w:color w:val="auto"/>
          <w:sz w:val="24"/>
          <w:szCs w:val="32"/>
          <w:lang w:val="en-US" w:eastAsia="zh-CN"/>
        </w:rPr>
      </w:pPr>
      <w:r>
        <w:rPr>
          <w:rFonts w:hint="eastAsia"/>
          <w:color w:val="auto"/>
          <w:sz w:val="24"/>
          <w:szCs w:val="32"/>
          <w:lang w:val="en-US" w:eastAsia="zh-CN"/>
        </w:rPr>
        <w:t>在实际生产过程中，与原环评报告书相比，项目地点、规模、生产工艺和运行调度方式基本不变，但部分建设内容和污染防治措施发生了调整，主要调整内容有：</w:t>
      </w:r>
    </w:p>
    <w:p w14:paraId="4D76705B">
      <w:pPr>
        <w:numPr>
          <w:ilvl w:val="0"/>
          <w:numId w:val="0"/>
        </w:numPr>
        <w:spacing w:line="360" w:lineRule="auto"/>
        <w:ind w:left="0" w:leftChars="0" w:firstLine="480" w:firstLineChars="200"/>
        <w:rPr>
          <w:rFonts w:hint="eastAsia" w:eastAsia="宋体"/>
          <w:color w:val="auto"/>
          <w:kern w:val="0"/>
          <w:sz w:val="24"/>
          <w:szCs w:val="24"/>
          <w:lang w:val="en-US" w:eastAsia="zh-CN" w:bidi="ar"/>
        </w:rPr>
      </w:pPr>
      <w:r>
        <w:rPr>
          <w:rFonts w:hint="eastAsia" w:ascii="Times New Roman" w:hAnsi="Times New Roman" w:eastAsia="宋体" w:cs="Times New Roman"/>
          <w:color w:val="auto"/>
          <w:kern w:val="0"/>
          <w:sz w:val="24"/>
          <w:szCs w:val="24"/>
          <w:lang w:val="en-US" w:eastAsia="zh-CN" w:bidi="ar"/>
        </w:rPr>
        <w:t>①</w:t>
      </w:r>
      <w:r>
        <w:rPr>
          <w:rFonts w:hint="eastAsia" w:eastAsia="宋体"/>
          <w:color w:val="auto"/>
          <w:kern w:val="0"/>
          <w:sz w:val="24"/>
          <w:szCs w:val="24"/>
          <w:lang w:val="en-US" w:eastAsia="zh-CN" w:bidi="ar"/>
        </w:rPr>
        <w:t>企业淘汰并拆除现有1台10吨再生铝用熔炼精炼两用炉</w:t>
      </w:r>
      <w:r>
        <w:rPr>
          <w:rFonts w:hint="eastAsia"/>
          <w:color w:val="auto"/>
          <w:kern w:val="0"/>
          <w:sz w:val="24"/>
          <w:szCs w:val="24"/>
          <w:lang w:val="en-US" w:eastAsia="zh-CN" w:bidi="ar"/>
        </w:rPr>
        <w:t>和1台20吨精炼炉</w:t>
      </w:r>
      <w:r>
        <w:rPr>
          <w:rFonts w:hint="eastAsia" w:eastAsia="宋体"/>
          <w:color w:val="auto"/>
          <w:kern w:val="0"/>
          <w:sz w:val="24"/>
          <w:szCs w:val="24"/>
          <w:lang w:val="en-US" w:eastAsia="zh-CN" w:bidi="ar"/>
        </w:rPr>
        <w:t>，同时对现有1台40吨熔炼炉</w:t>
      </w:r>
      <w:r>
        <w:rPr>
          <w:rFonts w:hint="eastAsia"/>
          <w:color w:val="auto"/>
          <w:kern w:val="0"/>
          <w:sz w:val="24"/>
          <w:szCs w:val="24"/>
          <w:lang w:val="en-US" w:eastAsia="zh-CN" w:bidi="ar"/>
        </w:rPr>
        <w:t>、</w:t>
      </w:r>
      <w:r>
        <w:rPr>
          <w:rFonts w:hint="eastAsia" w:eastAsia="宋体"/>
          <w:color w:val="auto"/>
          <w:kern w:val="0"/>
          <w:sz w:val="24"/>
          <w:szCs w:val="24"/>
          <w:lang w:val="en-US" w:eastAsia="zh-CN" w:bidi="ar"/>
        </w:rPr>
        <w:t>1台30吨熔炼炉</w:t>
      </w:r>
      <w:r>
        <w:rPr>
          <w:rFonts w:hint="eastAsia"/>
          <w:color w:val="auto"/>
          <w:kern w:val="0"/>
          <w:sz w:val="24"/>
          <w:szCs w:val="24"/>
          <w:lang w:val="en-US" w:eastAsia="zh-CN" w:bidi="ar"/>
        </w:rPr>
        <w:t>和1台30吨精炼炉</w:t>
      </w:r>
      <w:r>
        <w:rPr>
          <w:rFonts w:hint="eastAsia" w:eastAsia="宋体"/>
          <w:color w:val="auto"/>
          <w:kern w:val="0"/>
          <w:sz w:val="24"/>
          <w:szCs w:val="24"/>
          <w:lang w:val="en-US" w:eastAsia="zh-CN" w:bidi="ar"/>
        </w:rPr>
        <w:t>实施设备更新与升级。</w:t>
      </w:r>
    </w:p>
    <w:p w14:paraId="70C6EDB6">
      <w:pPr>
        <w:numPr>
          <w:ilvl w:val="0"/>
          <w:numId w:val="0"/>
        </w:numPr>
        <w:spacing w:line="360" w:lineRule="auto"/>
        <w:ind w:left="0" w:leftChars="0" w:firstLine="480" w:firstLineChars="200"/>
        <w:rPr>
          <w:rFonts w:hint="eastAsia"/>
          <w:color w:val="auto"/>
          <w:sz w:val="24"/>
          <w:szCs w:val="24"/>
        </w:rPr>
      </w:pPr>
      <w:r>
        <w:rPr>
          <w:rFonts w:hint="eastAsia" w:ascii="Times New Roman" w:hAnsi="Times New Roman" w:eastAsia="宋体" w:cs="Times New Roman"/>
          <w:color w:val="auto"/>
          <w:kern w:val="2"/>
          <w:sz w:val="24"/>
          <w:szCs w:val="24"/>
          <w:lang w:val="en-US" w:eastAsia="zh-CN" w:bidi="ar-SA"/>
        </w:rPr>
        <w:t>②</w:t>
      </w:r>
      <w:r>
        <w:rPr>
          <w:rFonts w:hint="eastAsia"/>
          <w:color w:val="auto"/>
          <w:sz w:val="24"/>
          <w:szCs w:val="24"/>
          <w:lang w:val="en-US" w:eastAsia="zh-CN"/>
        </w:rPr>
        <w:t>项目生产废气处理措施由2套改为1套，并新增1套</w:t>
      </w:r>
      <w:r>
        <w:rPr>
          <w:rFonts w:hint="eastAsia"/>
          <w:bCs/>
          <w:color w:val="auto"/>
          <w:spacing w:val="6"/>
          <w:sz w:val="24"/>
          <w:szCs w:val="24"/>
          <w:lang w:val="en-US" w:eastAsia="zh-CN"/>
        </w:rPr>
        <w:t>SNCR脱硝设施用于处理氮氧化物、新增1套活性炭喷粉装置用于处理二噁英，项目实际废气处理措施为“SNCR+烟气急冷+活性炭喷粉+重力沉降除尘器+布袋除尘器+碱喷淋”装置。</w:t>
      </w:r>
    </w:p>
    <w:p w14:paraId="3096245E">
      <w:pPr>
        <w:numPr>
          <w:ilvl w:val="0"/>
          <w:numId w:val="0"/>
        </w:numPr>
        <w:spacing w:line="360" w:lineRule="auto"/>
        <w:ind w:left="0" w:leftChars="0"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kern w:val="2"/>
          <w:sz w:val="24"/>
          <w:szCs w:val="24"/>
          <w:lang w:val="en-US" w:eastAsia="zh-CN" w:bidi="ar-SA"/>
        </w:rPr>
        <w:t>③</w:t>
      </w:r>
      <w:r>
        <w:rPr>
          <w:rFonts w:hint="default" w:ascii="Times New Roman" w:hAnsi="Times New Roman" w:eastAsia="宋体" w:cs="Times New Roman"/>
          <w:color w:val="auto"/>
          <w:sz w:val="24"/>
          <w:szCs w:val="24"/>
          <w:lang w:val="en-US" w:eastAsia="zh-CN"/>
        </w:rPr>
        <w:t>铝灰暂存废气由无组织排放改为有组织排放</w:t>
      </w:r>
      <w:r>
        <w:rPr>
          <w:rFonts w:hint="eastAsia" w:ascii="Times New Roman" w:hAnsi="Times New Roman" w:eastAsia="宋体" w:cs="Times New Roman"/>
          <w:color w:val="auto"/>
          <w:sz w:val="24"/>
          <w:szCs w:val="24"/>
          <w:lang w:val="en-US" w:eastAsia="zh-CN"/>
        </w:rPr>
        <w:t>，新增一套</w:t>
      </w:r>
      <w:r>
        <w:rPr>
          <w:rFonts w:hint="eastAsia" w:cs="Times New Roman"/>
          <w:color w:val="auto"/>
          <w:sz w:val="24"/>
          <w:highlight w:val="none"/>
          <w:lang w:val="en-US" w:eastAsia="zh-CN"/>
        </w:rPr>
        <w:t>“一级水喷淋装置”用于处理</w:t>
      </w:r>
      <w:r>
        <w:rPr>
          <w:rFonts w:hint="eastAsia" w:cs="Times New Roman"/>
          <w:b w:val="0"/>
          <w:bCs w:val="0"/>
          <w:color w:val="auto"/>
          <w:sz w:val="24"/>
          <w:szCs w:val="24"/>
          <w:lang w:val="en-US" w:eastAsia="zh-CN"/>
        </w:rPr>
        <w:t>危废库在</w:t>
      </w:r>
      <w:r>
        <w:rPr>
          <w:rFonts w:hint="default" w:ascii="Times New Roman" w:hAnsi="Times New Roman" w:eastAsia="宋体" w:cs="Times New Roman"/>
          <w:color w:val="auto"/>
          <w:sz w:val="24"/>
          <w:highlight w:val="none"/>
          <w:lang w:val="en-US" w:eastAsia="zh-CN"/>
        </w:rPr>
        <w:t>铝灰渣</w:t>
      </w:r>
      <w:r>
        <w:rPr>
          <w:rFonts w:hint="eastAsia" w:cs="Times New Roman"/>
          <w:color w:val="auto"/>
          <w:sz w:val="24"/>
          <w:highlight w:val="none"/>
          <w:lang w:val="en-US" w:eastAsia="zh-CN"/>
        </w:rPr>
        <w:t>暂存过程</w:t>
      </w:r>
      <w:r>
        <w:rPr>
          <w:rFonts w:hint="default" w:ascii="Times New Roman" w:hAnsi="Times New Roman" w:eastAsia="宋体" w:cs="Times New Roman"/>
          <w:color w:val="auto"/>
          <w:sz w:val="24"/>
          <w:highlight w:val="none"/>
          <w:lang w:val="en-US" w:eastAsia="zh-CN"/>
        </w:rPr>
        <w:t>中的氮化铝与空气中的水蒸气反应生成氨气</w:t>
      </w:r>
      <w:r>
        <w:rPr>
          <w:rFonts w:hint="eastAsia" w:ascii="Times New Roman" w:hAnsi="Times New Roman" w:eastAsia="宋体" w:cs="Times New Roman"/>
          <w:color w:val="auto"/>
          <w:sz w:val="24"/>
          <w:szCs w:val="24"/>
          <w:lang w:val="en-US" w:eastAsia="zh-CN"/>
        </w:rPr>
        <w:t>。</w:t>
      </w:r>
    </w:p>
    <w:p w14:paraId="18BE9CC3">
      <w:pPr>
        <w:spacing w:line="360" w:lineRule="auto"/>
        <w:ind w:firstLine="480" w:firstLineChars="200"/>
        <w:rPr>
          <w:color w:val="auto"/>
          <w:sz w:val="24"/>
          <w:szCs w:val="32"/>
        </w:rPr>
      </w:pPr>
      <w:r>
        <w:rPr>
          <w:rFonts w:hint="eastAsia"/>
          <w:color w:val="auto"/>
          <w:sz w:val="24"/>
          <w:szCs w:val="32"/>
        </w:rPr>
        <w:t>根据调查，项目建设后，项目所在地区</w:t>
      </w:r>
      <w:r>
        <w:rPr>
          <w:rFonts w:hint="eastAsia"/>
          <w:color w:val="auto"/>
          <w:sz w:val="24"/>
          <w:szCs w:val="32"/>
          <w:lang w:val="en-US" w:eastAsia="zh-CN"/>
        </w:rPr>
        <w:t>安徽濉溪经济技术开发区</w:t>
      </w:r>
      <w:r>
        <w:rPr>
          <w:rFonts w:hint="eastAsia"/>
          <w:color w:val="auto"/>
          <w:sz w:val="24"/>
          <w:szCs w:val="32"/>
        </w:rPr>
        <w:t>及周边地区的地表水</w:t>
      </w:r>
      <w:r>
        <w:rPr>
          <w:rFonts w:hint="eastAsia"/>
          <w:color w:val="auto"/>
          <w:sz w:val="24"/>
          <w:szCs w:val="32"/>
          <w:lang w:eastAsia="zh-CN"/>
        </w:rPr>
        <w:t>、</w:t>
      </w:r>
      <w:r>
        <w:rPr>
          <w:rFonts w:hint="eastAsia"/>
          <w:color w:val="auto"/>
          <w:sz w:val="24"/>
          <w:szCs w:val="32"/>
          <w:lang w:val="en-US" w:eastAsia="zh-CN"/>
        </w:rPr>
        <w:t>地下水、土壤</w:t>
      </w:r>
      <w:r>
        <w:rPr>
          <w:rFonts w:hint="eastAsia"/>
          <w:color w:val="auto"/>
          <w:sz w:val="24"/>
          <w:szCs w:val="32"/>
        </w:rPr>
        <w:t>环境质量仍可以达到相应标准，总体趋势较为平稳</w:t>
      </w:r>
      <w:r>
        <w:rPr>
          <w:rFonts w:hint="eastAsia"/>
          <w:color w:val="auto"/>
          <w:sz w:val="24"/>
          <w:szCs w:val="32"/>
          <w:lang w:eastAsia="zh-CN"/>
        </w:rPr>
        <w:t>；</w:t>
      </w:r>
      <w:r>
        <w:rPr>
          <w:rFonts w:hint="eastAsia"/>
          <w:color w:val="auto"/>
          <w:sz w:val="24"/>
          <w:szCs w:val="32"/>
          <w:lang w:val="en-US" w:eastAsia="zh-CN"/>
        </w:rPr>
        <w:t>环境空气质量总体变化不大</w:t>
      </w:r>
      <w:r>
        <w:rPr>
          <w:rFonts w:hint="eastAsia"/>
          <w:color w:val="auto"/>
          <w:sz w:val="24"/>
          <w:szCs w:val="32"/>
        </w:rPr>
        <w:t>。</w:t>
      </w:r>
    </w:p>
    <w:p w14:paraId="08154B9E">
      <w:pPr>
        <w:spacing w:line="360" w:lineRule="auto"/>
        <w:ind w:firstLine="480" w:firstLineChars="200"/>
        <w:rPr>
          <w:rFonts w:hint="eastAsia"/>
          <w:color w:val="auto"/>
          <w:sz w:val="24"/>
          <w:szCs w:val="32"/>
        </w:rPr>
      </w:pPr>
      <w:r>
        <w:rPr>
          <w:rFonts w:hint="eastAsia"/>
          <w:color w:val="auto"/>
          <w:sz w:val="24"/>
          <w:szCs w:val="32"/>
        </w:rPr>
        <w:t>综上所述，公司进行以上调整措施是合理可行的。</w:t>
      </w:r>
    </w:p>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F"/>
    <w:family w:val="auto"/>
    <w:pitch w:val="default"/>
    <w:sig w:usb0="E0002AFF" w:usb1="C0007841"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PMingLiU">
    <w:panose1 w:val="02020500000000000000"/>
    <w:charset w:val="88"/>
    <w:family w:val="auto"/>
    <w:pitch w:val="default"/>
    <w:sig w:usb0="A00002FF" w:usb1="28CFFCFA" w:usb2="00000016" w:usb3="00000000" w:csb0="00100001" w:csb1="00000000"/>
  </w:font>
  <w:font w:name="楷体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7F" w:usb3="00000000" w:csb0="203F01FF" w:csb1="DFFF0000"/>
  </w:font>
  <w:font w:name="仿宋">
    <w:panose1 w:val="02010609060101010101"/>
    <w:charset w:val="86"/>
    <w:family w:val="modern"/>
    <w:pitch w:val="default"/>
    <w:sig w:usb0="800002BF" w:usb1="38CF7CFA" w:usb2="00000016" w:usb3="00000000" w:csb0="00040001" w:csb1="00000000"/>
  </w:font>
  <w:font w:name="新宋体">
    <w:panose1 w:val="02010609030101010101"/>
    <w:charset w:val="86"/>
    <w:family w:val="auto"/>
    <w:pitch w:val="default"/>
    <w:sig w:usb0="00000003" w:usb1="288F0000" w:usb2="00000006" w:usb3="00000000" w:csb0="0004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A1C21">
    <w:pPr>
      <w:pStyle w:val="20"/>
      <w:jc w:val="center"/>
      <w:rPr>
        <w:rFonts w:ascii="Times New Roman" w:hAnsi="Times New Roman" w:cs="Times New Roman"/>
      </w:rPr>
    </w:pPr>
    <w:sdt>
      <w:sdtPr>
        <w:id w:val="-466125460"/>
        <w:showingPlcHdr/>
      </w:sdtPr>
      <w:sdtEndPr>
        <w:rPr>
          <w:rFonts w:ascii="Times New Roman" w:hAnsi="Times New Roman" w:cs="Times New Roman"/>
        </w:rPr>
      </w:sdtEndP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27409">
    <w:pPr>
      <w:pStyle w:val="22"/>
    </w:pPr>
  </w:p>
  <w:p w14:paraId="649A3983"/>
  <w:p w14:paraId="0B9D31EF"/>
  <w:p w14:paraId="2891520D"/>
  <w:p w14:paraId="6A058759">
    <w:r>
      <w:t>PAGE 14590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366D6">
    <w:pPr>
      <w:pStyle w:val="20"/>
      <w:jc w:val="center"/>
      <w:rPr>
        <w:rFonts w:ascii="Times New Roman" w:hAnsi="Times New Roman" w:cs="Times New Roman"/>
      </w:rPr>
    </w:pPr>
    <w:sdt>
      <w:sdtPr>
        <w:id w:val="147477865"/>
        <w:showingPlcHdr/>
      </w:sdtPr>
      <w:sdtEndPr>
        <w:rPr>
          <w:rFonts w:ascii="Times New Roman" w:hAnsi="Times New Roman" w:cs="Times New Roman"/>
        </w:rPr>
      </w:sdtEndP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EC943">
    <w:pPr>
      <w:pStyle w:val="20"/>
      <w:jc w:val="center"/>
      <w:rPr>
        <w:rFonts w:ascii="Times New Roman" w:hAnsi="Times New Roman" w:cs="Times New Roman"/>
      </w:rPr>
    </w:pPr>
    <w:sdt>
      <w:sdtPr>
        <w:id w:val="147457354"/>
        <w:showingPlcHdr/>
      </w:sdtPr>
      <w:sdtEndPr>
        <w:rPr>
          <w:rFonts w:ascii="Times New Roman" w:hAnsi="Times New Roman" w:cs="Times New Roman"/>
        </w:rPr>
      </w:sdtEndPr>
      <w:sdtContent>
        <w:r>
          <w:rPr>
            <w:rFonts w:hint="eastAsia"/>
            <w:lang w:eastAsia="zh-CN"/>
          </w:rPr>
          <w:t xml:space="preserve">     </w:t>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1ED93">
    <w:pPr>
      <w:pStyle w:val="20"/>
      <w:jc w:val="center"/>
      <w:rPr>
        <w:rFonts w:ascii="Times New Roman" w:hAnsi="Times New Roman"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7" name="文本框 1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51D83B">
                          <w:pPr>
                            <w:pStyle w:val="20"/>
                            <w:rPr>
                              <w:rFonts w:hint="default" w:ascii="Times New Roman" w:hAnsi="Times New Roman" w:eastAsia="宋体" w:cs="Times New Roman"/>
                              <w:sz w:val="20"/>
                              <w:szCs w:val="20"/>
                            </w:rPr>
                          </w:pPr>
                          <w:r>
                            <w:rPr>
                              <w:rFonts w:hint="default" w:ascii="Times New Roman" w:hAnsi="Times New Roman" w:eastAsia="宋体" w:cs="Times New Roman"/>
                              <w:sz w:val="20"/>
                              <w:szCs w:val="20"/>
                            </w:rPr>
                            <w:fldChar w:fldCharType="begin"/>
                          </w:r>
                          <w:r>
                            <w:rPr>
                              <w:rFonts w:hint="default" w:ascii="Times New Roman" w:hAnsi="Times New Roman" w:eastAsia="宋体" w:cs="Times New Roman"/>
                              <w:sz w:val="20"/>
                              <w:szCs w:val="20"/>
                            </w:rPr>
                            <w:instrText xml:space="preserve"> PAGE  \* MERGEFORMAT </w:instrText>
                          </w:r>
                          <w:r>
                            <w:rPr>
                              <w:rFonts w:hint="default" w:ascii="Times New Roman" w:hAnsi="Times New Roman" w:eastAsia="宋体" w:cs="Times New Roman"/>
                              <w:sz w:val="20"/>
                              <w:szCs w:val="20"/>
                            </w:rPr>
                            <w:fldChar w:fldCharType="separate"/>
                          </w:r>
                          <w:r>
                            <w:rPr>
                              <w:rFonts w:hint="default" w:ascii="Times New Roman" w:hAnsi="Times New Roman" w:eastAsia="宋体" w:cs="Times New Roman"/>
                              <w:sz w:val="20"/>
                              <w:szCs w:val="20"/>
                            </w:rPr>
                            <w:t>1</w:t>
                          </w:r>
                          <w:r>
                            <w:rPr>
                              <w:rFonts w:hint="default" w:ascii="Times New Roman" w:hAnsi="Times New Roman" w:eastAsia="宋体" w:cs="Times New Roman"/>
                              <w:sz w:val="20"/>
                              <w:szCs w:val="20"/>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VtEItAgAAWQ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G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JqVtEItAgAAWQQAAA4AAAAAAAAAAQAgAAAAHwEAAGRycy9lMm9Eb2MueG1sUEsFBgAAAAAG&#10;AAYAWQEAAL4FAAAAAA==&#10;">
              <v:fill on="f" focussize="0,0"/>
              <v:stroke on="f" weight="0.5pt"/>
              <v:imagedata o:title=""/>
              <o:lock v:ext="edit" aspectratio="f"/>
              <v:textbox inset="0mm,0mm,0mm,0mm" style="mso-fit-shape-to-text:t;">
                <w:txbxContent>
                  <w:p w14:paraId="7051D83B">
                    <w:pPr>
                      <w:pStyle w:val="20"/>
                      <w:rPr>
                        <w:rFonts w:hint="default" w:ascii="Times New Roman" w:hAnsi="Times New Roman" w:eastAsia="宋体" w:cs="Times New Roman"/>
                        <w:sz w:val="20"/>
                        <w:szCs w:val="20"/>
                      </w:rPr>
                    </w:pPr>
                    <w:r>
                      <w:rPr>
                        <w:rFonts w:hint="default" w:ascii="Times New Roman" w:hAnsi="Times New Roman" w:eastAsia="宋体" w:cs="Times New Roman"/>
                        <w:sz w:val="20"/>
                        <w:szCs w:val="20"/>
                      </w:rPr>
                      <w:fldChar w:fldCharType="begin"/>
                    </w:r>
                    <w:r>
                      <w:rPr>
                        <w:rFonts w:hint="default" w:ascii="Times New Roman" w:hAnsi="Times New Roman" w:eastAsia="宋体" w:cs="Times New Roman"/>
                        <w:sz w:val="20"/>
                        <w:szCs w:val="20"/>
                      </w:rPr>
                      <w:instrText xml:space="preserve"> PAGE  \* MERGEFORMAT </w:instrText>
                    </w:r>
                    <w:r>
                      <w:rPr>
                        <w:rFonts w:hint="default" w:ascii="Times New Roman" w:hAnsi="Times New Roman" w:eastAsia="宋体" w:cs="Times New Roman"/>
                        <w:sz w:val="20"/>
                        <w:szCs w:val="20"/>
                      </w:rPr>
                      <w:fldChar w:fldCharType="separate"/>
                    </w:r>
                    <w:r>
                      <w:rPr>
                        <w:rFonts w:hint="default" w:ascii="Times New Roman" w:hAnsi="Times New Roman" w:eastAsia="宋体" w:cs="Times New Roman"/>
                        <w:sz w:val="20"/>
                        <w:szCs w:val="20"/>
                      </w:rPr>
                      <w:t>1</w:t>
                    </w:r>
                    <w:r>
                      <w:rPr>
                        <w:rFonts w:hint="default" w:ascii="Times New Roman" w:hAnsi="Times New Roman" w:eastAsia="宋体" w:cs="Times New Roman"/>
                        <w:sz w:val="20"/>
                        <w:szCs w:val="20"/>
                      </w:rPr>
                      <w:fldChar w:fldCharType="end"/>
                    </w:r>
                  </w:p>
                </w:txbxContent>
              </v:textbox>
            </v:shape>
          </w:pict>
        </mc:Fallback>
      </mc:AlternateContent>
    </w:r>
    <w:sdt>
      <w:sdtPr>
        <w:id w:val="147478029"/>
        <w:showingPlcHdr/>
      </w:sdtPr>
      <w:sdtEndPr>
        <w:rPr>
          <w:rFonts w:ascii="Times New Roman" w:hAnsi="Times New Roman" w:cs="Times New Roman"/>
        </w:rPr>
      </w:sdtEndPr>
      <w:sdtContent>
        <w:r>
          <w:rPr>
            <w:rFonts w:hint="eastAsia"/>
          </w:rPr>
          <w:t xml:space="preserve">     </w:t>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6D7B58">
    <w:pPr>
      <w:pStyle w:val="20"/>
      <w:rPr>
        <w:rFonts w:ascii="Times New Roman" w:hAnsi="Times New Roman" w:cs="Times New Roman"/>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0" name="文本框 1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29386D">
                          <w:pPr>
                            <w:pStyle w:val="20"/>
                          </w:pPr>
                          <w:r>
                            <w:fldChar w:fldCharType="begin"/>
                          </w:r>
                          <w:r>
                            <w:instrText xml:space="preserve"> PAGE  \* MERGEFORMAT </w:instrText>
                          </w:r>
                          <w:r>
                            <w:fldChar w:fldCharType="separate"/>
                          </w:r>
                          <w:r>
                            <w:t>72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EpMMIsAgAAW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SkwwiwCAABZBAAADgAAAAAAAAABACAAAAAfAQAAZHJzL2Uyb0RvYy54bWxQSwUGAAAAAAYA&#10;BgBZAQAAvQUAAAAA&#10;">
              <v:fill on="f" focussize="0,0"/>
              <v:stroke on="f" weight="0.5pt"/>
              <v:imagedata o:title=""/>
              <o:lock v:ext="edit" aspectratio="f"/>
              <v:textbox inset="0mm,0mm,0mm,0mm" style="mso-fit-shape-to-text:t;">
                <w:txbxContent>
                  <w:p w14:paraId="7429386D">
                    <w:pPr>
                      <w:pStyle w:val="20"/>
                    </w:pPr>
                    <w:r>
                      <w:fldChar w:fldCharType="begin"/>
                    </w:r>
                    <w:r>
                      <w:instrText xml:space="preserve"> PAGE  \* MERGEFORMAT </w:instrText>
                    </w:r>
                    <w:r>
                      <w:fldChar w:fldCharType="separate"/>
                    </w:r>
                    <w:r>
                      <w:t>72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CBFDE0">
    <w:pPr>
      <w:pStyle w:val="20"/>
      <w:rPr>
        <w:rFonts w:ascii="Times New Roman" w:hAnsi="Times New Roman" w:cs="Times New Roman"/>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82E189">
                          <w:pPr>
                            <w:pStyle w:val="20"/>
                          </w:pPr>
                          <w:r>
                            <w:fldChar w:fldCharType="begin"/>
                          </w:r>
                          <w:r>
                            <w:instrText xml:space="preserve"> PAGE  \* MERGEFORMAT </w:instrText>
                          </w:r>
                          <w:r>
                            <w:fldChar w:fldCharType="separate"/>
                          </w:r>
                          <w:r>
                            <w:t>124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33YcnywCAABZBAAADgAAAAAAAAABACAAAAAfAQAAZHJzL2Uyb0RvYy54bWxQSwUGAAAAAAYA&#10;BgBZAQAAvQUAAAAA&#10;">
              <v:fill on="f" focussize="0,0"/>
              <v:stroke on="f" weight="0.5pt"/>
              <v:imagedata o:title=""/>
              <o:lock v:ext="edit" aspectratio="f"/>
              <v:textbox inset="0mm,0mm,0mm,0mm" style="mso-fit-shape-to-text:t;">
                <w:txbxContent>
                  <w:p w14:paraId="3782E189">
                    <w:pPr>
                      <w:pStyle w:val="20"/>
                    </w:pPr>
                    <w:r>
                      <w:fldChar w:fldCharType="begin"/>
                    </w:r>
                    <w:r>
                      <w:instrText xml:space="preserve"> PAGE  \* MERGEFORMAT </w:instrText>
                    </w:r>
                    <w:r>
                      <w:fldChar w:fldCharType="separate"/>
                    </w:r>
                    <w:r>
                      <w:t>124</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16F89">
    <w:pPr>
      <w:pStyle w:val="22"/>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C72CD"/>
  <w:p w14:paraId="49ECFF2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32218">
    <w:pPr>
      <w:pStyle w:val="20"/>
    </w:pPr>
  </w:p>
  <w:p w14:paraId="786FDE17"/>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FFA9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4B116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746A56"/>
    <w:multiLevelType w:val="multilevel"/>
    <w:tmpl w:val="13746A56"/>
    <w:lvl w:ilvl="0" w:tentative="0">
      <w:start w:val="1"/>
      <w:numFmt w:val="decimal"/>
      <w:pStyle w:val="59"/>
      <w:lvlText w:val="（%1）"/>
      <w:lvlJc w:val="left"/>
      <w:pPr>
        <w:ind w:left="1185" w:hanging="720"/>
      </w:pPr>
      <w:rPr>
        <w:rFonts w:hint="default" w:ascii="Times New Roman" w:hAnsi="Times New Roman"/>
      </w:rPr>
    </w:lvl>
    <w:lvl w:ilvl="1" w:tentative="0">
      <w:start w:val="1"/>
      <w:numFmt w:val="lowerLetter"/>
      <w:lvlText w:val="%2)"/>
      <w:lvlJc w:val="left"/>
      <w:pPr>
        <w:ind w:left="1305" w:hanging="420"/>
      </w:pPr>
    </w:lvl>
    <w:lvl w:ilvl="2" w:tentative="0">
      <w:start w:val="1"/>
      <w:numFmt w:val="lowerRoman"/>
      <w:lvlText w:val="%3."/>
      <w:lvlJc w:val="right"/>
      <w:pPr>
        <w:ind w:left="1725" w:hanging="420"/>
      </w:pPr>
    </w:lvl>
    <w:lvl w:ilvl="3" w:tentative="0">
      <w:start w:val="1"/>
      <w:numFmt w:val="decimal"/>
      <w:lvlText w:val="%4."/>
      <w:lvlJc w:val="left"/>
      <w:pPr>
        <w:ind w:left="2145" w:hanging="420"/>
      </w:pPr>
    </w:lvl>
    <w:lvl w:ilvl="4" w:tentative="0">
      <w:start w:val="1"/>
      <w:numFmt w:val="lowerLetter"/>
      <w:lvlText w:val="%5)"/>
      <w:lvlJc w:val="left"/>
      <w:pPr>
        <w:ind w:left="2565" w:hanging="420"/>
      </w:pPr>
    </w:lvl>
    <w:lvl w:ilvl="5" w:tentative="0">
      <w:start w:val="1"/>
      <w:numFmt w:val="lowerRoman"/>
      <w:lvlText w:val="%6."/>
      <w:lvlJc w:val="right"/>
      <w:pPr>
        <w:ind w:left="2985" w:hanging="420"/>
      </w:pPr>
    </w:lvl>
    <w:lvl w:ilvl="6" w:tentative="0">
      <w:start w:val="1"/>
      <w:numFmt w:val="decimal"/>
      <w:lvlText w:val="%7."/>
      <w:lvlJc w:val="left"/>
      <w:pPr>
        <w:ind w:left="3405" w:hanging="420"/>
      </w:pPr>
    </w:lvl>
    <w:lvl w:ilvl="7" w:tentative="0">
      <w:start w:val="1"/>
      <w:numFmt w:val="lowerLetter"/>
      <w:lvlText w:val="%8)"/>
      <w:lvlJc w:val="left"/>
      <w:pPr>
        <w:ind w:left="3825" w:hanging="420"/>
      </w:pPr>
    </w:lvl>
    <w:lvl w:ilvl="8" w:tentative="0">
      <w:start w:val="1"/>
      <w:numFmt w:val="lowerRoman"/>
      <w:lvlText w:val="%9."/>
      <w:lvlJc w:val="right"/>
      <w:pPr>
        <w:ind w:left="424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gutterAtTop/>
  <w:hideSpellingErrors/>
  <w:documentProtection w:enforcement="0"/>
  <w:defaultTabStop w:val="420"/>
  <w:drawingGridHorizontalSpacing w:val="105"/>
  <w:drawingGridVerticalSpacing w:val="161"/>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Q5NTY0MjQ1MzUyMzFmZjU0MDAzODFhMzhiMTM5ZTYifQ=="/>
  </w:docVars>
  <w:rsids>
    <w:rsidRoot w:val="008E1CAE"/>
    <w:rsid w:val="00005683"/>
    <w:rsid w:val="000066FB"/>
    <w:rsid w:val="00016946"/>
    <w:rsid w:val="0002114C"/>
    <w:rsid w:val="000259FB"/>
    <w:rsid w:val="00025C2C"/>
    <w:rsid w:val="00034191"/>
    <w:rsid w:val="000352F1"/>
    <w:rsid w:val="00036F51"/>
    <w:rsid w:val="00037A9B"/>
    <w:rsid w:val="000406A1"/>
    <w:rsid w:val="00044E44"/>
    <w:rsid w:val="000500AF"/>
    <w:rsid w:val="00050F49"/>
    <w:rsid w:val="00053E6B"/>
    <w:rsid w:val="000611EC"/>
    <w:rsid w:val="000625BF"/>
    <w:rsid w:val="000666F6"/>
    <w:rsid w:val="0008039D"/>
    <w:rsid w:val="000817CF"/>
    <w:rsid w:val="000827E6"/>
    <w:rsid w:val="00084E25"/>
    <w:rsid w:val="00087641"/>
    <w:rsid w:val="000934A7"/>
    <w:rsid w:val="00095358"/>
    <w:rsid w:val="000A305F"/>
    <w:rsid w:val="000A3071"/>
    <w:rsid w:val="000A33DE"/>
    <w:rsid w:val="000A4898"/>
    <w:rsid w:val="000A4E20"/>
    <w:rsid w:val="000A67FC"/>
    <w:rsid w:val="000A75E7"/>
    <w:rsid w:val="000A7F8B"/>
    <w:rsid w:val="000B276C"/>
    <w:rsid w:val="000B345A"/>
    <w:rsid w:val="000B35BC"/>
    <w:rsid w:val="000B44D4"/>
    <w:rsid w:val="000B524F"/>
    <w:rsid w:val="000B6F04"/>
    <w:rsid w:val="000C4038"/>
    <w:rsid w:val="000D06AF"/>
    <w:rsid w:val="000D3977"/>
    <w:rsid w:val="000D5354"/>
    <w:rsid w:val="000E08BF"/>
    <w:rsid w:val="000E1DCF"/>
    <w:rsid w:val="000E3203"/>
    <w:rsid w:val="000E34FC"/>
    <w:rsid w:val="000E5059"/>
    <w:rsid w:val="000E70ED"/>
    <w:rsid w:val="000F0B0F"/>
    <w:rsid w:val="000F1A37"/>
    <w:rsid w:val="000F1D75"/>
    <w:rsid w:val="000F4F85"/>
    <w:rsid w:val="000F7738"/>
    <w:rsid w:val="00104BB8"/>
    <w:rsid w:val="00104DA9"/>
    <w:rsid w:val="00106794"/>
    <w:rsid w:val="00106BD5"/>
    <w:rsid w:val="00107D3A"/>
    <w:rsid w:val="001125F3"/>
    <w:rsid w:val="00115389"/>
    <w:rsid w:val="0011573E"/>
    <w:rsid w:val="00116AE4"/>
    <w:rsid w:val="00117411"/>
    <w:rsid w:val="00120B35"/>
    <w:rsid w:val="00121A92"/>
    <w:rsid w:val="00122D9B"/>
    <w:rsid w:val="00123E25"/>
    <w:rsid w:val="00123F3E"/>
    <w:rsid w:val="00124EE0"/>
    <w:rsid w:val="00131BA3"/>
    <w:rsid w:val="001349FE"/>
    <w:rsid w:val="001361F9"/>
    <w:rsid w:val="001402E6"/>
    <w:rsid w:val="00140679"/>
    <w:rsid w:val="00140AFD"/>
    <w:rsid w:val="001414E9"/>
    <w:rsid w:val="00143143"/>
    <w:rsid w:val="0014380F"/>
    <w:rsid w:val="0014756A"/>
    <w:rsid w:val="00151469"/>
    <w:rsid w:val="00151E46"/>
    <w:rsid w:val="00152D87"/>
    <w:rsid w:val="001538A2"/>
    <w:rsid w:val="00156CA7"/>
    <w:rsid w:val="00157B3E"/>
    <w:rsid w:val="001648EC"/>
    <w:rsid w:val="00164F6D"/>
    <w:rsid w:val="001661FD"/>
    <w:rsid w:val="00170347"/>
    <w:rsid w:val="00174D35"/>
    <w:rsid w:val="00174EC3"/>
    <w:rsid w:val="00175875"/>
    <w:rsid w:val="00177714"/>
    <w:rsid w:val="0018087D"/>
    <w:rsid w:val="00186C85"/>
    <w:rsid w:val="00187C94"/>
    <w:rsid w:val="001939B5"/>
    <w:rsid w:val="00197C6B"/>
    <w:rsid w:val="001A42B0"/>
    <w:rsid w:val="001B2C16"/>
    <w:rsid w:val="001C20E6"/>
    <w:rsid w:val="001C2510"/>
    <w:rsid w:val="001D063A"/>
    <w:rsid w:val="001D1644"/>
    <w:rsid w:val="001D1C33"/>
    <w:rsid w:val="001E2E76"/>
    <w:rsid w:val="001E3E9D"/>
    <w:rsid w:val="001F4CEB"/>
    <w:rsid w:val="001F58C1"/>
    <w:rsid w:val="001F5F0D"/>
    <w:rsid w:val="002028C3"/>
    <w:rsid w:val="0021052D"/>
    <w:rsid w:val="0021068C"/>
    <w:rsid w:val="00211554"/>
    <w:rsid w:val="00213CC4"/>
    <w:rsid w:val="00215D54"/>
    <w:rsid w:val="0022473D"/>
    <w:rsid w:val="00226FBF"/>
    <w:rsid w:val="0022772A"/>
    <w:rsid w:val="002305FF"/>
    <w:rsid w:val="00234F59"/>
    <w:rsid w:val="00242B69"/>
    <w:rsid w:val="002435F1"/>
    <w:rsid w:val="00250486"/>
    <w:rsid w:val="002558E2"/>
    <w:rsid w:val="00255C57"/>
    <w:rsid w:val="00255F8F"/>
    <w:rsid w:val="00256646"/>
    <w:rsid w:val="00257579"/>
    <w:rsid w:val="002631AF"/>
    <w:rsid w:val="0026628A"/>
    <w:rsid w:val="00266CD6"/>
    <w:rsid w:val="00270F74"/>
    <w:rsid w:val="002748BF"/>
    <w:rsid w:val="00280A7F"/>
    <w:rsid w:val="002847C1"/>
    <w:rsid w:val="00290EC0"/>
    <w:rsid w:val="002A0668"/>
    <w:rsid w:val="002A49E9"/>
    <w:rsid w:val="002A4A9A"/>
    <w:rsid w:val="002A53BA"/>
    <w:rsid w:val="002A61B2"/>
    <w:rsid w:val="002A799E"/>
    <w:rsid w:val="002B0484"/>
    <w:rsid w:val="002B59E5"/>
    <w:rsid w:val="002B720A"/>
    <w:rsid w:val="002B7E64"/>
    <w:rsid w:val="002C6D26"/>
    <w:rsid w:val="002D2510"/>
    <w:rsid w:val="002D37F7"/>
    <w:rsid w:val="002D64D7"/>
    <w:rsid w:val="002E043F"/>
    <w:rsid w:val="002E18F2"/>
    <w:rsid w:val="002E317E"/>
    <w:rsid w:val="002F093F"/>
    <w:rsid w:val="00313B8A"/>
    <w:rsid w:val="00313F4A"/>
    <w:rsid w:val="0032356E"/>
    <w:rsid w:val="00327ECB"/>
    <w:rsid w:val="00330ED4"/>
    <w:rsid w:val="00334310"/>
    <w:rsid w:val="00336F25"/>
    <w:rsid w:val="00344093"/>
    <w:rsid w:val="003466D4"/>
    <w:rsid w:val="003611E0"/>
    <w:rsid w:val="00361F03"/>
    <w:rsid w:val="003708F4"/>
    <w:rsid w:val="0037167A"/>
    <w:rsid w:val="00371857"/>
    <w:rsid w:val="00371C17"/>
    <w:rsid w:val="0037239A"/>
    <w:rsid w:val="00375C14"/>
    <w:rsid w:val="00376039"/>
    <w:rsid w:val="00377CB1"/>
    <w:rsid w:val="00385CD2"/>
    <w:rsid w:val="00393E15"/>
    <w:rsid w:val="00393F02"/>
    <w:rsid w:val="003A1B74"/>
    <w:rsid w:val="003A232B"/>
    <w:rsid w:val="003A4E32"/>
    <w:rsid w:val="003B0468"/>
    <w:rsid w:val="003B643D"/>
    <w:rsid w:val="003C5CB2"/>
    <w:rsid w:val="003C78C6"/>
    <w:rsid w:val="003D3082"/>
    <w:rsid w:val="003D6753"/>
    <w:rsid w:val="003E05DC"/>
    <w:rsid w:val="003E4A03"/>
    <w:rsid w:val="003E5BD9"/>
    <w:rsid w:val="003E6DFF"/>
    <w:rsid w:val="003F6BD8"/>
    <w:rsid w:val="003F74CE"/>
    <w:rsid w:val="003F7702"/>
    <w:rsid w:val="00400C65"/>
    <w:rsid w:val="00400FCF"/>
    <w:rsid w:val="004033F9"/>
    <w:rsid w:val="00405275"/>
    <w:rsid w:val="00406EE3"/>
    <w:rsid w:val="00411160"/>
    <w:rsid w:val="00415DCD"/>
    <w:rsid w:val="00417ECC"/>
    <w:rsid w:val="004204C0"/>
    <w:rsid w:val="004225E2"/>
    <w:rsid w:val="00423F55"/>
    <w:rsid w:val="0044547E"/>
    <w:rsid w:val="00445906"/>
    <w:rsid w:val="004510CA"/>
    <w:rsid w:val="00462198"/>
    <w:rsid w:val="00462EB4"/>
    <w:rsid w:val="00467B41"/>
    <w:rsid w:val="004752CD"/>
    <w:rsid w:val="004766FA"/>
    <w:rsid w:val="00477767"/>
    <w:rsid w:val="00480B24"/>
    <w:rsid w:val="00481D61"/>
    <w:rsid w:val="00481F2E"/>
    <w:rsid w:val="004962A3"/>
    <w:rsid w:val="004A28BE"/>
    <w:rsid w:val="004B0DAF"/>
    <w:rsid w:val="004C2CEF"/>
    <w:rsid w:val="004D0B95"/>
    <w:rsid w:val="004D0FF0"/>
    <w:rsid w:val="004D18AF"/>
    <w:rsid w:val="004D500C"/>
    <w:rsid w:val="004D56E5"/>
    <w:rsid w:val="004F2DEB"/>
    <w:rsid w:val="004F344C"/>
    <w:rsid w:val="004F46F6"/>
    <w:rsid w:val="004F520D"/>
    <w:rsid w:val="004F644F"/>
    <w:rsid w:val="004F7605"/>
    <w:rsid w:val="005007F7"/>
    <w:rsid w:val="00510F0A"/>
    <w:rsid w:val="00512925"/>
    <w:rsid w:val="0051619D"/>
    <w:rsid w:val="00521935"/>
    <w:rsid w:val="005257F5"/>
    <w:rsid w:val="00535E1B"/>
    <w:rsid w:val="00536521"/>
    <w:rsid w:val="00537A26"/>
    <w:rsid w:val="00541530"/>
    <w:rsid w:val="005423E3"/>
    <w:rsid w:val="00542D7F"/>
    <w:rsid w:val="00544775"/>
    <w:rsid w:val="00544CD4"/>
    <w:rsid w:val="0055026D"/>
    <w:rsid w:val="00552BE3"/>
    <w:rsid w:val="00560A77"/>
    <w:rsid w:val="00561F21"/>
    <w:rsid w:val="00586408"/>
    <w:rsid w:val="00587DEA"/>
    <w:rsid w:val="00590CD9"/>
    <w:rsid w:val="005923BF"/>
    <w:rsid w:val="00595BE5"/>
    <w:rsid w:val="00596A5A"/>
    <w:rsid w:val="005A051A"/>
    <w:rsid w:val="005A4795"/>
    <w:rsid w:val="005A490F"/>
    <w:rsid w:val="005A5B5E"/>
    <w:rsid w:val="005A5DB7"/>
    <w:rsid w:val="005B2379"/>
    <w:rsid w:val="005B4396"/>
    <w:rsid w:val="005C22DC"/>
    <w:rsid w:val="005C3005"/>
    <w:rsid w:val="005C3682"/>
    <w:rsid w:val="005D0093"/>
    <w:rsid w:val="005D6265"/>
    <w:rsid w:val="005E3375"/>
    <w:rsid w:val="005E691D"/>
    <w:rsid w:val="005F5271"/>
    <w:rsid w:val="005F7F18"/>
    <w:rsid w:val="006029C2"/>
    <w:rsid w:val="00610A51"/>
    <w:rsid w:val="00613D82"/>
    <w:rsid w:val="006175B3"/>
    <w:rsid w:val="00625CD0"/>
    <w:rsid w:val="006306F0"/>
    <w:rsid w:val="00632666"/>
    <w:rsid w:val="00634475"/>
    <w:rsid w:val="00634D58"/>
    <w:rsid w:val="00634DF0"/>
    <w:rsid w:val="00637149"/>
    <w:rsid w:val="006424E2"/>
    <w:rsid w:val="00643BB8"/>
    <w:rsid w:val="0064464E"/>
    <w:rsid w:val="006447CC"/>
    <w:rsid w:val="0065034C"/>
    <w:rsid w:val="00660A1A"/>
    <w:rsid w:val="006627CA"/>
    <w:rsid w:val="00662B47"/>
    <w:rsid w:val="0066500C"/>
    <w:rsid w:val="00665C95"/>
    <w:rsid w:val="0066740E"/>
    <w:rsid w:val="006700D5"/>
    <w:rsid w:val="0067329B"/>
    <w:rsid w:val="006735C3"/>
    <w:rsid w:val="006830EF"/>
    <w:rsid w:val="00683C67"/>
    <w:rsid w:val="0068574D"/>
    <w:rsid w:val="00694789"/>
    <w:rsid w:val="006A56BE"/>
    <w:rsid w:val="006A7FF0"/>
    <w:rsid w:val="006B020E"/>
    <w:rsid w:val="006B29AA"/>
    <w:rsid w:val="006B548B"/>
    <w:rsid w:val="006C0586"/>
    <w:rsid w:val="006C22F5"/>
    <w:rsid w:val="006C4CD7"/>
    <w:rsid w:val="006C5CD7"/>
    <w:rsid w:val="006C61D5"/>
    <w:rsid w:val="006C6EFB"/>
    <w:rsid w:val="006E792B"/>
    <w:rsid w:val="006F4A46"/>
    <w:rsid w:val="00700689"/>
    <w:rsid w:val="00700F65"/>
    <w:rsid w:val="00704311"/>
    <w:rsid w:val="007053D2"/>
    <w:rsid w:val="0070795E"/>
    <w:rsid w:val="007110C4"/>
    <w:rsid w:val="0071450E"/>
    <w:rsid w:val="00714B03"/>
    <w:rsid w:val="00715ABB"/>
    <w:rsid w:val="00716408"/>
    <w:rsid w:val="00720691"/>
    <w:rsid w:val="00721E3F"/>
    <w:rsid w:val="00722255"/>
    <w:rsid w:val="00723BD9"/>
    <w:rsid w:val="00726CDC"/>
    <w:rsid w:val="00727099"/>
    <w:rsid w:val="00727DB2"/>
    <w:rsid w:val="00731677"/>
    <w:rsid w:val="00732EF1"/>
    <w:rsid w:val="00734143"/>
    <w:rsid w:val="00740DD4"/>
    <w:rsid w:val="00743316"/>
    <w:rsid w:val="00743DBA"/>
    <w:rsid w:val="0074785D"/>
    <w:rsid w:val="00756DFE"/>
    <w:rsid w:val="00760B0B"/>
    <w:rsid w:val="00764640"/>
    <w:rsid w:val="00771F27"/>
    <w:rsid w:val="00773916"/>
    <w:rsid w:val="00782379"/>
    <w:rsid w:val="00782504"/>
    <w:rsid w:val="007825C3"/>
    <w:rsid w:val="00785701"/>
    <w:rsid w:val="0079057B"/>
    <w:rsid w:val="00790756"/>
    <w:rsid w:val="0079248C"/>
    <w:rsid w:val="007933BA"/>
    <w:rsid w:val="00795219"/>
    <w:rsid w:val="007A1497"/>
    <w:rsid w:val="007A60DD"/>
    <w:rsid w:val="007A712F"/>
    <w:rsid w:val="007B408A"/>
    <w:rsid w:val="007B4EFA"/>
    <w:rsid w:val="007B7F49"/>
    <w:rsid w:val="007C14A4"/>
    <w:rsid w:val="007C26F0"/>
    <w:rsid w:val="007C377F"/>
    <w:rsid w:val="007D1C52"/>
    <w:rsid w:val="007D1CD7"/>
    <w:rsid w:val="007D2541"/>
    <w:rsid w:val="007D36C5"/>
    <w:rsid w:val="007D3794"/>
    <w:rsid w:val="007E22F8"/>
    <w:rsid w:val="007E2861"/>
    <w:rsid w:val="007E28F1"/>
    <w:rsid w:val="007F12E2"/>
    <w:rsid w:val="007F1408"/>
    <w:rsid w:val="007F19DA"/>
    <w:rsid w:val="007F3D79"/>
    <w:rsid w:val="007F5D16"/>
    <w:rsid w:val="007F64A6"/>
    <w:rsid w:val="0080150A"/>
    <w:rsid w:val="00811025"/>
    <w:rsid w:val="0082164D"/>
    <w:rsid w:val="00821CB7"/>
    <w:rsid w:val="00821FAA"/>
    <w:rsid w:val="0082228B"/>
    <w:rsid w:val="00822F1E"/>
    <w:rsid w:val="00824A45"/>
    <w:rsid w:val="00826C95"/>
    <w:rsid w:val="00831A3B"/>
    <w:rsid w:val="00832B8A"/>
    <w:rsid w:val="00835626"/>
    <w:rsid w:val="00835835"/>
    <w:rsid w:val="008403ED"/>
    <w:rsid w:val="00840AC1"/>
    <w:rsid w:val="00843C08"/>
    <w:rsid w:val="00845BAD"/>
    <w:rsid w:val="00846E2B"/>
    <w:rsid w:val="00851707"/>
    <w:rsid w:val="00852394"/>
    <w:rsid w:val="00853D14"/>
    <w:rsid w:val="008551EE"/>
    <w:rsid w:val="008569D7"/>
    <w:rsid w:val="00860785"/>
    <w:rsid w:val="008612B2"/>
    <w:rsid w:val="00864F75"/>
    <w:rsid w:val="00865EC9"/>
    <w:rsid w:val="00867CF2"/>
    <w:rsid w:val="00870577"/>
    <w:rsid w:val="008729F5"/>
    <w:rsid w:val="00872E18"/>
    <w:rsid w:val="00874363"/>
    <w:rsid w:val="00874DA6"/>
    <w:rsid w:val="0088087C"/>
    <w:rsid w:val="00881EB3"/>
    <w:rsid w:val="008832F3"/>
    <w:rsid w:val="00884740"/>
    <w:rsid w:val="00884975"/>
    <w:rsid w:val="008871BA"/>
    <w:rsid w:val="00894E91"/>
    <w:rsid w:val="0089704F"/>
    <w:rsid w:val="008A3329"/>
    <w:rsid w:val="008A7B7A"/>
    <w:rsid w:val="008B02B3"/>
    <w:rsid w:val="008B07B4"/>
    <w:rsid w:val="008B2988"/>
    <w:rsid w:val="008B3EB8"/>
    <w:rsid w:val="008B4286"/>
    <w:rsid w:val="008B4D35"/>
    <w:rsid w:val="008B72D3"/>
    <w:rsid w:val="008C5659"/>
    <w:rsid w:val="008C79D4"/>
    <w:rsid w:val="008D2CE5"/>
    <w:rsid w:val="008D439E"/>
    <w:rsid w:val="008D74CA"/>
    <w:rsid w:val="008E0147"/>
    <w:rsid w:val="008E1359"/>
    <w:rsid w:val="008E1CAE"/>
    <w:rsid w:val="008E338C"/>
    <w:rsid w:val="008F382E"/>
    <w:rsid w:val="008F4075"/>
    <w:rsid w:val="008F465C"/>
    <w:rsid w:val="00900F6C"/>
    <w:rsid w:val="00902059"/>
    <w:rsid w:val="00902C0F"/>
    <w:rsid w:val="0090397E"/>
    <w:rsid w:val="00903CFA"/>
    <w:rsid w:val="00903E98"/>
    <w:rsid w:val="00905775"/>
    <w:rsid w:val="0090702C"/>
    <w:rsid w:val="0092143C"/>
    <w:rsid w:val="00931E30"/>
    <w:rsid w:val="00937BAF"/>
    <w:rsid w:val="00940362"/>
    <w:rsid w:val="00944073"/>
    <w:rsid w:val="009470FB"/>
    <w:rsid w:val="00947A6D"/>
    <w:rsid w:val="009520F8"/>
    <w:rsid w:val="0095344B"/>
    <w:rsid w:val="009562DF"/>
    <w:rsid w:val="00957387"/>
    <w:rsid w:val="009679E7"/>
    <w:rsid w:val="00973DCD"/>
    <w:rsid w:val="00980806"/>
    <w:rsid w:val="009829A4"/>
    <w:rsid w:val="0098397D"/>
    <w:rsid w:val="00990E29"/>
    <w:rsid w:val="009A7C26"/>
    <w:rsid w:val="009B021F"/>
    <w:rsid w:val="009B2680"/>
    <w:rsid w:val="009C0150"/>
    <w:rsid w:val="009C0C32"/>
    <w:rsid w:val="009C45C5"/>
    <w:rsid w:val="009D4936"/>
    <w:rsid w:val="009D635E"/>
    <w:rsid w:val="009E13BB"/>
    <w:rsid w:val="009E2784"/>
    <w:rsid w:val="009E552D"/>
    <w:rsid w:val="009E7627"/>
    <w:rsid w:val="009F0EF4"/>
    <w:rsid w:val="009F2A49"/>
    <w:rsid w:val="009F2D26"/>
    <w:rsid w:val="009F6D9B"/>
    <w:rsid w:val="00A002AF"/>
    <w:rsid w:val="00A0521B"/>
    <w:rsid w:val="00A2179D"/>
    <w:rsid w:val="00A255B5"/>
    <w:rsid w:val="00A25957"/>
    <w:rsid w:val="00A33D53"/>
    <w:rsid w:val="00A35265"/>
    <w:rsid w:val="00A40968"/>
    <w:rsid w:val="00A424F3"/>
    <w:rsid w:val="00A533C6"/>
    <w:rsid w:val="00A558C8"/>
    <w:rsid w:val="00A55FB3"/>
    <w:rsid w:val="00A66557"/>
    <w:rsid w:val="00A67246"/>
    <w:rsid w:val="00A744C2"/>
    <w:rsid w:val="00A74995"/>
    <w:rsid w:val="00A81B1D"/>
    <w:rsid w:val="00A83AC9"/>
    <w:rsid w:val="00A84996"/>
    <w:rsid w:val="00A926E3"/>
    <w:rsid w:val="00AA0763"/>
    <w:rsid w:val="00AA1847"/>
    <w:rsid w:val="00AB5096"/>
    <w:rsid w:val="00AB6FDA"/>
    <w:rsid w:val="00AB7BC7"/>
    <w:rsid w:val="00AB7D06"/>
    <w:rsid w:val="00AC0894"/>
    <w:rsid w:val="00AC3A24"/>
    <w:rsid w:val="00AC47BD"/>
    <w:rsid w:val="00AC7759"/>
    <w:rsid w:val="00AD0567"/>
    <w:rsid w:val="00AD4D5E"/>
    <w:rsid w:val="00AD69AE"/>
    <w:rsid w:val="00AE07B2"/>
    <w:rsid w:val="00AE3F37"/>
    <w:rsid w:val="00AE5D73"/>
    <w:rsid w:val="00AE7730"/>
    <w:rsid w:val="00AF0FEF"/>
    <w:rsid w:val="00AF2C49"/>
    <w:rsid w:val="00AF4FE5"/>
    <w:rsid w:val="00AF5068"/>
    <w:rsid w:val="00AF7CDC"/>
    <w:rsid w:val="00B03503"/>
    <w:rsid w:val="00B03DE6"/>
    <w:rsid w:val="00B040F4"/>
    <w:rsid w:val="00B05142"/>
    <w:rsid w:val="00B05C72"/>
    <w:rsid w:val="00B0644B"/>
    <w:rsid w:val="00B07985"/>
    <w:rsid w:val="00B079DD"/>
    <w:rsid w:val="00B12C31"/>
    <w:rsid w:val="00B20697"/>
    <w:rsid w:val="00B209E0"/>
    <w:rsid w:val="00B22BD9"/>
    <w:rsid w:val="00B23AA4"/>
    <w:rsid w:val="00B24F03"/>
    <w:rsid w:val="00B31D50"/>
    <w:rsid w:val="00B33785"/>
    <w:rsid w:val="00B34BC1"/>
    <w:rsid w:val="00B40AEA"/>
    <w:rsid w:val="00B40E53"/>
    <w:rsid w:val="00B41B40"/>
    <w:rsid w:val="00B43EE2"/>
    <w:rsid w:val="00B46E6E"/>
    <w:rsid w:val="00B5220D"/>
    <w:rsid w:val="00B5493A"/>
    <w:rsid w:val="00B60401"/>
    <w:rsid w:val="00B62703"/>
    <w:rsid w:val="00B665AC"/>
    <w:rsid w:val="00B66858"/>
    <w:rsid w:val="00B67346"/>
    <w:rsid w:val="00B7145C"/>
    <w:rsid w:val="00B778FC"/>
    <w:rsid w:val="00B8423D"/>
    <w:rsid w:val="00B849ED"/>
    <w:rsid w:val="00B95A5B"/>
    <w:rsid w:val="00B960B0"/>
    <w:rsid w:val="00B9729F"/>
    <w:rsid w:val="00BA3638"/>
    <w:rsid w:val="00BA3838"/>
    <w:rsid w:val="00BB4353"/>
    <w:rsid w:val="00BC34A7"/>
    <w:rsid w:val="00BC6AD9"/>
    <w:rsid w:val="00BD0771"/>
    <w:rsid w:val="00BD13D1"/>
    <w:rsid w:val="00BD28BF"/>
    <w:rsid w:val="00BE0DDC"/>
    <w:rsid w:val="00BE3709"/>
    <w:rsid w:val="00BE4005"/>
    <w:rsid w:val="00BE6F3B"/>
    <w:rsid w:val="00BF340B"/>
    <w:rsid w:val="00BF4322"/>
    <w:rsid w:val="00C063CB"/>
    <w:rsid w:val="00C102CA"/>
    <w:rsid w:val="00C1392B"/>
    <w:rsid w:val="00C14F55"/>
    <w:rsid w:val="00C21885"/>
    <w:rsid w:val="00C23345"/>
    <w:rsid w:val="00C2396A"/>
    <w:rsid w:val="00C25CDB"/>
    <w:rsid w:val="00C31E70"/>
    <w:rsid w:val="00C321E3"/>
    <w:rsid w:val="00C32DDC"/>
    <w:rsid w:val="00C33556"/>
    <w:rsid w:val="00C41404"/>
    <w:rsid w:val="00C43F68"/>
    <w:rsid w:val="00C44A82"/>
    <w:rsid w:val="00C4661A"/>
    <w:rsid w:val="00C54342"/>
    <w:rsid w:val="00C60FB4"/>
    <w:rsid w:val="00C61DD2"/>
    <w:rsid w:val="00C629C6"/>
    <w:rsid w:val="00C63616"/>
    <w:rsid w:val="00C65D76"/>
    <w:rsid w:val="00C66B2E"/>
    <w:rsid w:val="00C673A7"/>
    <w:rsid w:val="00C70AF7"/>
    <w:rsid w:val="00C70E69"/>
    <w:rsid w:val="00C718B6"/>
    <w:rsid w:val="00C719D4"/>
    <w:rsid w:val="00C726B1"/>
    <w:rsid w:val="00C7272D"/>
    <w:rsid w:val="00C73646"/>
    <w:rsid w:val="00C74E6C"/>
    <w:rsid w:val="00C8060C"/>
    <w:rsid w:val="00C83381"/>
    <w:rsid w:val="00C83C6C"/>
    <w:rsid w:val="00C86910"/>
    <w:rsid w:val="00C90B5D"/>
    <w:rsid w:val="00C93424"/>
    <w:rsid w:val="00C938A9"/>
    <w:rsid w:val="00C93B07"/>
    <w:rsid w:val="00C93CA1"/>
    <w:rsid w:val="00C946F7"/>
    <w:rsid w:val="00C9555C"/>
    <w:rsid w:val="00C9609D"/>
    <w:rsid w:val="00C96436"/>
    <w:rsid w:val="00CA3E21"/>
    <w:rsid w:val="00CA5001"/>
    <w:rsid w:val="00CA55C4"/>
    <w:rsid w:val="00CB29D7"/>
    <w:rsid w:val="00CB47B0"/>
    <w:rsid w:val="00CB652B"/>
    <w:rsid w:val="00CB6E22"/>
    <w:rsid w:val="00CC16DF"/>
    <w:rsid w:val="00CD22A0"/>
    <w:rsid w:val="00CD4742"/>
    <w:rsid w:val="00CD487E"/>
    <w:rsid w:val="00CD4E77"/>
    <w:rsid w:val="00CD5B7D"/>
    <w:rsid w:val="00CE3AA7"/>
    <w:rsid w:val="00CE477F"/>
    <w:rsid w:val="00CE4807"/>
    <w:rsid w:val="00CE524A"/>
    <w:rsid w:val="00CF32E8"/>
    <w:rsid w:val="00CF799F"/>
    <w:rsid w:val="00D0018D"/>
    <w:rsid w:val="00D009EF"/>
    <w:rsid w:val="00D00FB9"/>
    <w:rsid w:val="00D01CBC"/>
    <w:rsid w:val="00D0779D"/>
    <w:rsid w:val="00D1243D"/>
    <w:rsid w:val="00D2178E"/>
    <w:rsid w:val="00D21873"/>
    <w:rsid w:val="00D218DF"/>
    <w:rsid w:val="00D236B6"/>
    <w:rsid w:val="00D3491A"/>
    <w:rsid w:val="00D36C69"/>
    <w:rsid w:val="00D403D4"/>
    <w:rsid w:val="00D50DF6"/>
    <w:rsid w:val="00D52BF4"/>
    <w:rsid w:val="00D5354F"/>
    <w:rsid w:val="00D55D05"/>
    <w:rsid w:val="00D5679E"/>
    <w:rsid w:val="00D5685D"/>
    <w:rsid w:val="00D601AC"/>
    <w:rsid w:val="00D6188A"/>
    <w:rsid w:val="00D626BC"/>
    <w:rsid w:val="00D64293"/>
    <w:rsid w:val="00D64B14"/>
    <w:rsid w:val="00D66951"/>
    <w:rsid w:val="00D70D86"/>
    <w:rsid w:val="00D7103A"/>
    <w:rsid w:val="00D71D1F"/>
    <w:rsid w:val="00D80580"/>
    <w:rsid w:val="00D81131"/>
    <w:rsid w:val="00D840F4"/>
    <w:rsid w:val="00D853F4"/>
    <w:rsid w:val="00D92358"/>
    <w:rsid w:val="00D93EBB"/>
    <w:rsid w:val="00D9556C"/>
    <w:rsid w:val="00D957E5"/>
    <w:rsid w:val="00D96E16"/>
    <w:rsid w:val="00D97575"/>
    <w:rsid w:val="00DA0E36"/>
    <w:rsid w:val="00DA366E"/>
    <w:rsid w:val="00DA6EC4"/>
    <w:rsid w:val="00DB28D7"/>
    <w:rsid w:val="00DB2AC3"/>
    <w:rsid w:val="00DB2E22"/>
    <w:rsid w:val="00DB58F8"/>
    <w:rsid w:val="00DC0493"/>
    <w:rsid w:val="00DC2671"/>
    <w:rsid w:val="00DC5980"/>
    <w:rsid w:val="00DD085E"/>
    <w:rsid w:val="00DD2342"/>
    <w:rsid w:val="00DD29BB"/>
    <w:rsid w:val="00DD3657"/>
    <w:rsid w:val="00DD44D8"/>
    <w:rsid w:val="00DD570C"/>
    <w:rsid w:val="00DE2DC0"/>
    <w:rsid w:val="00DE6C33"/>
    <w:rsid w:val="00DE7203"/>
    <w:rsid w:val="00DF148C"/>
    <w:rsid w:val="00DF6E51"/>
    <w:rsid w:val="00DF754D"/>
    <w:rsid w:val="00E014A5"/>
    <w:rsid w:val="00E109E1"/>
    <w:rsid w:val="00E11244"/>
    <w:rsid w:val="00E17154"/>
    <w:rsid w:val="00E20A93"/>
    <w:rsid w:val="00E20E1D"/>
    <w:rsid w:val="00E21A3A"/>
    <w:rsid w:val="00E239C2"/>
    <w:rsid w:val="00E2407B"/>
    <w:rsid w:val="00E277B4"/>
    <w:rsid w:val="00E31917"/>
    <w:rsid w:val="00E31F2B"/>
    <w:rsid w:val="00E34CA7"/>
    <w:rsid w:val="00E36CAB"/>
    <w:rsid w:val="00E379B6"/>
    <w:rsid w:val="00E401FF"/>
    <w:rsid w:val="00E4210F"/>
    <w:rsid w:val="00E52C62"/>
    <w:rsid w:val="00E575E9"/>
    <w:rsid w:val="00E61520"/>
    <w:rsid w:val="00E64384"/>
    <w:rsid w:val="00E649C6"/>
    <w:rsid w:val="00E66BC3"/>
    <w:rsid w:val="00E730F5"/>
    <w:rsid w:val="00E75B5D"/>
    <w:rsid w:val="00E766DA"/>
    <w:rsid w:val="00E77948"/>
    <w:rsid w:val="00E817F7"/>
    <w:rsid w:val="00E86D1F"/>
    <w:rsid w:val="00E87510"/>
    <w:rsid w:val="00E969DC"/>
    <w:rsid w:val="00EA3B6A"/>
    <w:rsid w:val="00EA7A03"/>
    <w:rsid w:val="00EA7A2A"/>
    <w:rsid w:val="00EB384B"/>
    <w:rsid w:val="00EB453C"/>
    <w:rsid w:val="00EC329B"/>
    <w:rsid w:val="00EC3D3C"/>
    <w:rsid w:val="00EC7898"/>
    <w:rsid w:val="00EC7ED6"/>
    <w:rsid w:val="00ED37A4"/>
    <w:rsid w:val="00ED5396"/>
    <w:rsid w:val="00ED546C"/>
    <w:rsid w:val="00ED6CEE"/>
    <w:rsid w:val="00EE470F"/>
    <w:rsid w:val="00EE7D3F"/>
    <w:rsid w:val="00EF1EB5"/>
    <w:rsid w:val="00EF2B48"/>
    <w:rsid w:val="00EF3DE6"/>
    <w:rsid w:val="00EF40C3"/>
    <w:rsid w:val="00EF493C"/>
    <w:rsid w:val="00EF5B0C"/>
    <w:rsid w:val="00EF6A11"/>
    <w:rsid w:val="00F00B39"/>
    <w:rsid w:val="00F01712"/>
    <w:rsid w:val="00F01745"/>
    <w:rsid w:val="00F05CDC"/>
    <w:rsid w:val="00F06936"/>
    <w:rsid w:val="00F12EB7"/>
    <w:rsid w:val="00F12FA4"/>
    <w:rsid w:val="00F158EB"/>
    <w:rsid w:val="00F22419"/>
    <w:rsid w:val="00F236B1"/>
    <w:rsid w:val="00F26CED"/>
    <w:rsid w:val="00F3675D"/>
    <w:rsid w:val="00F373D0"/>
    <w:rsid w:val="00F43FEC"/>
    <w:rsid w:val="00F46E82"/>
    <w:rsid w:val="00F50272"/>
    <w:rsid w:val="00F50319"/>
    <w:rsid w:val="00F5043F"/>
    <w:rsid w:val="00F51468"/>
    <w:rsid w:val="00F561D4"/>
    <w:rsid w:val="00F61932"/>
    <w:rsid w:val="00F61CEC"/>
    <w:rsid w:val="00F636F8"/>
    <w:rsid w:val="00F67FA2"/>
    <w:rsid w:val="00F7026D"/>
    <w:rsid w:val="00F80C8F"/>
    <w:rsid w:val="00F82D78"/>
    <w:rsid w:val="00F848C7"/>
    <w:rsid w:val="00F85FDE"/>
    <w:rsid w:val="00F92079"/>
    <w:rsid w:val="00F921AF"/>
    <w:rsid w:val="00F92615"/>
    <w:rsid w:val="00F93FEB"/>
    <w:rsid w:val="00F94ECF"/>
    <w:rsid w:val="00F95806"/>
    <w:rsid w:val="00F96441"/>
    <w:rsid w:val="00F97EF8"/>
    <w:rsid w:val="00FA4B39"/>
    <w:rsid w:val="00FA66EE"/>
    <w:rsid w:val="00FA7FE3"/>
    <w:rsid w:val="00FB14A6"/>
    <w:rsid w:val="00FB566E"/>
    <w:rsid w:val="00FB5A5E"/>
    <w:rsid w:val="00FB7B18"/>
    <w:rsid w:val="00FC0996"/>
    <w:rsid w:val="00FC2B6D"/>
    <w:rsid w:val="00FC6FDB"/>
    <w:rsid w:val="00FD13DD"/>
    <w:rsid w:val="00FD4C8E"/>
    <w:rsid w:val="00FD4CD0"/>
    <w:rsid w:val="00FD52B9"/>
    <w:rsid w:val="00FE4A5B"/>
    <w:rsid w:val="00FE6852"/>
    <w:rsid w:val="00FE6A01"/>
    <w:rsid w:val="00FF2109"/>
    <w:rsid w:val="00FF2893"/>
    <w:rsid w:val="00FF5CBA"/>
    <w:rsid w:val="01231E14"/>
    <w:rsid w:val="01A61B7D"/>
    <w:rsid w:val="0226698D"/>
    <w:rsid w:val="02376CDE"/>
    <w:rsid w:val="02DC331B"/>
    <w:rsid w:val="02DE520A"/>
    <w:rsid w:val="030025FD"/>
    <w:rsid w:val="03B80B9D"/>
    <w:rsid w:val="04033D48"/>
    <w:rsid w:val="042768C6"/>
    <w:rsid w:val="042D197B"/>
    <w:rsid w:val="049A5121"/>
    <w:rsid w:val="04BF588C"/>
    <w:rsid w:val="054B5371"/>
    <w:rsid w:val="05AE6C20"/>
    <w:rsid w:val="05B81A70"/>
    <w:rsid w:val="05CA08B8"/>
    <w:rsid w:val="06383765"/>
    <w:rsid w:val="06D77BD5"/>
    <w:rsid w:val="06E67761"/>
    <w:rsid w:val="07215857"/>
    <w:rsid w:val="07330111"/>
    <w:rsid w:val="07A0604A"/>
    <w:rsid w:val="07D25D73"/>
    <w:rsid w:val="08314631"/>
    <w:rsid w:val="08695585"/>
    <w:rsid w:val="09206C35"/>
    <w:rsid w:val="094E2762"/>
    <w:rsid w:val="09613D0E"/>
    <w:rsid w:val="098F1702"/>
    <w:rsid w:val="09BA3AEB"/>
    <w:rsid w:val="09FA38E6"/>
    <w:rsid w:val="0A71033A"/>
    <w:rsid w:val="0A8A75A7"/>
    <w:rsid w:val="0AD936FE"/>
    <w:rsid w:val="0AF85654"/>
    <w:rsid w:val="0AFF1587"/>
    <w:rsid w:val="0B0D62AE"/>
    <w:rsid w:val="0B275333"/>
    <w:rsid w:val="0B31201F"/>
    <w:rsid w:val="0B391B68"/>
    <w:rsid w:val="0B5A13DC"/>
    <w:rsid w:val="0B9578A5"/>
    <w:rsid w:val="0BEF4F39"/>
    <w:rsid w:val="0BFF43DF"/>
    <w:rsid w:val="0C5122DE"/>
    <w:rsid w:val="0CB100E4"/>
    <w:rsid w:val="0CC20A6D"/>
    <w:rsid w:val="0CCB6973"/>
    <w:rsid w:val="0D0C7528"/>
    <w:rsid w:val="0E816BD0"/>
    <w:rsid w:val="0EC049DD"/>
    <w:rsid w:val="0EC4455C"/>
    <w:rsid w:val="0F727E42"/>
    <w:rsid w:val="0FAC0AC3"/>
    <w:rsid w:val="0FCC70AF"/>
    <w:rsid w:val="0FD2028B"/>
    <w:rsid w:val="10353085"/>
    <w:rsid w:val="10674E73"/>
    <w:rsid w:val="10844B22"/>
    <w:rsid w:val="10A5627E"/>
    <w:rsid w:val="10BE587C"/>
    <w:rsid w:val="10DF3253"/>
    <w:rsid w:val="111C6D10"/>
    <w:rsid w:val="11666309"/>
    <w:rsid w:val="11C822B4"/>
    <w:rsid w:val="11D5049D"/>
    <w:rsid w:val="11F00848"/>
    <w:rsid w:val="122D60F2"/>
    <w:rsid w:val="12554597"/>
    <w:rsid w:val="12B720DD"/>
    <w:rsid w:val="133C6F34"/>
    <w:rsid w:val="13842EA1"/>
    <w:rsid w:val="13E946D3"/>
    <w:rsid w:val="145B31C3"/>
    <w:rsid w:val="147B680C"/>
    <w:rsid w:val="154D2E38"/>
    <w:rsid w:val="155D0ED5"/>
    <w:rsid w:val="15791A87"/>
    <w:rsid w:val="15804EED"/>
    <w:rsid w:val="15B3712E"/>
    <w:rsid w:val="15CA545C"/>
    <w:rsid w:val="15F60D0F"/>
    <w:rsid w:val="160C46A9"/>
    <w:rsid w:val="16574505"/>
    <w:rsid w:val="170269D3"/>
    <w:rsid w:val="17122E37"/>
    <w:rsid w:val="17D47448"/>
    <w:rsid w:val="18876269"/>
    <w:rsid w:val="18A41B2D"/>
    <w:rsid w:val="191C1427"/>
    <w:rsid w:val="192A37C4"/>
    <w:rsid w:val="19344D14"/>
    <w:rsid w:val="19803694"/>
    <w:rsid w:val="1A116732"/>
    <w:rsid w:val="1A2975D8"/>
    <w:rsid w:val="1ACF30C8"/>
    <w:rsid w:val="1AF201CD"/>
    <w:rsid w:val="1AF91E57"/>
    <w:rsid w:val="1B6E54FC"/>
    <w:rsid w:val="1BA54CEA"/>
    <w:rsid w:val="1CB07D6F"/>
    <w:rsid w:val="1CB4429B"/>
    <w:rsid w:val="1D3D0924"/>
    <w:rsid w:val="1D811B43"/>
    <w:rsid w:val="1E2D288F"/>
    <w:rsid w:val="1E3B3D7D"/>
    <w:rsid w:val="1E602204"/>
    <w:rsid w:val="1EBC0665"/>
    <w:rsid w:val="1ECA7237"/>
    <w:rsid w:val="1F524738"/>
    <w:rsid w:val="1F951717"/>
    <w:rsid w:val="1FBD757B"/>
    <w:rsid w:val="1FFC729E"/>
    <w:rsid w:val="20560812"/>
    <w:rsid w:val="206C46C2"/>
    <w:rsid w:val="209C3EC3"/>
    <w:rsid w:val="21015733"/>
    <w:rsid w:val="21F0576B"/>
    <w:rsid w:val="22B66D05"/>
    <w:rsid w:val="233514E5"/>
    <w:rsid w:val="2406099A"/>
    <w:rsid w:val="24370EDB"/>
    <w:rsid w:val="24426A2A"/>
    <w:rsid w:val="247955FF"/>
    <w:rsid w:val="24A02EC9"/>
    <w:rsid w:val="25442822"/>
    <w:rsid w:val="255D282B"/>
    <w:rsid w:val="25904F1B"/>
    <w:rsid w:val="25A2164D"/>
    <w:rsid w:val="25B50708"/>
    <w:rsid w:val="25B53E4D"/>
    <w:rsid w:val="25C910D4"/>
    <w:rsid w:val="25F5747D"/>
    <w:rsid w:val="25F66F51"/>
    <w:rsid w:val="265C0485"/>
    <w:rsid w:val="267B5F01"/>
    <w:rsid w:val="267E0A15"/>
    <w:rsid w:val="26CB0B1D"/>
    <w:rsid w:val="27554102"/>
    <w:rsid w:val="27681EE6"/>
    <w:rsid w:val="28011A07"/>
    <w:rsid w:val="281D3D2A"/>
    <w:rsid w:val="28681C13"/>
    <w:rsid w:val="28E24559"/>
    <w:rsid w:val="28FF7D52"/>
    <w:rsid w:val="292F44DF"/>
    <w:rsid w:val="29880EEF"/>
    <w:rsid w:val="29B66771"/>
    <w:rsid w:val="2A0911D4"/>
    <w:rsid w:val="2A7C693E"/>
    <w:rsid w:val="2AE35DF6"/>
    <w:rsid w:val="2AEF1948"/>
    <w:rsid w:val="2B3E46D8"/>
    <w:rsid w:val="2B9117D9"/>
    <w:rsid w:val="2BF56F38"/>
    <w:rsid w:val="2C1F5C79"/>
    <w:rsid w:val="2C4C2C2D"/>
    <w:rsid w:val="2C7066B0"/>
    <w:rsid w:val="2CA23219"/>
    <w:rsid w:val="2CA5144C"/>
    <w:rsid w:val="2CB2345D"/>
    <w:rsid w:val="2D825525"/>
    <w:rsid w:val="2DA719F0"/>
    <w:rsid w:val="2E3F465C"/>
    <w:rsid w:val="2E915207"/>
    <w:rsid w:val="2EA0058E"/>
    <w:rsid w:val="2EAE055E"/>
    <w:rsid w:val="2ED31DBC"/>
    <w:rsid w:val="2F387523"/>
    <w:rsid w:val="2F5D404E"/>
    <w:rsid w:val="2F77729B"/>
    <w:rsid w:val="2F807842"/>
    <w:rsid w:val="2F8F1C84"/>
    <w:rsid w:val="2FB35E69"/>
    <w:rsid w:val="302D39D3"/>
    <w:rsid w:val="30564A47"/>
    <w:rsid w:val="30FF0011"/>
    <w:rsid w:val="314F3464"/>
    <w:rsid w:val="32436614"/>
    <w:rsid w:val="32607C71"/>
    <w:rsid w:val="32CC2E76"/>
    <w:rsid w:val="32EB1FD7"/>
    <w:rsid w:val="33010C9A"/>
    <w:rsid w:val="3366756F"/>
    <w:rsid w:val="337C372F"/>
    <w:rsid w:val="33811DDB"/>
    <w:rsid w:val="339A7E32"/>
    <w:rsid w:val="33A714C1"/>
    <w:rsid w:val="34283170"/>
    <w:rsid w:val="34E46D94"/>
    <w:rsid w:val="35374E47"/>
    <w:rsid w:val="35416A92"/>
    <w:rsid w:val="35730468"/>
    <w:rsid w:val="35B300D7"/>
    <w:rsid w:val="35BA7CA2"/>
    <w:rsid w:val="35F15C97"/>
    <w:rsid w:val="360016DD"/>
    <w:rsid w:val="365B1079"/>
    <w:rsid w:val="36783744"/>
    <w:rsid w:val="368E0B6F"/>
    <w:rsid w:val="36F85982"/>
    <w:rsid w:val="37501333"/>
    <w:rsid w:val="379C5910"/>
    <w:rsid w:val="38375804"/>
    <w:rsid w:val="386E05E7"/>
    <w:rsid w:val="39A456E1"/>
    <w:rsid w:val="39E577F2"/>
    <w:rsid w:val="3AEE5200"/>
    <w:rsid w:val="3BAF0772"/>
    <w:rsid w:val="3BB4378E"/>
    <w:rsid w:val="3BC97604"/>
    <w:rsid w:val="3BDC22A4"/>
    <w:rsid w:val="3BDF3B42"/>
    <w:rsid w:val="3BFB1364"/>
    <w:rsid w:val="3C083D41"/>
    <w:rsid w:val="3C152F81"/>
    <w:rsid w:val="3C165F8E"/>
    <w:rsid w:val="3C355E58"/>
    <w:rsid w:val="3CC44AC5"/>
    <w:rsid w:val="3CD52916"/>
    <w:rsid w:val="3CE17243"/>
    <w:rsid w:val="3CE210E6"/>
    <w:rsid w:val="3D204C6E"/>
    <w:rsid w:val="3D7667BC"/>
    <w:rsid w:val="3DBD1939"/>
    <w:rsid w:val="3DFE5A8A"/>
    <w:rsid w:val="3E30768D"/>
    <w:rsid w:val="3E502BE9"/>
    <w:rsid w:val="3E976956"/>
    <w:rsid w:val="3F171325"/>
    <w:rsid w:val="3F5E1222"/>
    <w:rsid w:val="3F95733A"/>
    <w:rsid w:val="3FA75736"/>
    <w:rsid w:val="3FCB67B3"/>
    <w:rsid w:val="3FEE21A7"/>
    <w:rsid w:val="40142AD5"/>
    <w:rsid w:val="402570DE"/>
    <w:rsid w:val="402575A3"/>
    <w:rsid w:val="402661E4"/>
    <w:rsid w:val="40E907ED"/>
    <w:rsid w:val="40F7192E"/>
    <w:rsid w:val="41126768"/>
    <w:rsid w:val="41153DDA"/>
    <w:rsid w:val="411E6964"/>
    <w:rsid w:val="41984CEA"/>
    <w:rsid w:val="41A41AB6"/>
    <w:rsid w:val="42002183"/>
    <w:rsid w:val="42031BD9"/>
    <w:rsid w:val="42046EE2"/>
    <w:rsid w:val="421A5B81"/>
    <w:rsid w:val="42367717"/>
    <w:rsid w:val="425A4997"/>
    <w:rsid w:val="42641245"/>
    <w:rsid w:val="428D02A1"/>
    <w:rsid w:val="42B13A0C"/>
    <w:rsid w:val="42DB1A7E"/>
    <w:rsid w:val="433367ED"/>
    <w:rsid w:val="435F418F"/>
    <w:rsid w:val="43655275"/>
    <w:rsid w:val="43A76439"/>
    <w:rsid w:val="43D4668C"/>
    <w:rsid w:val="43DA644B"/>
    <w:rsid w:val="442A16D5"/>
    <w:rsid w:val="443522A6"/>
    <w:rsid w:val="4463064D"/>
    <w:rsid w:val="447B1636"/>
    <w:rsid w:val="449776B0"/>
    <w:rsid w:val="44A67746"/>
    <w:rsid w:val="44AD17CC"/>
    <w:rsid w:val="44E26451"/>
    <w:rsid w:val="458B15EA"/>
    <w:rsid w:val="459A64EE"/>
    <w:rsid w:val="45E227C6"/>
    <w:rsid w:val="47040720"/>
    <w:rsid w:val="47045E92"/>
    <w:rsid w:val="471B77D4"/>
    <w:rsid w:val="477E4B57"/>
    <w:rsid w:val="47E524E0"/>
    <w:rsid w:val="48180B08"/>
    <w:rsid w:val="486F1FD0"/>
    <w:rsid w:val="48930AA7"/>
    <w:rsid w:val="48D526A9"/>
    <w:rsid w:val="48E04A06"/>
    <w:rsid w:val="49042B1E"/>
    <w:rsid w:val="4942637A"/>
    <w:rsid w:val="49600871"/>
    <w:rsid w:val="49880C8F"/>
    <w:rsid w:val="4A0131A2"/>
    <w:rsid w:val="4A2B07D4"/>
    <w:rsid w:val="4A5D7F59"/>
    <w:rsid w:val="4AEC002A"/>
    <w:rsid w:val="4B4C66BA"/>
    <w:rsid w:val="4B50040A"/>
    <w:rsid w:val="4B651276"/>
    <w:rsid w:val="4B7F4814"/>
    <w:rsid w:val="4BBA4511"/>
    <w:rsid w:val="4BDC71CD"/>
    <w:rsid w:val="4BF65A68"/>
    <w:rsid w:val="4C066EC9"/>
    <w:rsid w:val="4C511FB9"/>
    <w:rsid w:val="4CA2132F"/>
    <w:rsid w:val="4D7270BA"/>
    <w:rsid w:val="4D9329DF"/>
    <w:rsid w:val="4D990282"/>
    <w:rsid w:val="4D9A1FBF"/>
    <w:rsid w:val="4DCC6878"/>
    <w:rsid w:val="4DEF520F"/>
    <w:rsid w:val="4E9277A8"/>
    <w:rsid w:val="4E9C3383"/>
    <w:rsid w:val="4EC05309"/>
    <w:rsid w:val="4F896A19"/>
    <w:rsid w:val="4FCD3C8F"/>
    <w:rsid w:val="4FF21C3E"/>
    <w:rsid w:val="4FFA6D45"/>
    <w:rsid w:val="5048604E"/>
    <w:rsid w:val="50675C5C"/>
    <w:rsid w:val="50D76A4C"/>
    <w:rsid w:val="51582583"/>
    <w:rsid w:val="51A56535"/>
    <w:rsid w:val="51E00CDF"/>
    <w:rsid w:val="521C5422"/>
    <w:rsid w:val="52992657"/>
    <w:rsid w:val="52C43FE4"/>
    <w:rsid w:val="52C96845"/>
    <w:rsid w:val="53043868"/>
    <w:rsid w:val="535D103D"/>
    <w:rsid w:val="53D65ED8"/>
    <w:rsid w:val="54787FAB"/>
    <w:rsid w:val="54933E1F"/>
    <w:rsid w:val="54A13C33"/>
    <w:rsid w:val="55175561"/>
    <w:rsid w:val="55545149"/>
    <w:rsid w:val="55655CE4"/>
    <w:rsid w:val="55913B4E"/>
    <w:rsid w:val="56350AD7"/>
    <w:rsid w:val="56453CC1"/>
    <w:rsid w:val="568D0913"/>
    <w:rsid w:val="56A25E77"/>
    <w:rsid w:val="57577405"/>
    <w:rsid w:val="57623BE1"/>
    <w:rsid w:val="57BF33C4"/>
    <w:rsid w:val="57FF2859"/>
    <w:rsid w:val="584F077C"/>
    <w:rsid w:val="58880728"/>
    <w:rsid w:val="589138D7"/>
    <w:rsid w:val="58B11AE9"/>
    <w:rsid w:val="58DE283F"/>
    <w:rsid w:val="58E262CD"/>
    <w:rsid w:val="596A0A97"/>
    <w:rsid w:val="599B50F5"/>
    <w:rsid w:val="5A2F1CE1"/>
    <w:rsid w:val="5A97412A"/>
    <w:rsid w:val="5B3E4742"/>
    <w:rsid w:val="5BAF00C5"/>
    <w:rsid w:val="5BDC2EC5"/>
    <w:rsid w:val="5BE8050C"/>
    <w:rsid w:val="5BEC60DC"/>
    <w:rsid w:val="5C0C5203"/>
    <w:rsid w:val="5C3A43BE"/>
    <w:rsid w:val="5CA55D8A"/>
    <w:rsid w:val="5CE839A7"/>
    <w:rsid w:val="5D54222B"/>
    <w:rsid w:val="5D880899"/>
    <w:rsid w:val="5D8F31C2"/>
    <w:rsid w:val="5DC677F0"/>
    <w:rsid w:val="5DCC6542"/>
    <w:rsid w:val="5DD716C6"/>
    <w:rsid w:val="5E564F75"/>
    <w:rsid w:val="5E5D4F0E"/>
    <w:rsid w:val="5E6B7686"/>
    <w:rsid w:val="5E875C48"/>
    <w:rsid w:val="5EB7677E"/>
    <w:rsid w:val="5ED139DC"/>
    <w:rsid w:val="5EE4309A"/>
    <w:rsid w:val="5F2412D0"/>
    <w:rsid w:val="5F6D308F"/>
    <w:rsid w:val="5F6F74B9"/>
    <w:rsid w:val="5F7B43E7"/>
    <w:rsid w:val="5FCD7FD2"/>
    <w:rsid w:val="5FF01D4A"/>
    <w:rsid w:val="60B07BB0"/>
    <w:rsid w:val="60F35816"/>
    <w:rsid w:val="60FB047A"/>
    <w:rsid w:val="61166E7E"/>
    <w:rsid w:val="617E3AE6"/>
    <w:rsid w:val="61F82EEB"/>
    <w:rsid w:val="62001E98"/>
    <w:rsid w:val="62275F32"/>
    <w:rsid w:val="62595B4D"/>
    <w:rsid w:val="62620EA5"/>
    <w:rsid w:val="62C751AC"/>
    <w:rsid w:val="62E23D94"/>
    <w:rsid w:val="62F5482C"/>
    <w:rsid w:val="6333639E"/>
    <w:rsid w:val="6363686B"/>
    <w:rsid w:val="647E6305"/>
    <w:rsid w:val="64837B65"/>
    <w:rsid w:val="649048DD"/>
    <w:rsid w:val="65006AFE"/>
    <w:rsid w:val="652F5315"/>
    <w:rsid w:val="659D0447"/>
    <w:rsid w:val="65BC08CD"/>
    <w:rsid w:val="66084090"/>
    <w:rsid w:val="663F32AC"/>
    <w:rsid w:val="67115644"/>
    <w:rsid w:val="67225410"/>
    <w:rsid w:val="67397482"/>
    <w:rsid w:val="673E07EF"/>
    <w:rsid w:val="676C00D0"/>
    <w:rsid w:val="6787315C"/>
    <w:rsid w:val="6806117C"/>
    <w:rsid w:val="682278B8"/>
    <w:rsid w:val="68346DCD"/>
    <w:rsid w:val="687C3B4D"/>
    <w:rsid w:val="6888718C"/>
    <w:rsid w:val="689773CF"/>
    <w:rsid w:val="68A51AEC"/>
    <w:rsid w:val="68F46B79"/>
    <w:rsid w:val="697678E2"/>
    <w:rsid w:val="69801C11"/>
    <w:rsid w:val="6A410726"/>
    <w:rsid w:val="6A7F66C2"/>
    <w:rsid w:val="6AB04778"/>
    <w:rsid w:val="6B176462"/>
    <w:rsid w:val="6B3A53AA"/>
    <w:rsid w:val="6B5509CC"/>
    <w:rsid w:val="6B8D7E6D"/>
    <w:rsid w:val="6BBE1938"/>
    <w:rsid w:val="6BBE4FC5"/>
    <w:rsid w:val="6BDF1FA7"/>
    <w:rsid w:val="6BEA55F0"/>
    <w:rsid w:val="6CC2051A"/>
    <w:rsid w:val="6CD02607"/>
    <w:rsid w:val="6CD644A8"/>
    <w:rsid w:val="6CF14A31"/>
    <w:rsid w:val="6D263541"/>
    <w:rsid w:val="6D314711"/>
    <w:rsid w:val="6D714A8B"/>
    <w:rsid w:val="6DE70D86"/>
    <w:rsid w:val="6E0D61C8"/>
    <w:rsid w:val="6E1C2BC0"/>
    <w:rsid w:val="6E3A0F28"/>
    <w:rsid w:val="6E4F56FE"/>
    <w:rsid w:val="6E8B1784"/>
    <w:rsid w:val="6EF0649B"/>
    <w:rsid w:val="6F4E0928"/>
    <w:rsid w:val="701A2DBF"/>
    <w:rsid w:val="71024B00"/>
    <w:rsid w:val="719F5462"/>
    <w:rsid w:val="71E84A49"/>
    <w:rsid w:val="71EA6334"/>
    <w:rsid w:val="7214383E"/>
    <w:rsid w:val="72192C8A"/>
    <w:rsid w:val="72852F17"/>
    <w:rsid w:val="72C32878"/>
    <w:rsid w:val="72EC23EF"/>
    <w:rsid w:val="73214465"/>
    <w:rsid w:val="732D5BAA"/>
    <w:rsid w:val="737547B1"/>
    <w:rsid w:val="737E5413"/>
    <w:rsid w:val="738A5A0F"/>
    <w:rsid w:val="73D2575F"/>
    <w:rsid w:val="74151BD3"/>
    <w:rsid w:val="747C4D5A"/>
    <w:rsid w:val="74E50DDF"/>
    <w:rsid w:val="75096F5F"/>
    <w:rsid w:val="751C03A4"/>
    <w:rsid w:val="754D6821"/>
    <w:rsid w:val="754E0E15"/>
    <w:rsid w:val="75692310"/>
    <w:rsid w:val="757E4F2B"/>
    <w:rsid w:val="75CF01A8"/>
    <w:rsid w:val="76385F78"/>
    <w:rsid w:val="76546581"/>
    <w:rsid w:val="76785D5F"/>
    <w:rsid w:val="7682346D"/>
    <w:rsid w:val="772B5ADA"/>
    <w:rsid w:val="77476464"/>
    <w:rsid w:val="77B572B1"/>
    <w:rsid w:val="77D71596"/>
    <w:rsid w:val="786F38B1"/>
    <w:rsid w:val="79882D39"/>
    <w:rsid w:val="79AD053E"/>
    <w:rsid w:val="79D5316C"/>
    <w:rsid w:val="79F93A46"/>
    <w:rsid w:val="7A146AD1"/>
    <w:rsid w:val="7A78702C"/>
    <w:rsid w:val="7AAD65DE"/>
    <w:rsid w:val="7ABD0461"/>
    <w:rsid w:val="7AC53928"/>
    <w:rsid w:val="7ACC47DC"/>
    <w:rsid w:val="7B714B6F"/>
    <w:rsid w:val="7B7A0BB6"/>
    <w:rsid w:val="7BA62712"/>
    <w:rsid w:val="7BC52DC4"/>
    <w:rsid w:val="7BEB7BA1"/>
    <w:rsid w:val="7C62230E"/>
    <w:rsid w:val="7CB23A51"/>
    <w:rsid w:val="7CF53B12"/>
    <w:rsid w:val="7D04675D"/>
    <w:rsid w:val="7D2528A3"/>
    <w:rsid w:val="7D2B61E8"/>
    <w:rsid w:val="7D91236E"/>
    <w:rsid w:val="7E4455F0"/>
    <w:rsid w:val="7EC47BC3"/>
    <w:rsid w:val="7ED62FE5"/>
    <w:rsid w:val="7F444180"/>
    <w:rsid w:val="7F85296F"/>
    <w:rsid w:val="7FAC65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qFormat="1" w:unhideWhenUsed="0" w:uiPriority="0"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iPriority="99" w:name="Date"/>
    <w:lsdException w:uiPriority="99"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uiPriority="99" w:name="Body Text 3"/>
    <w:lsdException w:qFormat="1" w:uiPriority="0" w:semiHidden="0" w:name="Body Text Indent 2"/>
    <w:lsdException w:uiPriority="99" w:name="Body Text Indent 3"/>
    <w:lsdException w:qFormat="1" w:unhideWhenUsed="0" w:uiPriority="99" w:semiHidden="0" w:name="Block Text"/>
    <w:lsdException w:qFormat="1" w:uiPriority="99" w:semiHidden="0" w:name="Hyperlink"/>
    <w:lsdException w:uiPriority="99" w:name="FollowedHyperlink"/>
    <w:lsdException w:qFormat="1" w:unhideWhenUsed="0" w:uiPriority="0" w:semiHidden="0" w:name="Strong"/>
    <w:lsdException w:qFormat="1" w:unhideWhenUsed="0" w:uiPriority="99" w:semiHidden="0" w:name="Emphasis"/>
    <w:lsdException w:qFormat="1"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b/>
      <w:bCs/>
      <w:kern w:val="44"/>
      <w:sz w:val="48"/>
      <w:szCs w:val="48"/>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9"/>
    <w:pPr>
      <w:widowControl/>
      <w:spacing w:before="100" w:beforeAutospacing="1" w:after="100" w:afterAutospacing="1"/>
      <w:jc w:val="left"/>
      <w:outlineLvl w:val="2"/>
    </w:pPr>
    <w:rPr>
      <w:rFonts w:ascii="宋体" w:hAnsi="宋体" w:cs="宋体"/>
      <w:b/>
      <w:bCs/>
      <w:kern w:val="0"/>
      <w:sz w:val="27"/>
      <w:szCs w:val="27"/>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5">
    <w:name w:val="Note Heading"/>
    <w:basedOn w:val="1"/>
    <w:next w:val="1"/>
    <w:link w:val="82"/>
    <w:qFormat/>
    <w:uiPriority w:val="0"/>
    <w:pPr>
      <w:jc w:val="center"/>
    </w:pPr>
    <w:rPr>
      <w:szCs w:val="20"/>
    </w:rPr>
  </w:style>
  <w:style w:type="paragraph" w:styleId="6">
    <w:name w:val="Normal Indent"/>
    <w:basedOn w:val="1"/>
    <w:link w:val="75"/>
    <w:qFormat/>
    <w:uiPriority w:val="0"/>
    <w:pPr>
      <w:ind w:firstLine="420"/>
    </w:pPr>
    <w:rPr>
      <w:rFonts w:asciiTheme="minorHAnsi" w:hAnsiTheme="minorHAnsi" w:eastAsiaTheme="minorEastAsia" w:cstheme="minorBidi"/>
      <w:szCs w:val="22"/>
    </w:rPr>
  </w:style>
  <w:style w:type="paragraph" w:styleId="7">
    <w:name w:val="Document Map"/>
    <w:basedOn w:val="1"/>
    <w:link w:val="60"/>
    <w:semiHidden/>
    <w:unhideWhenUsed/>
    <w:qFormat/>
    <w:uiPriority w:val="99"/>
    <w:rPr>
      <w:rFonts w:ascii="宋体"/>
      <w:sz w:val="18"/>
      <w:szCs w:val="18"/>
    </w:rPr>
  </w:style>
  <w:style w:type="paragraph" w:styleId="8">
    <w:name w:val="annotation text"/>
    <w:basedOn w:val="1"/>
    <w:link w:val="61"/>
    <w:semiHidden/>
    <w:unhideWhenUsed/>
    <w:qFormat/>
    <w:uiPriority w:val="99"/>
    <w:pPr>
      <w:jc w:val="left"/>
    </w:pPr>
  </w:style>
  <w:style w:type="paragraph" w:styleId="9">
    <w:name w:val="Body Text"/>
    <w:basedOn w:val="1"/>
    <w:next w:val="10"/>
    <w:link w:val="81"/>
    <w:unhideWhenUsed/>
    <w:qFormat/>
    <w:uiPriority w:val="99"/>
    <w:pPr>
      <w:spacing w:after="120"/>
    </w:pPr>
  </w:style>
  <w:style w:type="paragraph" w:customStyle="1" w:styleId="10">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PMingLiU" w:eastAsia="PMingLiU"/>
      <w:kern w:val="0"/>
      <w:sz w:val="16"/>
      <w:szCs w:val="16"/>
      <w:lang w:eastAsia="zh-TW"/>
    </w:rPr>
  </w:style>
  <w:style w:type="paragraph" w:styleId="11">
    <w:name w:val="Body Text Indent"/>
    <w:basedOn w:val="1"/>
    <w:next w:val="12"/>
    <w:link w:val="51"/>
    <w:qFormat/>
    <w:uiPriority w:val="0"/>
    <w:pPr>
      <w:adjustRightInd w:val="0"/>
      <w:spacing w:line="520" w:lineRule="exact"/>
      <w:ind w:firstLine="640" w:firstLineChars="200"/>
      <w:textAlignment w:val="baseline"/>
    </w:pPr>
    <w:rPr>
      <w:rFonts w:ascii="宋体"/>
      <w:spacing w:val="20"/>
      <w:kern w:val="0"/>
      <w:sz w:val="28"/>
      <w:szCs w:val="20"/>
    </w:rPr>
  </w:style>
  <w:style w:type="paragraph" w:styleId="12">
    <w:name w:val="Body Text Indent 2"/>
    <w:basedOn w:val="1"/>
    <w:next w:val="13"/>
    <w:link w:val="80"/>
    <w:unhideWhenUsed/>
    <w:qFormat/>
    <w:uiPriority w:val="0"/>
    <w:pPr>
      <w:spacing w:after="120" w:line="480" w:lineRule="auto"/>
      <w:ind w:left="420" w:leftChars="200"/>
    </w:pPr>
  </w:style>
  <w:style w:type="paragraph" w:styleId="13">
    <w:name w:val="Body Text First Indent 2"/>
    <w:basedOn w:val="11"/>
    <w:next w:val="1"/>
    <w:qFormat/>
    <w:uiPriority w:val="0"/>
    <w:pPr>
      <w:ind w:firstLine="210"/>
    </w:pPr>
    <w:rPr>
      <w:rFonts w:eastAsia="楷体_GB2312"/>
      <w:sz w:val="30"/>
    </w:rPr>
  </w:style>
  <w:style w:type="paragraph" w:styleId="14">
    <w:name w:val="List Continue"/>
    <w:basedOn w:val="1"/>
    <w:qFormat/>
    <w:uiPriority w:val="0"/>
    <w:pPr>
      <w:spacing w:after="120"/>
      <w:ind w:left="420" w:leftChars="200"/>
    </w:pPr>
  </w:style>
  <w:style w:type="paragraph" w:styleId="15">
    <w:name w:val="Block Text"/>
    <w:basedOn w:val="1"/>
    <w:qFormat/>
    <w:uiPriority w:val="99"/>
    <w:pPr>
      <w:adjustRightInd w:val="0"/>
      <w:spacing w:line="500" w:lineRule="exact"/>
      <w:ind w:left="147" w:leftChars="70" w:right="160" w:rightChars="76"/>
    </w:pPr>
    <w:rPr>
      <w:rFonts w:ascii="宋体" w:hAnsi="宋体" w:cs="宋体"/>
    </w:rPr>
  </w:style>
  <w:style w:type="paragraph" w:styleId="16">
    <w:name w:val="toc 3"/>
    <w:basedOn w:val="1"/>
    <w:next w:val="1"/>
    <w:semiHidden/>
    <w:unhideWhenUsed/>
    <w:qFormat/>
    <w:uiPriority w:val="39"/>
    <w:pPr>
      <w:ind w:left="840" w:leftChars="400"/>
    </w:pPr>
  </w:style>
  <w:style w:type="paragraph" w:styleId="17">
    <w:name w:val="Plain Text"/>
    <w:basedOn w:val="1"/>
    <w:link w:val="50"/>
    <w:qFormat/>
    <w:uiPriority w:val="0"/>
    <w:rPr>
      <w:rFonts w:ascii="宋体" w:hAnsi="Courier New"/>
      <w:szCs w:val="21"/>
    </w:rPr>
  </w:style>
  <w:style w:type="paragraph" w:styleId="18">
    <w:name w:val="Date"/>
    <w:basedOn w:val="1"/>
    <w:next w:val="1"/>
    <w:link w:val="108"/>
    <w:semiHidden/>
    <w:unhideWhenUsed/>
    <w:qFormat/>
    <w:uiPriority w:val="99"/>
    <w:pPr>
      <w:ind w:left="100" w:leftChars="2500"/>
    </w:pPr>
  </w:style>
  <w:style w:type="paragraph" w:styleId="19">
    <w:name w:val="Balloon Text"/>
    <w:basedOn w:val="1"/>
    <w:link w:val="46"/>
    <w:semiHidden/>
    <w:unhideWhenUsed/>
    <w:qFormat/>
    <w:uiPriority w:val="99"/>
    <w:rPr>
      <w:sz w:val="18"/>
      <w:szCs w:val="18"/>
    </w:rPr>
  </w:style>
  <w:style w:type="paragraph" w:styleId="20">
    <w:name w:val="footer"/>
    <w:basedOn w:val="1"/>
    <w:next w:val="1"/>
    <w:link w:val="45"/>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21">
    <w:name w:val="envelope return"/>
    <w:basedOn w:val="1"/>
    <w:qFormat/>
    <w:uiPriority w:val="0"/>
    <w:pPr>
      <w:snapToGrid w:val="0"/>
      <w:spacing w:line="480" w:lineRule="exact"/>
    </w:pPr>
    <w:rPr>
      <w:rFonts w:ascii="Arial" w:hAnsi="Arial" w:cs="Arial"/>
    </w:rPr>
  </w:style>
  <w:style w:type="paragraph" w:styleId="22">
    <w:name w:val="header"/>
    <w:basedOn w:val="1"/>
    <w:link w:val="44"/>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23">
    <w:name w:val="toc 1"/>
    <w:basedOn w:val="1"/>
    <w:next w:val="1"/>
    <w:semiHidden/>
    <w:qFormat/>
    <w:uiPriority w:val="0"/>
    <w:pPr>
      <w:autoSpaceDE w:val="0"/>
      <w:autoSpaceDN w:val="0"/>
      <w:adjustRightInd w:val="0"/>
      <w:spacing w:line="240" w:lineRule="atLeast"/>
      <w:jc w:val="center"/>
    </w:pPr>
    <w:rPr>
      <w:rFonts w:ascii="宋体" w:hAnsi="宋体"/>
      <w:szCs w:val="21"/>
    </w:rPr>
  </w:style>
  <w:style w:type="paragraph" w:styleId="24">
    <w:name w:val="Subtitle"/>
    <w:basedOn w:val="1"/>
    <w:next w:val="1"/>
    <w:link w:val="88"/>
    <w:qFormat/>
    <w:uiPriority w:val="0"/>
    <w:pPr>
      <w:spacing w:before="240" w:after="60" w:line="312" w:lineRule="auto"/>
      <w:jc w:val="center"/>
      <w:outlineLvl w:val="1"/>
    </w:pPr>
    <w:rPr>
      <w:rFonts w:ascii="Cambria" w:hAnsi="Cambria"/>
      <w:b/>
      <w:bCs/>
      <w:kern w:val="28"/>
      <w:sz w:val="32"/>
      <w:szCs w:val="32"/>
    </w:rPr>
  </w:style>
  <w:style w:type="paragraph" w:styleId="25">
    <w:name w:val="List"/>
    <w:basedOn w:val="1"/>
    <w:qFormat/>
    <w:uiPriority w:val="0"/>
    <w:pPr>
      <w:adjustRightInd w:val="0"/>
      <w:spacing w:line="460" w:lineRule="exact"/>
      <w:ind w:left="1276" w:hanging="425"/>
      <w:jc w:val="left"/>
      <w:textAlignment w:val="baseline"/>
    </w:pPr>
    <w:rPr>
      <w:kern w:val="0"/>
      <w:sz w:val="24"/>
      <w:szCs w:val="20"/>
    </w:rPr>
  </w:style>
  <w:style w:type="paragraph" w:styleId="26">
    <w:name w:val="toc 2"/>
    <w:basedOn w:val="1"/>
    <w:next w:val="1"/>
    <w:semiHidden/>
    <w:unhideWhenUsed/>
    <w:qFormat/>
    <w:uiPriority w:val="39"/>
    <w:pPr>
      <w:ind w:left="420" w:leftChars="200"/>
    </w:pPr>
  </w:style>
  <w:style w:type="paragraph" w:styleId="27">
    <w:name w:val="Body Text 2"/>
    <w:basedOn w:val="1"/>
    <w:next w:val="1"/>
    <w:qFormat/>
    <w:uiPriority w:val="0"/>
    <w:pPr>
      <w:spacing w:line="520" w:lineRule="exact"/>
    </w:pPr>
    <w:rPr>
      <w:sz w:val="24"/>
    </w:rPr>
  </w:style>
  <w:style w:type="paragraph" w:styleId="28">
    <w:name w:val="HTML Preformatted"/>
    <w:basedOn w:val="1"/>
    <w:link w:val="6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29">
    <w:name w:val="Normal (Web)"/>
    <w:basedOn w:val="1"/>
    <w:qFormat/>
    <w:uiPriority w:val="0"/>
    <w:pPr>
      <w:widowControl/>
      <w:spacing w:before="100" w:beforeAutospacing="1" w:after="100" w:afterAutospacing="1"/>
      <w:jc w:val="left"/>
    </w:pPr>
    <w:rPr>
      <w:rFonts w:ascii="宋体" w:hAnsi="宋体"/>
      <w:kern w:val="0"/>
      <w:sz w:val="24"/>
    </w:rPr>
  </w:style>
  <w:style w:type="paragraph" w:styleId="30">
    <w:name w:val="annotation subject"/>
    <w:basedOn w:val="8"/>
    <w:next w:val="8"/>
    <w:link w:val="62"/>
    <w:semiHidden/>
    <w:unhideWhenUsed/>
    <w:qFormat/>
    <w:uiPriority w:val="99"/>
    <w:rPr>
      <w:b/>
      <w:bCs/>
    </w:rPr>
  </w:style>
  <w:style w:type="table" w:styleId="32">
    <w:name w:val="Table Grid"/>
    <w:basedOn w:val="31"/>
    <w:qFormat/>
    <w:uiPriority w:val="59"/>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basedOn w:val="33"/>
    <w:qFormat/>
    <w:uiPriority w:val="0"/>
  </w:style>
  <w:style w:type="character" w:styleId="36">
    <w:name w:val="Emphasis"/>
    <w:qFormat/>
    <w:uiPriority w:val="99"/>
    <w:rPr>
      <w:rFonts w:cs="Times New Roman"/>
      <w:i/>
      <w:iCs/>
    </w:rPr>
  </w:style>
  <w:style w:type="character" w:styleId="37">
    <w:name w:val="Hyperlink"/>
    <w:unhideWhenUsed/>
    <w:qFormat/>
    <w:uiPriority w:val="99"/>
    <w:rPr>
      <w:color w:val="0000FF"/>
      <w:u w:val="single"/>
    </w:rPr>
  </w:style>
  <w:style w:type="character" w:styleId="38">
    <w:name w:val="annotation reference"/>
    <w:basedOn w:val="33"/>
    <w:semiHidden/>
    <w:unhideWhenUsed/>
    <w:qFormat/>
    <w:uiPriority w:val="99"/>
    <w:rPr>
      <w:sz w:val="21"/>
      <w:szCs w:val="21"/>
    </w:rPr>
  </w:style>
  <w:style w:type="character" w:customStyle="1" w:styleId="39">
    <w:name w:val="标题 2 字符"/>
    <w:basedOn w:val="33"/>
    <w:link w:val="3"/>
    <w:qFormat/>
    <w:uiPriority w:val="0"/>
    <w:rPr>
      <w:rFonts w:ascii="Arial" w:hAnsi="Arial" w:eastAsia="黑体" w:cs="Times New Roman"/>
      <w:b/>
      <w:bCs/>
      <w:sz w:val="32"/>
      <w:szCs w:val="32"/>
    </w:rPr>
  </w:style>
  <w:style w:type="character" w:customStyle="1" w:styleId="40">
    <w:name w:val="标题 3 字符"/>
    <w:basedOn w:val="33"/>
    <w:link w:val="4"/>
    <w:qFormat/>
    <w:uiPriority w:val="9"/>
    <w:rPr>
      <w:rFonts w:ascii="宋体" w:hAnsi="宋体" w:eastAsia="宋体" w:cs="宋体"/>
      <w:b/>
      <w:bCs/>
      <w:kern w:val="0"/>
      <w:sz w:val="27"/>
      <w:szCs w:val="27"/>
    </w:rPr>
  </w:style>
  <w:style w:type="paragraph" w:customStyle="1" w:styleId="41">
    <w:name w:val="Default"/>
    <w:basedOn w:val="42"/>
    <w:qFormat/>
    <w:uiPriority w:val="0"/>
    <w:pPr>
      <w:widowControl w:val="0"/>
      <w:autoSpaceDE w:val="0"/>
      <w:autoSpaceDN w:val="0"/>
      <w:adjustRightInd w:val="0"/>
    </w:pPr>
    <w:rPr>
      <w:color w:val="000000"/>
      <w:kern w:val="2"/>
    </w:rPr>
  </w:style>
  <w:style w:type="paragraph" w:customStyle="1" w:styleId="42">
    <w:name w:val="纯文本1"/>
    <w:basedOn w:val="1"/>
    <w:qFormat/>
    <w:uiPriority w:val="99"/>
    <w:pPr>
      <w:widowControl/>
      <w:spacing w:before="100" w:beforeAutospacing="1" w:after="100" w:afterAutospacing="1"/>
      <w:jc w:val="left"/>
    </w:pPr>
    <w:rPr>
      <w:rFonts w:ascii="宋体" w:hAnsi="宋体"/>
      <w:kern w:val="0"/>
      <w:sz w:val="24"/>
    </w:rPr>
  </w:style>
  <w:style w:type="paragraph" w:customStyle="1" w:styleId="43">
    <w:name w:val="T正文"/>
    <w:qFormat/>
    <w:uiPriority w:val="0"/>
    <w:pPr>
      <w:widowControl w:val="0"/>
      <w:adjustRightInd w:val="0"/>
      <w:snapToGrid w:val="0"/>
      <w:spacing w:line="360" w:lineRule="auto"/>
      <w:ind w:firstLine="200" w:firstLineChars="200"/>
      <w:jc w:val="both"/>
    </w:pPr>
    <w:rPr>
      <w:rFonts w:ascii="Calibri" w:hAnsi="Calibri" w:eastAsia="仿宋_GB2312" w:cs="Times New Roman"/>
      <w:sz w:val="28"/>
      <w:lang w:val="en-US" w:eastAsia="zh-CN" w:bidi="ar-SA"/>
    </w:rPr>
  </w:style>
  <w:style w:type="character" w:customStyle="1" w:styleId="44">
    <w:name w:val="页眉 字符"/>
    <w:basedOn w:val="33"/>
    <w:link w:val="22"/>
    <w:qFormat/>
    <w:uiPriority w:val="0"/>
    <w:rPr>
      <w:sz w:val="18"/>
      <w:szCs w:val="18"/>
    </w:rPr>
  </w:style>
  <w:style w:type="character" w:customStyle="1" w:styleId="45">
    <w:name w:val="页脚 字符"/>
    <w:basedOn w:val="33"/>
    <w:link w:val="20"/>
    <w:qFormat/>
    <w:uiPriority w:val="99"/>
    <w:rPr>
      <w:sz w:val="18"/>
      <w:szCs w:val="18"/>
    </w:rPr>
  </w:style>
  <w:style w:type="character" w:customStyle="1" w:styleId="46">
    <w:name w:val="批注框文本 字符"/>
    <w:basedOn w:val="33"/>
    <w:link w:val="19"/>
    <w:semiHidden/>
    <w:qFormat/>
    <w:uiPriority w:val="99"/>
    <w:rPr>
      <w:rFonts w:ascii="Times New Roman" w:hAnsi="Times New Roman" w:eastAsia="宋体" w:cs="Times New Roman"/>
      <w:sz w:val="18"/>
      <w:szCs w:val="18"/>
    </w:rPr>
  </w:style>
  <w:style w:type="paragraph" w:customStyle="1" w:styleId="47">
    <w:name w:val="图文框"/>
    <w:basedOn w:val="1"/>
    <w:qFormat/>
    <w:uiPriority w:val="0"/>
    <w:pPr>
      <w:spacing w:line="300" w:lineRule="exact"/>
      <w:jc w:val="center"/>
    </w:pPr>
    <w:rPr>
      <w:color w:val="FF0000"/>
    </w:rPr>
  </w:style>
  <w:style w:type="paragraph" w:customStyle="1" w:styleId="48">
    <w:name w:val="正文小四"/>
    <w:basedOn w:val="1"/>
    <w:qFormat/>
    <w:uiPriority w:val="0"/>
    <w:pPr>
      <w:spacing w:line="360" w:lineRule="auto"/>
    </w:pPr>
    <w:rPr>
      <w:sz w:val="24"/>
      <w:szCs w:val="20"/>
    </w:rPr>
  </w:style>
  <w:style w:type="character" w:customStyle="1" w:styleId="49">
    <w:name w:val="纯文本 Char"/>
    <w:basedOn w:val="33"/>
    <w:semiHidden/>
    <w:qFormat/>
    <w:uiPriority w:val="99"/>
    <w:rPr>
      <w:rFonts w:ascii="宋体" w:hAnsi="Courier New" w:eastAsia="宋体" w:cs="Courier New"/>
      <w:szCs w:val="21"/>
    </w:rPr>
  </w:style>
  <w:style w:type="character" w:customStyle="1" w:styleId="50">
    <w:name w:val="纯文本 字符"/>
    <w:basedOn w:val="33"/>
    <w:link w:val="17"/>
    <w:qFormat/>
    <w:uiPriority w:val="0"/>
    <w:rPr>
      <w:rFonts w:ascii="宋体" w:hAnsi="Courier New" w:eastAsia="宋体" w:cs="Times New Roman"/>
      <w:szCs w:val="21"/>
    </w:rPr>
  </w:style>
  <w:style w:type="character" w:customStyle="1" w:styleId="51">
    <w:name w:val="正文文本缩进 字符"/>
    <w:basedOn w:val="33"/>
    <w:link w:val="11"/>
    <w:qFormat/>
    <w:uiPriority w:val="0"/>
    <w:rPr>
      <w:rFonts w:ascii="宋体" w:hAnsi="Times New Roman" w:eastAsia="宋体" w:cs="Times New Roman"/>
      <w:spacing w:val="20"/>
      <w:kern w:val="0"/>
      <w:sz w:val="28"/>
      <w:szCs w:val="20"/>
    </w:rPr>
  </w:style>
  <w:style w:type="paragraph" w:customStyle="1" w:styleId="52">
    <w:name w:val="样式1"/>
    <w:basedOn w:val="1"/>
    <w:qFormat/>
    <w:uiPriority w:val="0"/>
    <w:rPr>
      <w:rFonts w:eastAsia="楷体_GB2312"/>
      <w:sz w:val="28"/>
      <w:szCs w:val="20"/>
    </w:rPr>
  </w:style>
  <w:style w:type="paragraph" w:customStyle="1" w:styleId="53">
    <w:name w:val="正文－1.5行距－段后6磅"/>
    <w:basedOn w:val="1"/>
    <w:link w:val="76"/>
    <w:qFormat/>
    <w:uiPriority w:val="0"/>
    <w:pPr>
      <w:spacing w:after="120" w:line="360" w:lineRule="auto"/>
      <w:ind w:firstLine="200" w:firstLineChars="200"/>
    </w:pPr>
    <w:rPr>
      <w:rFonts w:ascii="Calibri" w:hAnsi="Calibri"/>
      <w:sz w:val="24"/>
      <w:szCs w:val="21"/>
      <w:lang w:val="zh-CN"/>
    </w:rPr>
  </w:style>
  <w:style w:type="character" w:customStyle="1" w:styleId="54">
    <w:name w:val="postbody1"/>
    <w:qFormat/>
    <w:uiPriority w:val="0"/>
    <w:rPr>
      <w:spacing w:val="270"/>
      <w:sz w:val="21"/>
      <w:szCs w:val="21"/>
    </w:rPr>
  </w:style>
  <w:style w:type="character" w:customStyle="1" w:styleId="55">
    <w:name w:val="apple-converted-space"/>
    <w:basedOn w:val="33"/>
    <w:qFormat/>
    <w:uiPriority w:val="0"/>
  </w:style>
  <w:style w:type="character" w:customStyle="1" w:styleId="56">
    <w:name w:val="表格内容 Char Char"/>
    <w:link w:val="57"/>
    <w:qFormat/>
    <w:uiPriority w:val="0"/>
    <w:rPr>
      <w:sz w:val="24"/>
      <w:szCs w:val="21"/>
    </w:rPr>
  </w:style>
  <w:style w:type="paragraph" w:customStyle="1" w:styleId="57">
    <w:name w:val="表格内容"/>
    <w:basedOn w:val="58"/>
    <w:next w:val="1"/>
    <w:link w:val="56"/>
    <w:qFormat/>
    <w:uiPriority w:val="0"/>
    <w:pPr>
      <w:overflowPunct w:val="0"/>
      <w:adjustRightInd w:val="0"/>
      <w:textAlignment w:val="baseline"/>
    </w:pPr>
    <w:rPr>
      <w:rFonts w:asciiTheme="minorHAnsi" w:hAnsiTheme="minorHAnsi" w:eastAsiaTheme="minorEastAsia" w:cstheme="minorBidi"/>
      <w:szCs w:val="21"/>
    </w:rPr>
  </w:style>
  <w:style w:type="paragraph" w:customStyle="1" w:styleId="58">
    <w:name w:val="表格标题"/>
    <w:basedOn w:val="9"/>
    <w:next w:val="57"/>
    <w:qFormat/>
    <w:uiPriority w:val="0"/>
    <w:pPr>
      <w:spacing w:line="360" w:lineRule="auto"/>
      <w:jc w:val="center"/>
    </w:pPr>
    <w:rPr>
      <w:rFonts w:eastAsia="黑体"/>
      <w:sz w:val="24"/>
      <w:szCs w:val="20"/>
    </w:rPr>
  </w:style>
  <w:style w:type="paragraph" w:customStyle="1" w:styleId="59">
    <w:name w:val="小四表文左齐"/>
    <w:basedOn w:val="1"/>
    <w:qFormat/>
    <w:uiPriority w:val="0"/>
    <w:pPr>
      <w:numPr>
        <w:ilvl w:val="0"/>
        <w:numId w:val="1"/>
      </w:numPr>
      <w:tabs>
        <w:tab w:val="left" w:pos="420"/>
      </w:tabs>
      <w:snapToGrid w:val="0"/>
      <w:spacing w:line="360" w:lineRule="auto"/>
    </w:pPr>
    <w:rPr>
      <w:rFonts w:ascii="宋体" w:hAnsi="宋体"/>
      <w:sz w:val="24"/>
    </w:rPr>
  </w:style>
  <w:style w:type="character" w:customStyle="1" w:styleId="60">
    <w:name w:val="文档结构图 字符"/>
    <w:basedOn w:val="33"/>
    <w:link w:val="7"/>
    <w:semiHidden/>
    <w:qFormat/>
    <w:uiPriority w:val="99"/>
    <w:rPr>
      <w:rFonts w:ascii="宋体" w:hAnsi="Times New Roman" w:eastAsia="宋体" w:cs="Times New Roman"/>
      <w:sz w:val="18"/>
      <w:szCs w:val="18"/>
    </w:rPr>
  </w:style>
  <w:style w:type="character" w:customStyle="1" w:styleId="61">
    <w:name w:val="批注文字 字符"/>
    <w:basedOn w:val="33"/>
    <w:link w:val="8"/>
    <w:semiHidden/>
    <w:qFormat/>
    <w:uiPriority w:val="99"/>
    <w:rPr>
      <w:rFonts w:ascii="Times New Roman" w:hAnsi="Times New Roman" w:eastAsia="宋体" w:cs="Times New Roman"/>
      <w:szCs w:val="24"/>
    </w:rPr>
  </w:style>
  <w:style w:type="character" w:customStyle="1" w:styleId="62">
    <w:name w:val="批注主题 字符"/>
    <w:basedOn w:val="61"/>
    <w:link w:val="30"/>
    <w:semiHidden/>
    <w:qFormat/>
    <w:uiPriority w:val="99"/>
    <w:rPr>
      <w:rFonts w:ascii="Times New Roman" w:hAnsi="Times New Roman" w:eastAsia="宋体" w:cs="Times New Roman"/>
      <w:b/>
      <w:bCs/>
      <w:szCs w:val="24"/>
    </w:rPr>
  </w:style>
  <w:style w:type="paragraph" w:customStyle="1" w:styleId="63">
    <w:name w:val="修订1"/>
    <w:hidden/>
    <w:semiHidden/>
    <w:qFormat/>
    <w:uiPriority w:val="99"/>
    <w:rPr>
      <w:rFonts w:ascii="Times New Roman" w:hAnsi="Times New Roman" w:eastAsia="宋体" w:cs="Times New Roman"/>
      <w:kern w:val="2"/>
      <w:sz w:val="21"/>
      <w:szCs w:val="24"/>
      <w:lang w:val="en-US" w:eastAsia="zh-CN" w:bidi="ar-SA"/>
    </w:rPr>
  </w:style>
  <w:style w:type="paragraph" w:styleId="64">
    <w:name w:val="List Paragraph"/>
    <w:basedOn w:val="1"/>
    <w:qFormat/>
    <w:uiPriority w:val="34"/>
    <w:pPr>
      <w:ind w:firstLine="420" w:firstLineChars="200"/>
    </w:pPr>
  </w:style>
  <w:style w:type="paragraph" w:customStyle="1" w:styleId="65">
    <w:name w:val="正文AAA"/>
    <w:basedOn w:val="1"/>
    <w:qFormat/>
    <w:uiPriority w:val="0"/>
    <w:pPr>
      <w:spacing w:line="500" w:lineRule="exact"/>
      <w:ind w:firstLine="480" w:firstLineChars="200"/>
    </w:pPr>
    <w:rPr>
      <w:rFonts w:ascii="宋体" w:hAnsi="宋体"/>
      <w:sz w:val="24"/>
      <w:szCs w:val="20"/>
    </w:rPr>
  </w:style>
  <w:style w:type="paragraph" w:customStyle="1" w:styleId="66">
    <w:name w:val="样式3"/>
    <w:basedOn w:val="23"/>
    <w:next w:val="67"/>
    <w:link w:val="68"/>
    <w:qFormat/>
    <w:uiPriority w:val="0"/>
    <w:pPr>
      <w:spacing w:line="360" w:lineRule="auto"/>
      <w:ind w:firstLine="200" w:firstLineChars="200"/>
      <w:jc w:val="left"/>
    </w:pPr>
    <w:rPr>
      <w:sz w:val="24"/>
      <w:szCs w:val="28"/>
    </w:rPr>
  </w:style>
  <w:style w:type="paragraph" w:customStyle="1" w:styleId="67">
    <w:name w:val="目录 53"/>
    <w:basedOn w:val="3"/>
    <w:next w:val="1"/>
    <w:qFormat/>
    <w:uiPriority w:val="0"/>
    <w:pPr>
      <w:tabs>
        <w:tab w:val="left" w:pos="0"/>
      </w:tabs>
      <w:spacing w:line="240" w:lineRule="auto"/>
      <w:ind w:left="840"/>
    </w:pPr>
    <w:rPr>
      <w:rFonts w:ascii="Calibri" w:hAnsi="Calibri" w:eastAsia="宋体" w:cs="宋体"/>
      <w:bCs w:val="0"/>
      <w:color w:val="000000"/>
      <w:sz w:val="24"/>
      <w:szCs w:val="22"/>
    </w:rPr>
  </w:style>
  <w:style w:type="character" w:customStyle="1" w:styleId="68">
    <w:name w:val="样式3 Char"/>
    <w:link w:val="66"/>
    <w:qFormat/>
    <w:uiPriority w:val="0"/>
    <w:rPr>
      <w:rFonts w:ascii="宋体" w:hAnsi="Times New Roman" w:eastAsia="宋体" w:cs="Times New Roman"/>
      <w:sz w:val="24"/>
      <w:szCs w:val="28"/>
    </w:rPr>
  </w:style>
  <w:style w:type="character" w:customStyle="1" w:styleId="69">
    <w:name w:val="HTML 预设格式 字符"/>
    <w:basedOn w:val="33"/>
    <w:link w:val="28"/>
    <w:qFormat/>
    <w:uiPriority w:val="0"/>
    <w:rPr>
      <w:rFonts w:ascii="Arial" w:hAnsi="Arial" w:eastAsia="宋体" w:cs="Arial"/>
      <w:kern w:val="0"/>
      <w:szCs w:val="21"/>
    </w:rPr>
  </w:style>
  <w:style w:type="character" w:customStyle="1" w:styleId="70">
    <w:name w:val="样式3 Char1"/>
    <w:qFormat/>
    <w:uiPriority w:val="0"/>
    <w:rPr>
      <w:rFonts w:ascii="宋体" w:hAnsi="宋体" w:eastAsia="宋体"/>
      <w:kern w:val="2"/>
      <w:sz w:val="24"/>
      <w:lang w:val="en-US" w:eastAsia="zh-CN" w:bidi="ar-SA"/>
    </w:rPr>
  </w:style>
  <w:style w:type="paragraph" w:customStyle="1" w:styleId="71">
    <w:name w:val="Char Char Char Char"/>
    <w:basedOn w:val="1"/>
    <w:qFormat/>
    <w:uiPriority w:val="0"/>
    <w:pPr>
      <w:widowControl/>
      <w:jc w:val="left"/>
    </w:pPr>
    <w:rPr>
      <w:rFonts w:ascii="宋体" w:hAnsi="宋体" w:cs="宋体"/>
      <w:kern w:val="0"/>
      <w:sz w:val="24"/>
    </w:rPr>
  </w:style>
  <w:style w:type="character" w:customStyle="1" w:styleId="72">
    <w:name w:val="apple-style-span"/>
    <w:basedOn w:val="33"/>
    <w:qFormat/>
    <w:uiPriority w:val="0"/>
  </w:style>
  <w:style w:type="paragraph" w:customStyle="1" w:styleId="73">
    <w:name w:val="Char Char Char Char Char Char Char"/>
    <w:basedOn w:val="1"/>
    <w:qFormat/>
    <w:uiPriority w:val="0"/>
  </w:style>
  <w:style w:type="paragraph" w:customStyle="1" w:styleId="74">
    <w:name w:val="xl2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character" w:customStyle="1" w:styleId="75">
    <w:name w:val="正文缩进 字符"/>
    <w:link w:val="6"/>
    <w:qFormat/>
    <w:uiPriority w:val="0"/>
  </w:style>
  <w:style w:type="character" w:customStyle="1" w:styleId="76">
    <w:name w:val="正文－1.5行距－段后6磅 Char Char"/>
    <w:link w:val="53"/>
    <w:qFormat/>
    <w:uiPriority w:val="0"/>
    <w:rPr>
      <w:rFonts w:ascii="Calibri" w:hAnsi="Calibri" w:eastAsia="宋体" w:cs="Times New Roman"/>
      <w:sz w:val="24"/>
      <w:szCs w:val="21"/>
      <w:lang w:val="zh-CN" w:eastAsia="zh-CN"/>
    </w:rPr>
  </w:style>
  <w:style w:type="paragraph" w:customStyle="1" w:styleId="77">
    <w:name w:val="Char"/>
    <w:basedOn w:val="1"/>
    <w:qFormat/>
    <w:uiPriority w:val="0"/>
  </w:style>
  <w:style w:type="paragraph" w:customStyle="1" w:styleId="78">
    <w:name w:val="Char Char Char Char Char Char Char1"/>
    <w:basedOn w:val="1"/>
    <w:qFormat/>
    <w:uiPriority w:val="0"/>
    <w:rPr>
      <w:sz w:val="24"/>
    </w:rPr>
  </w:style>
  <w:style w:type="paragraph" w:customStyle="1" w:styleId="79">
    <w:name w:val="默认段落字体 Para Char"/>
    <w:basedOn w:val="1"/>
    <w:qFormat/>
    <w:uiPriority w:val="0"/>
  </w:style>
  <w:style w:type="character" w:customStyle="1" w:styleId="80">
    <w:name w:val="正文文本缩进 2 字符"/>
    <w:basedOn w:val="33"/>
    <w:link w:val="12"/>
    <w:qFormat/>
    <w:uiPriority w:val="0"/>
    <w:rPr>
      <w:rFonts w:ascii="Times New Roman" w:hAnsi="Times New Roman" w:eastAsia="宋体" w:cs="Times New Roman"/>
      <w:szCs w:val="24"/>
    </w:rPr>
  </w:style>
  <w:style w:type="character" w:customStyle="1" w:styleId="81">
    <w:name w:val="正文文本 字符"/>
    <w:basedOn w:val="33"/>
    <w:link w:val="9"/>
    <w:qFormat/>
    <w:uiPriority w:val="99"/>
    <w:rPr>
      <w:rFonts w:ascii="Times New Roman" w:hAnsi="Times New Roman" w:eastAsia="宋体" w:cs="Times New Roman"/>
      <w:szCs w:val="24"/>
    </w:rPr>
  </w:style>
  <w:style w:type="character" w:customStyle="1" w:styleId="82">
    <w:name w:val="注释标题 字符"/>
    <w:basedOn w:val="33"/>
    <w:link w:val="5"/>
    <w:qFormat/>
    <w:uiPriority w:val="0"/>
    <w:rPr>
      <w:rFonts w:ascii="Times New Roman" w:hAnsi="Times New Roman" w:eastAsia="宋体" w:cs="Times New Roman"/>
      <w:szCs w:val="20"/>
    </w:rPr>
  </w:style>
  <w:style w:type="paragraph" w:customStyle="1" w:styleId="83">
    <w:name w:val="表格"/>
    <w:basedOn w:val="1"/>
    <w:link w:val="109"/>
    <w:qFormat/>
    <w:uiPriority w:val="0"/>
    <w:pPr>
      <w:spacing w:line="360" w:lineRule="exact"/>
      <w:jc w:val="center"/>
    </w:pPr>
    <w:rPr>
      <w:kern w:val="0"/>
      <w:sz w:val="24"/>
    </w:rPr>
  </w:style>
  <w:style w:type="paragraph" w:customStyle="1" w:styleId="84">
    <w:name w:val="zhengwen"/>
    <w:basedOn w:val="1"/>
    <w:qFormat/>
    <w:uiPriority w:val="0"/>
    <w:pPr>
      <w:spacing w:line="440" w:lineRule="exact"/>
      <w:ind w:firstLine="354" w:firstLineChars="147"/>
    </w:pPr>
    <w:rPr>
      <w:rFonts w:hAnsi="宋体"/>
      <w:b/>
      <w:bCs/>
      <w:sz w:val="24"/>
    </w:rPr>
  </w:style>
  <w:style w:type="paragraph" w:customStyle="1" w:styleId="85">
    <w:name w:val="biaoti3"/>
    <w:basedOn w:val="4"/>
    <w:link w:val="86"/>
    <w:qFormat/>
    <w:uiPriority w:val="0"/>
    <w:pPr>
      <w:overflowPunct w:val="0"/>
      <w:adjustRightInd w:val="0"/>
      <w:snapToGrid w:val="0"/>
      <w:spacing w:before="0" w:beforeAutospacing="0" w:after="0" w:afterAutospacing="0" w:line="440" w:lineRule="exact"/>
      <w:textAlignment w:val="baseline"/>
    </w:pPr>
    <w:rPr>
      <w:rFonts w:ascii="Arial" w:hAnsi="Arial" w:cs="Times New Roman"/>
      <w:bCs w:val="0"/>
      <w:sz w:val="24"/>
      <w:szCs w:val="20"/>
    </w:rPr>
  </w:style>
  <w:style w:type="character" w:customStyle="1" w:styleId="86">
    <w:name w:val="biaoti3 Char"/>
    <w:link w:val="85"/>
    <w:qFormat/>
    <w:uiPriority w:val="0"/>
    <w:rPr>
      <w:rFonts w:ascii="Arial" w:hAnsi="Arial" w:eastAsia="宋体" w:cs="Times New Roman"/>
      <w:b/>
      <w:kern w:val="0"/>
      <w:sz w:val="24"/>
      <w:szCs w:val="20"/>
    </w:rPr>
  </w:style>
  <w:style w:type="paragraph" w:customStyle="1" w:styleId="87">
    <w:name w:val="WPS Plain"/>
    <w:qFormat/>
    <w:uiPriority w:val="0"/>
    <w:rPr>
      <w:rFonts w:ascii="Times New Roman" w:hAnsi="Times New Roman" w:eastAsia="宋体" w:cs="Times New Roman"/>
      <w:lang w:val="en-US" w:eastAsia="zh-CN" w:bidi="ar-SA"/>
    </w:rPr>
  </w:style>
  <w:style w:type="character" w:customStyle="1" w:styleId="88">
    <w:name w:val="副标题 字符"/>
    <w:basedOn w:val="33"/>
    <w:link w:val="24"/>
    <w:qFormat/>
    <w:uiPriority w:val="0"/>
    <w:rPr>
      <w:rFonts w:ascii="Cambria" w:hAnsi="Cambria" w:eastAsia="宋体" w:cs="Times New Roman"/>
      <w:b/>
      <w:bCs/>
      <w:kern w:val="28"/>
      <w:sz w:val="32"/>
      <w:szCs w:val="32"/>
    </w:rPr>
  </w:style>
  <w:style w:type="table" w:customStyle="1" w:styleId="89">
    <w:name w:val="网格型1"/>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
    <w:name w:val="网格型2"/>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
    <w:name w:val="网格型3"/>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
    <w:name w:val="网格型4"/>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
    <w:name w:val="网格型5"/>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
    <w:name w:val="网格型6"/>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
    <w:name w:val="网格型7"/>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
    <w:name w:val="网格型8"/>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
    <w:name w:val="网格型9"/>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
    <w:name w:val="网格型10"/>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
    <w:name w:val="网格型11"/>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
    <w:name w:val="网格型12"/>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1">
    <w:name w:val="样式 黑体 小四 加粗 黑色 居中 行距: 固定值 26 磅"/>
    <w:basedOn w:val="1"/>
    <w:next w:val="17"/>
    <w:qFormat/>
    <w:uiPriority w:val="0"/>
    <w:pPr>
      <w:spacing w:line="520" w:lineRule="exact"/>
      <w:jc w:val="center"/>
    </w:pPr>
    <w:rPr>
      <w:rFonts w:ascii="楷体_GB2312" w:hAnsi="黑体" w:eastAsia="楷体_GB2312"/>
      <w:bCs/>
      <w:color w:val="000000"/>
      <w:sz w:val="28"/>
      <w:szCs w:val="28"/>
    </w:rPr>
  </w:style>
  <w:style w:type="paragraph" w:customStyle="1" w:styleId="102">
    <w:name w:val="编号1"/>
    <w:basedOn w:val="6"/>
    <w:qFormat/>
    <w:uiPriority w:val="0"/>
    <w:rPr>
      <w:rFonts w:ascii="宋体" w:hAnsi="宋体"/>
      <w:color w:val="000000"/>
    </w:rPr>
  </w:style>
  <w:style w:type="paragraph" w:customStyle="1" w:styleId="103">
    <w:name w:val="中文报告书样式"/>
    <w:basedOn w:val="1"/>
    <w:qFormat/>
    <w:uiPriority w:val="0"/>
    <w:pPr>
      <w:adjustRightInd w:val="0"/>
      <w:spacing w:line="480" w:lineRule="atLeast"/>
      <w:ind w:firstLine="482"/>
      <w:textAlignment w:val="baseline"/>
    </w:pPr>
    <w:rPr>
      <w:kern w:val="24"/>
      <w:sz w:val="24"/>
      <w:szCs w:val="20"/>
    </w:rPr>
  </w:style>
  <w:style w:type="paragraph" w:customStyle="1" w:styleId="104">
    <w:name w:val="其 它 文 件"/>
    <w:basedOn w:val="1"/>
    <w:qFormat/>
    <w:uiPriority w:val="0"/>
    <w:pPr>
      <w:spacing w:after="80" w:line="440" w:lineRule="atLeast"/>
    </w:pPr>
    <w:rPr>
      <w:rFonts w:eastAsia="楷体"/>
      <w:sz w:val="28"/>
      <w:szCs w:val="20"/>
    </w:rPr>
  </w:style>
  <w:style w:type="paragraph" w:customStyle="1" w:styleId="105">
    <w:name w:val="新表"/>
    <w:basedOn w:val="1"/>
    <w:qFormat/>
    <w:uiPriority w:val="0"/>
    <w:pPr>
      <w:spacing w:line="360" w:lineRule="exact"/>
    </w:pPr>
    <w:rPr>
      <w:rFonts w:eastAsia="仿宋_GB2312"/>
      <w:bCs/>
      <w:kern w:val="0"/>
      <w:sz w:val="24"/>
      <w:szCs w:val="20"/>
    </w:rPr>
  </w:style>
  <w:style w:type="paragraph" w:customStyle="1" w:styleId="106">
    <w:name w:val="Char1"/>
    <w:basedOn w:val="1"/>
    <w:qFormat/>
    <w:uiPriority w:val="0"/>
  </w:style>
  <w:style w:type="paragraph" w:customStyle="1" w:styleId="107">
    <w:name w:val="Char Char Char Char Char Char Char2"/>
    <w:basedOn w:val="1"/>
    <w:qFormat/>
    <w:uiPriority w:val="0"/>
    <w:rPr>
      <w:sz w:val="24"/>
    </w:rPr>
  </w:style>
  <w:style w:type="character" w:customStyle="1" w:styleId="108">
    <w:name w:val="日期 字符"/>
    <w:basedOn w:val="33"/>
    <w:link w:val="18"/>
    <w:semiHidden/>
    <w:qFormat/>
    <w:uiPriority w:val="99"/>
    <w:rPr>
      <w:rFonts w:ascii="Times New Roman" w:hAnsi="Times New Roman" w:eastAsia="宋体" w:cs="Times New Roman"/>
      <w:szCs w:val="24"/>
    </w:rPr>
  </w:style>
  <w:style w:type="character" w:customStyle="1" w:styleId="109">
    <w:name w:val="表格 Char"/>
    <w:link w:val="83"/>
    <w:qFormat/>
    <w:locked/>
    <w:uiPriority w:val="0"/>
    <w:rPr>
      <w:rFonts w:ascii="Times New Roman" w:hAnsi="Times New Roman" w:eastAsia="宋体" w:cs="Times New Roman"/>
      <w:kern w:val="0"/>
      <w:sz w:val="24"/>
      <w:szCs w:val="24"/>
    </w:rPr>
  </w:style>
  <w:style w:type="paragraph" w:customStyle="1" w:styleId="110">
    <w:name w:val="样式 标题 2标题 2 Char + Albertus Medium"/>
    <w:basedOn w:val="3"/>
    <w:qFormat/>
    <w:uiPriority w:val="0"/>
    <w:pPr>
      <w:keepNext w:val="0"/>
      <w:keepLines w:val="0"/>
      <w:tabs>
        <w:tab w:val="left" w:pos="8934"/>
      </w:tabs>
      <w:spacing w:before="0" w:after="0" w:line="520" w:lineRule="exact"/>
      <w:jc w:val="center"/>
      <w:outlineLvl w:val="9"/>
    </w:pPr>
    <w:rPr>
      <w:rFonts w:ascii="Times New Roman" w:hAnsi="宋体" w:eastAsia="宋体"/>
      <w:sz w:val="24"/>
      <w:szCs w:val="24"/>
      <w:lang w:val="zh-CN"/>
    </w:rPr>
  </w:style>
  <w:style w:type="paragraph" w:customStyle="1" w:styleId="111">
    <w:name w:val="简单回函地址"/>
    <w:basedOn w:val="1"/>
    <w:qFormat/>
    <w:uiPriority w:val="0"/>
    <w:rPr>
      <w:szCs w:val="20"/>
    </w:rPr>
  </w:style>
  <w:style w:type="paragraph" w:customStyle="1" w:styleId="112">
    <w:name w:val="样式 样式 正文首行缩进 + 首行缩进:  2 字符 + 首行缩进:  2 字符"/>
    <w:basedOn w:val="1"/>
    <w:qFormat/>
    <w:uiPriority w:val="0"/>
    <w:pPr>
      <w:topLinePunct/>
      <w:adjustRightInd w:val="0"/>
      <w:snapToGrid w:val="0"/>
      <w:spacing w:line="360" w:lineRule="auto"/>
      <w:ind w:firstLine="480"/>
      <w:textAlignment w:val="baseline"/>
    </w:pPr>
    <w:rPr>
      <w:rFonts w:hAnsi="宋体" w:eastAsia="Times New Roman"/>
      <w:kern w:val="0"/>
      <w:sz w:val="24"/>
      <w:szCs w:val="20"/>
    </w:rPr>
  </w:style>
  <w:style w:type="paragraph" w:customStyle="1" w:styleId="113">
    <w:name w:val="表名"/>
    <w:basedOn w:val="1"/>
    <w:qFormat/>
    <w:uiPriority w:val="0"/>
    <w:pPr>
      <w:spacing w:line="360" w:lineRule="auto"/>
      <w:jc w:val="center"/>
    </w:pPr>
    <w:rPr>
      <w:rFonts w:ascii="Arial" w:hAnsi="Arial"/>
      <w:b/>
      <w:kern w:val="0"/>
      <w:sz w:val="24"/>
      <w:szCs w:val="18"/>
    </w:rPr>
  </w:style>
  <w:style w:type="paragraph" w:customStyle="1" w:styleId="114">
    <w:name w:val="段"/>
    <w:qFormat/>
    <w:uiPriority w:val="0"/>
    <w:pPr>
      <w:autoSpaceDE w:val="0"/>
      <w:autoSpaceDN w:val="0"/>
      <w:ind w:firstLine="200" w:firstLineChars="200"/>
      <w:jc w:val="both"/>
    </w:pPr>
    <w:rPr>
      <w:rFonts w:ascii="宋体" w:hAnsi="Times New Roman" w:eastAsia="Times New Roman" w:cs="Times New Roman"/>
      <w:sz w:val="21"/>
      <w:lang w:val="en-US" w:eastAsia="zh-CN" w:bidi="ar-SA"/>
    </w:rPr>
  </w:style>
  <w:style w:type="paragraph" w:customStyle="1" w:styleId="115">
    <w:name w:val="xl34"/>
    <w:basedOn w:val="1"/>
    <w:qFormat/>
    <w:uiPriority w:val="0"/>
    <w:pPr>
      <w:widowControl/>
      <w:spacing w:before="100" w:beforeAutospacing="1" w:after="100" w:afterAutospacing="1"/>
      <w:jc w:val="center"/>
    </w:pPr>
    <w:rPr>
      <w:rFonts w:ascii="Arial Unicode MS" w:hAnsi="Arial Unicode MS" w:eastAsia="Arial Unicode MS"/>
      <w:kern w:val="0"/>
      <w:sz w:val="24"/>
    </w:rPr>
  </w:style>
  <w:style w:type="paragraph" w:customStyle="1" w:styleId="116">
    <w:name w:val="报告题注"/>
    <w:basedOn w:val="1"/>
    <w:qFormat/>
    <w:uiPriority w:val="0"/>
    <w:pPr>
      <w:spacing w:before="50" w:beforeLines="50" w:after="50" w:afterLines="50"/>
      <w:jc w:val="center"/>
    </w:pPr>
    <w:rPr>
      <w:rFonts w:eastAsia="黑体"/>
      <w:sz w:val="24"/>
    </w:rPr>
  </w:style>
  <w:style w:type="paragraph" w:customStyle="1" w:styleId="117">
    <w:name w:val="24磅正文"/>
    <w:basedOn w:val="1"/>
    <w:qFormat/>
    <w:uiPriority w:val="0"/>
    <w:pPr>
      <w:topLinePunct/>
      <w:autoSpaceDE w:val="0"/>
      <w:adjustRightInd w:val="0"/>
      <w:snapToGrid w:val="0"/>
      <w:spacing w:line="500" w:lineRule="exact"/>
      <w:ind w:firstLine="480" w:firstLineChars="200"/>
    </w:pPr>
    <w:rPr>
      <w:color w:val="000000"/>
      <w:sz w:val="24"/>
    </w:rPr>
  </w:style>
  <w:style w:type="paragraph" w:customStyle="1" w:styleId="118">
    <w:name w:val="表格正文"/>
    <w:basedOn w:val="6"/>
    <w:qFormat/>
    <w:uiPriority w:val="0"/>
    <w:pPr>
      <w:tabs>
        <w:tab w:val="left" w:pos="324"/>
      </w:tabs>
      <w:spacing w:before="60" w:after="60" w:line="440" w:lineRule="exact"/>
      <w:jc w:val="center"/>
    </w:pPr>
    <w:rPr>
      <w:rFonts w:ascii="Calibri" w:hAnsi="Calibri" w:eastAsia="宋体" w:cs="Times New Roman"/>
    </w:rPr>
  </w:style>
  <w:style w:type="paragraph" w:customStyle="1" w:styleId="119">
    <w:name w:val="1-正文"/>
    <w:basedOn w:val="1"/>
    <w:qFormat/>
    <w:uiPriority w:val="0"/>
    <w:pPr>
      <w:ind w:firstLine="480"/>
    </w:pPr>
    <w:rPr>
      <w:rFonts w:ascii="宋体" w:cs="宋体"/>
    </w:rPr>
  </w:style>
  <w:style w:type="paragraph" w:customStyle="1" w:styleId="120">
    <w:name w:val="表中文字"/>
    <w:basedOn w:val="1"/>
    <w:qFormat/>
    <w:uiPriority w:val="0"/>
    <w:pPr>
      <w:snapToGrid w:val="0"/>
      <w:spacing w:line="340" w:lineRule="exact"/>
      <w:jc w:val="center"/>
    </w:pPr>
    <w:rPr>
      <w:rFonts w:ascii="Arial" w:hAnsi="Arial"/>
      <w:kern w:val="0"/>
      <w:lang w:eastAsia="zh-TW"/>
    </w:rPr>
  </w:style>
  <w:style w:type="table" w:customStyle="1" w:styleId="121">
    <w:name w:val="jstri表格"/>
    <w:basedOn w:val="31"/>
    <w:qFormat/>
    <w:uiPriority w:val="0"/>
    <w:pPr>
      <w:jc w:val="both"/>
    </w:p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22">
    <w:name w:val="表体"/>
    <w:basedOn w:val="1"/>
    <w:qFormat/>
    <w:uiPriority w:val="0"/>
    <w:pPr>
      <w:overflowPunct w:val="0"/>
      <w:adjustRightInd w:val="0"/>
      <w:spacing w:line="300" w:lineRule="atLeast"/>
      <w:jc w:val="center"/>
      <w:textAlignment w:val="baseline"/>
    </w:pPr>
    <w:rPr>
      <w:rFonts w:ascii="Calibri" w:hAnsi="Calibri"/>
      <w:color w:val="000000"/>
      <w:kern w:val="24"/>
      <w:sz w:val="18"/>
      <w:szCs w:val="20"/>
    </w:rPr>
  </w:style>
  <w:style w:type="table" w:customStyle="1" w:styleId="123">
    <w:name w:val="Table Normal"/>
    <w:autoRedefine/>
    <w:semiHidden/>
    <w:unhideWhenUsed/>
    <w:qFormat/>
    <w:uiPriority w:val="0"/>
    <w:tblPr>
      <w:tblCellMar>
        <w:top w:w="0" w:type="dxa"/>
        <w:left w:w="0" w:type="dxa"/>
        <w:bottom w:w="0" w:type="dxa"/>
        <w:right w:w="0" w:type="dxa"/>
      </w:tblCellMar>
    </w:tblPr>
  </w:style>
  <w:style w:type="paragraph" w:customStyle="1" w:styleId="124">
    <w:name w:val="Table Paragraph"/>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25">
    <w:name w:val="Table Text"/>
    <w:basedOn w:val="1"/>
    <w:autoRedefine/>
    <w:semiHidden/>
    <w:qFormat/>
    <w:uiPriority w:val="0"/>
    <w:rPr>
      <w:rFonts w:ascii="宋体" w:hAnsi="宋体" w:cs="宋体"/>
      <w:sz w:val="20"/>
      <w:szCs w:val="20"/>
      <w:lang w:eastAsia="en-US"/>
    </w:rPr>
  </w:style>
  <w:style w:type="paragraph" w:customStyle="1" w:styleId="126">
    <w:name w:val="表格首行字体"/>
    <w:basedOn w:val="1"/>
    <w:qFormat/>
    <w:uiPriority w:val="0"/>
    <w:pPr>
      <w:jc w:val="center"/>
    </w:pPr>
    <w:rPr>
      <w:rFonts w:ascii="宋体" w:hAnsi="宋体"/>
      <w:b/>
      <w:szCs w:val="20"/>
    </w:rPr>
  </w:style>
  <w:style w:type="paragraph" w:customStyle="1" w:styleId="127">
    <w:name w:val="WPSOffice手动目录 1"/>
    <w:qFormat/>
    <w:uiPriority w:val="0"/>
    <w:rPr>
      <w:rFonts w:ascii="Times New Roman" w:hAnsi="Times New Roman" w:eastAsia="宋体" w:cs="Times New Roman"/>
      <w:lang w:val="en-US" w:eastAsia="zh-CN" w:bidi="ar-SA"/>
    </w:rPr>
  </w:style>
  <w:style w:type="paragraph" w:customStyle="1" w:styleId="128">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29">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130">
    <w:name w:val="font21"/>
    <w:basedOn w:val="33"/>
    <w:qFormat/>
    <w:uiPriority w:val="0"/>
    <w:rPr>
      <w:rFonts w:hint="eastAsia" w:ascii="宋体" w:hAnsi="宋体" w:eastAsia="宋体" w:cs="宋体"/>
      <w:color w:val="000000"/>
      <w:sz w:val="22"/>
      <w:szCs w:val="22"/>
      <w:u w:val="none"/>
    </w:rPr>
  </w:style>
  <w:style w:type="character" w:customStyle="1" w:styleId="131">
    <w:name w:val="font11"/>
    <w:basedOn w:val="33"/>
    <w:qFormat/>
    <w:uiPriority w:val="0"/>
    <w:rPr>
      <w:rFonts w:hint="default" w:ascii="Calibri" w:hAnsi="Calibri" w:cs="Calibri"/>
      <w:color w:val="000000"/>
      <w:sz w:val="22"/>
      <w:szCs w:val="22"/>
      <w:u w:val="none"/>
    </w:rPr>
  </w:style>
  <w:style w:type="character" w:customStyle="1" w:styleId="132">
    <w:name w:val="font31"/>
    <w:basedOn w:val="33"/>
    <w:qFormat/>
    <w:uiPriority w:val="0"/>
    <w:rPr>
      <w:rFonts w:hint="default" w:ascii="Arial" w:hAnsi="Arial" w:cs="Arial"/>
      <w:b/>
      <w:bCs/>
      <w:color w:val="000000"/>
      <w:sz w:val="24"/>
      <w:szCs w:val="24"/>
      <w:u w:val="none"/>
    </w:rPr>
  </w:style>
  <w:style w:type="character" w:customStyle="1" w:styleId="133">
    <w:name w:val="font41"/>
    <w:basedOn w:val="33"/>
    <w:qFormat/>
    <w:uiPriority w:val="0"/>
    <w:rPr>
      <w:rFonts w:hint="eastAsia" w:ascii="宋体" w:hAnsi="宋体" w:eastAsia="宋体" w:cs="宋体"/>
      <w:color w:val="000000"/>
      <w:sz w:val="21"/>
      <w:szCs w:val="21"/>
      <w:u w:val="none"/>
    </w:rPr>
  </w:style>
  <w:style w:type="character" w:customStyle="1" w:styleId="134">
    <w:name w:val="font61"/>
    <w:basedOn w:val="33"/>
    <w:qFormat/>
    <w:uiPriority w:val="0"/>
    <w:rPr>
      <w:rFonts w:hint="default" w:ascii="Times New Roman" w:hAnsi="Times New Roman" w:cs="Times New Roman"/>
      <w:color w:val="FF0000"/>
      <w:sz w:val="21"/>
      <w:szCs w:val="21"/>
      <w:u w:val="none"/>
    </w:rPr>
  </w:style>
  <w:style w:type="character" w:customStyle="1" w:styleId="135">
    <w:name w:val="font51"/>
    <w:basedOn w:val="33"/>
    <w:qFormat/>
    <w:uiPriority w:val="0"/>
    <w:rPr>
      <w:rFonts w:hint="eastAsia" w:ascii="宋体" w:hAnsi="宋体" w:eastAsia="宋体" w:cs="宋体"/>
      <w:color w:val="FF0000"/>
      <w:sz w:val="21"/>
      <w:szCs w:val="21"/>
      <w:u w:val="none"/>
    </w:rPr>
  </w:style>
  <w:style w:type="character" w:customStyle="1" w:styleId="136">
    <w:name w:val="font42"/>
    <w:basedOn w:val="33"/>
    <w:qFormat/>
    <w:uiPriority w:val="0"/>
    <w:rPr>
      <w:rFonts w:ascii="宋体" w:hAnsi="宋体" w:eastAsia="宋体" w:cs="宋体"/>
      <w:color w:val="000000"/>
      <w:sz w:val="20"/>
      <w:szCs w:val="20"/>
      <w:u w:val="none"/>
    </w:rPr>
  </w:style>
  <w:style w:type="character" w:customStyle="1" w:styleId="137">
    <w:name w:val="font161"/>
    <w:basedOn w:val="33"/>
    <w:qFormat/>
    <w:uiPriority w:val="0"/>
    <w:rPr>
      <w:rFonts w:ascii="宋体" w:hAnsi="宋体" w:eastAsia="宋体" w:cs="宋体"/>
      <w:color w:val="505050"/>
      <w:sz w:val="20"/>
      <w:szCs w:val="20"/>
      <w:u w:val="none"/>
    </w:rPr>
  </w:style>
  <w:style w:type="character" w:customStyle="1" w:styleId="138">
    <w:name w:val="font221"/>
    <w:basedOn w:val="33"/>
    <w:qFormat/>
    <w:uiPriority w:val="0"/>
    <w:rPr>
      <w:rFonts w:ascii="宋体" w:hAnsi="宋体" w:eastAsia="宋体" w:cs="宋体"/>
      <w:color w:val="000000"/>
      <w:sz w:val="10"/>
      <w:szCs w:val="10"/>
      <w:u w:val="none"/>
    </w:rPr>
  </w:style>
  <w:style w:type="character" w:customStyle="1" w:styleId="139">
    <w:name w:val="font231"/>
    <w:basedOn w:val="33"/>
    <w:qFormat/>
    <w:uiPriority w:val="0"/>
    <w:rPr>
      <w:rFonts w:ascii="Calibri" w:hAnsi="Calibri" w:cs="Calibri"/>
      <w:color w:val="000000"/>
      <w:sz w:val="10"/>
      <w:szCs w:val="10"/>
      <w:u w:val="none"/>
    </w:rPr>
  </w:style>
  <w:style w:type="character" w:customStyle="1" w:styleId="140">
    <w:name w:val="font81"/>
    <w:basedOn w:val="33"/>
    <w:qFormat/>
    <w:uiPriority w:val="0"/>
    <w:rPr>
      <w:rFonts w:ascii="宋体" w:hAnsi="宋体" w:eastAsia="宋体" w:cs="宋体"/>
      <w:color w:val="304050"/>
      <w:sz w:val="10"/>
      <w:szCs w:val="10"/>
      <w:u w:val="none"/>
    </w:rPr>
  </w:style>
  <w:style w:type="character" w:customStyle="1" w:styleId="141">
    <w:name w:val="font212"/>
    <w:basedOn w:val="33"/>
    <w:qFormat/>
    <w:uiPriority w:val="0"/>
    <w:rPr>
      <w:rFonts w:ascii="宋体" w:hAnsi="宋体" w:eastAsia="宋体" w:cs="宋体"/>
      <w:color w:val="000000"/>
      <w:sz w:val="10"/>
      <w:szCs w:val="10"/>
      <w:u w:val="none"/>
    </w:rPr>
  </w:style>
  <w:style w:type="character" w:customStyle="1" w:styleId="142">
    <w:name w:val="font71"/>
    <w:basedOn w:val="33"/>
    <w:qFormat/>
    <w:uiPriority w:val="0"/>
    <w:rPr>
      <w:rFonts w:ascii="宋体" w:hAnsi="宋体" w:eastAsia="宋体" w:cs="宋体"/>
      <w:color w:val="204040"/>
      <w:sz w:val="10"/>
      <w:szCs w:val="10"/>
      <w:u w:val="none"/>
    </w:rPr>
  </w:style>
  <w:style w:type="character" w:customStyle="1" w:styleId="143">
    <w:name w:val="font91"/>
    <w:basedOn w:val="33"/>
    <w:qFormat/>
    <w:uiPriority w:val="0"/>
    <w:rPr>
      <w:rFonts w:ascii="宋体" w:hAnsi="宋体" w:eastAsia="宋体" w:cs="宋体"/>
      <w:color w:val="909070"/>
      <w:sz w:val="10"/>
      <w:szCs w:val="10"/>
      <w:u w:val="none"/>
    </w:rPr>
  </w:style>
  <w:style w:type="character" w:customStyle="1" w:styleId="144">
    <w:name w:val="font421"/>
    <w:basedOn w:val="33"/>
    <w:qFormat/>
    <w:uiPriority w:val="0"/>
    <w:rPr>
      <w:rFonts w:ascii="宋体" w:hAnsi="宋体" w:eastAsia="宋体" w:cs="宋体"/>
      <w:color w:val="606080"/>
      <w:sz w:val="12"/>
      <w:szCs w:val="12"/>
      <w:u w:val="none"/>
    </w:rPr>
  </w:style>
  <w:style w:type="character" w:customStyle="1" w:styleId="145">
    <w:name w:val="font431"/>
    <w:basedOn w:val="33"/>
    <w:qFormat/>
    <w:uiPriority w:val="0"/>
    <w:rPr>
      <w:rFonts w:ascii="宋体" w:hAnsi="宋体" w:eastAsia="宋体" w:cs="宋体"/>
      <w:color w:val="000000"/>
      <w:sz w:val="12"/>
      <w:szCs w:val="12"/>
      <w:u w:val="none"/>
    </w:rPr>
  </w:style>
  <w:style w:type="character" w:customStyle="1" w:styleId="146">
    <w:name w:val="font441"/>
    <w:basedOn w:val="33"/>
    <w:qFormat/>
    <w:uiPriority w:val="0"/>
    <w:rPr>
      <w:rFonts w:ascii="宋体" w:hAnsi="宋体" w:eastAsia="宋体" w:cs="宋体"/>
      <w:color w:val="406090"/>
      <w:sz w:val="12"/>
      <w:szCs w:val="12"/>
      <w:u w:val="none"/>
    </w:rPr>
  </w:style>
  <w:style w:type="character" w:customStyle="1" w:styleId="147">
    <w:name w:val="font101"/>
    <w:basedOn w:val="33"/>
    <w:qFormat/>
    <w:uiPriority w:val="0"/>
    <w:rPr>
      <w:rFonts w:ascii="宋体" w:hAnsi="宋体" w:eastAsia="宋体" w:cs="宋体"/>
      <w:color w:val="404040"/>
      <w:sz w:val="12"/>
      <w:szCs w:val="12"/>
      <w:u w:val="none"/>
    </w:rPr>
  </w:style>
  <w:style w:type="character" w:customStyle="1" w:styleId="148">
    <w:name w:val="font32"/>
    <w:basedOn w:val="33"/>
    <w:qFormat/>
    <w:uiPriority w:val="0"/>
    <w:rPr>
      <w:rFonts w:ascii="宋体" w:hAnsi="宋体" w:eastAsia="宋体" w:cs="宋体"/>
      <w:color w:val="606060"/>
      <w:sz w:val="12"/>
      <w:szCs w:val="12"/>
      <w:u w:val="none"/>
    </w:rPr>
  </w:style>
  <w:style w:type="character" w:customStyle="1" w:styleId="149">
    <w:name w:val="font111"/>
    <w:basedOn w:val="33"/>
    <w:qFormat/>
    <w:uiPriority w:val="0"/>
    <w:rPr>
      <w:rFonts w:ascii="宋体" w:hAnsi="宋体" w:eastAsia="宋体" w:cs="宋体"/>
      <w:color w:val="405060"/>
      <w:sz w:val="12"/>
      <w:szCs w:val="12"/>
      <w:u w:val="none"/>
    </w:rPr>
  </w:style>
  <w:style w:type="character" w:customStyle="1" w:styleId="150">
    <w:name w:val="font131"/>
    <w:basedOn w:val="33"/>
    <w:qFormat/>
    <w:uiPriority w:val="0"/>
    <w:rPr>
      <w:rFonts w:ascii="宋体" w:hAnsi="宋体" w:eastAsia="宋体" w:cs="宋体"/>
      <w:color w:val="505060"/>
      <w:sz w:val="12"/>
      <w:szCs w:val="12"/>
      <w:u w:val="none"/>
    </w:rPr>
  </w:style>
  <w:style w:type="character" w:customStyle="1" w:styleId="151">
    <w:name w:val="font141"/>
    <w:basedOn w:val="33"/>
    <w:qFormat/>
    <w:uiPriority w:val="0"/>
    <w:rPr>
      <w:rFonts w:ascii="宋体" w:hAnsi="宋体" w:eastAsia="宋体" w:cs="宋体"/>
      <w:color w:val="605050"/>
      <w:sz w:val="12"/>
      <w:szCs w:val="12"/>
      <w:u w:val="none"/>
    </w:rPr>
  </w:style>
  <w:style w:type="character" w:customStyle="1" w:styleId="152">
    <w:name w:val="font171"/>
    <w:basedOn w:val="33"/>
    <w:qFormat/>
    <w:uiPriority w:val="0"/>
    <w:rPr>
      <w:rFonts w:ascii="宋体" w:hAnsi="宋体" w:eastAsia="宋体" w:cs="宋体"/>
      <w:color w:val="B08080"/>
      <w:sz w:val="12"/>
      <w:szCs w:val="12"/>
      <w:u w:val="none"/>
    </w:rPr>
  </w:style>
  <w:style w:type="character" w:customStyle="1" w:styleId="153">
    <w:name w:val="font181"/>
    <w:basedOn w:val="33"/>
    <w:qFormat/>
    <w:uiPriority w:val="0"/>
    <w:rPr>
      <w:rFonts w:ascii="宋体" w:hAnsi="宋体" w:eastAsia="宋体" w:cs="宋体"/>
      <w:color w:val="606090"/>
      <w:sz w:val="12"/>
      <w:szCs w:val="12"/>
      <w:u w:val="none"/>
    </w:rPr>
  </w:style>
  <w:style w:type="character" w:customStyle="1" w:styleId="154">
    <w:name w:val="font191"/>
    <w:basedOn w:val="33"/>
    <w:qFormat/>
    <w:uiPriority w:val="0"/>
    <w:rPr>
      <w:rFonts w:ascii="宋体" w:hAnsi="宋体" w:eastAsia="宋体" w:cs="宋体"/>
      <w:color w:val="708080"/>
      <w:sz w:val="12"/>
      <w:szCs w:val="12"/>
      <w:u w:val="none"/>
    </w:rPr>
  </w:style>
  <w:style w:type="character" w:customStyle="1" w:styleId="155">
    <w:name w:val="font201"/>
    <w:basedOn w:val="33"/>
    <w:qFormat/>
    <w:uiPriority w:val="0"/>
    <w:rPr>
      <w:rFonts w:ascii="宋体" w:hAnsi="宋体" w:eastAsia="宋体" w:cs="宋体"/>
      <w:color w:val="504040"/>
      <w:sz w:val="12"/>
      <w:szCs w:val="12"/>
      <w:u w:val="none"/>
    </w:rPr>
  </w:style>
  <w:style w:type="character" w:customStyle="1" w:styleId="156">
    <w:name w:val="font241"/>
    <w:basedOn w:val="33"/>
    <w:qFormat/>
    <w:uiPriority w:val="0"/>
    <w:rPr>
      <w:rFonts w:ascii="宋体" w:hAnsi="宋体" w:eastAsia="宋体" w:cs="宋体"/>
      <w:color w:val="204050"/>
      <w:sz w:val="12"/>
      <w:szCs w:val="12"/>
      <w:u w:val="none"/>
    </w:rPr>
  </w:style>
  <w:style w:type="character" w:customStyle="1" w:styleId="157">
    <w:name w:val="font401"/>
    <w:basedOn w:val="33"/>
    <w:qFormat/>
    <w:uiPriority w:val="0"/>
    <w:rPr>
      <w:rFonts w:ascii="宋体" w:hAnsi="宋体" w:eastAsia="宋体" w:cs="宋体"/>
      <w:color w:val="808090"/>
      <w:sz w:val="12"/>
      <w:szCs w:val="12"/>
      <w:u w:val="none"/>
    </w:rPr>
  </w:style>
  <w:style w:type="character" w:customStyle="1" w:styleId="158">
    <w:name w:val="font271"/>
    <w:basedOn w:val="33"/>
    <w:qFormat/>
    <w:uiPriority w:val="0"/>
    <w:rPr>
      <w:rFonts w:ascii="宋体" w:hAnsi="宋体" w:eastAsia="宋体" w:cs="宋体"/>
      <w:color w:val="506070"/>
      <w:sz w:val="12"/>
      <w:szCs w:val="12"/>
      <w:u w:val="none"/>
    </w:rPr>
  </w:style>
  <w:style w:type="character" w:customStyle="1" w:styleId="159">
    <w:name w:val="font281"/>
    <w:basedOn w:val="33"/>
    <w:qFormat/>
    <w:uiPriority w:val="0"/>
    <w:rPr>
      <w:rFonts w:ascii="宋体" w:hAnsi="宋体" w:eastAsia="宋体" w:cs="宋体"/>
      <w:color w:val="303050"/>
      <w:sz w:val="12"/>
      <w:szCs w:val="12"/>
      <w:u w:val="none"/>
    </w:rPr>
  </w:style>
  <w:style w:type="character" w:customStyle="1" w:styleId="160">
    <w:name w:val="font291"/>
    <w:basedOn w:val="33"/>
    <w:qFormat/>
    <w:uiPriority w:val="0"/>
    <w:rPr>
      <w:rFonts w:ascii="宋体" w:hAnsi="宋体" w:eastAsia="宋体" w:cs="宋体"/>
      <w:color w:val="506080"/>
      <w:sz w:val="12"/>
      <w:szCs w:val="12"/>
      <w:u w:val="none"/>
    </w:rPr>
  </w:style>
  <w:style w:type="character" w:customStyle="1" w:styleId="161">
    <w:name w:val="font301"/>
    <w:basedOn w:val="33"/>
    <w:qFormat/>
    <w:uiPriority w:val="0"/>
    <w:rPr>
      <w:rFonts w:ascii="宋体" w:hAnsi="宋体" w:eastAsia="宋体" w:cs="宋体"/>
      <w:color w:val="607070"/>
      <w:sz w:val="12"/>
      <w:szCs w:val="12"/>
      <w:u w:val="none"/>
    </w:rPr>
  </w:style>
  <w:style w:type="character" w:customStyle="1" w:styleId="162">
    <w:name w:val="font311"/>
    <w:basedOn w:val="33"/>
    <w:qFormat/>
    <w:uiPriority w:val="0"/>
    <w:rPr>
      <w:rFonts w:ascii="宋体" w:hAnsi="宋体" w:eastAsia="宋体" w:cs="宋体"/>
      <w:color w:val="506090"/>
      <w:sz w:val="12"/>
      <w:szCs w:val="12"/>
      <w:u w:val="none"/>
    </w:rPr>
  </w:style>
  <w:style w:type="character" w:customStyle="1" w:styleId="163">
    <w:name w:val="font261"/>
    <w:basedOn w:val="33"/>
    <w:qFormat/>
    <w:uiPriority w:val="0"/>
    <w:rPr>
      <w:rFonts w:ascii="宋体" w:hAnsi="宋体" w:eastAsia="宋体" w:cs="宋体"/>
      <w:color w:val="304040"/>
      <w:sz w:val="12"/>
      <w:szCs w:val="12"/>
      <w:u w:val="none"/>
    </w:rPr>
  </w:style>
  <w:style w:type="character" w:customStyle="1" w:styleId="164">
    <w:name w:val="font322"/>
    <w:basedOn w:val="33"/>
    <w:qFormat/>
    <w:uiPriority w:val="0"/>
    <w:rPr>
      <w:rFonts w:ascii="宋体" w:hAnsi="宋体" w:eastAsia="宋体" w:cs="宋体"/>
      <w:color w:val="706070"/>
      <w:sz w:val="12"/>
      <w:szCs w:val="12"/>
      <w:u w:val="none"/>
    </w:rPr>
  </w:style>
  <w:style w:type="character" w:customStyle="1" w:styleId="165">
    <w:name w:val="font331"/>
    <w:basedOn w:val="33"/>
    <w:qFormat/>
    <w:uiPriority w:val="0"/>
    <w:rPr>
      <w:rFonts w:ascii="宋体" w:hAnsi="宋体" w:eastAsia="宋体" w:cs="宋体"/>
      <w:color w:val="707080"/>
      <w:sz w:val="12"/>
      <w:szCs w:val="12"/>
      <w:u w:val="none"/>
    </w:rPr>
  </w:style>
  <w:style w:type="character" w:customStyle="1" w:styleId="166">
    <w:name w:val="font451"/>
    <w:basedOn w:val="33"/>
    <w:qFormat/>
    <w:uiPriority w:val="0"/>
    <w:rPr>
      <w:rFonts w:ascii="宋体" w:hAnsi="宋体" w:eastAsia="宋体" w:cs="宋体"/>
      <w:color w:val="6060A0"/>
      <w:sz w:val="12"/>
      <w:szCs w:val="12"/>
      <w:u w:val="none"/>
    </w:rPr>
  </w:style>
  <w:style w:type="character" w:customStyle="1" w:styleId="167">
    <w:name w:val="font341"/>
    <w:basedOn w:val="33"/>
    <w:qFormat/>
    <w:uiPriority w:val="0"/>
    <w:rPr>
      <w:rFonts w:ascii="宋体" w:hAnsi="宋体" w:eastAsia="宋体" w:cs="宋体"/>
      <w:color w:val="305080"/>
      <w:sz w:val="12"/>
      <w:szCs w:val="12"/>
      <w:u w:val="none"/>
    </w:rPr>
  </w:style>
  <w:style w:type="character" w:customStyle="1" w:styleId="168">
    <w:name w:val="font351"/>
    <w:basedOn w:val="33"/>
    <w:qFormat/>
    <w:uiPriority w:val="0"/>
    <w:rPr>
      <w:rFonts w:ascii="宋体" w:hAnsi="宋体" w:eastAsia="宋体" w:cs="宋体"/>
      <w:color w:val="605040"/>
      <w:sz w:val="12"/>
      <w:szCs w:val="12"/>
      <w:u w:val="none"/>
    </w:rPr>
  </w:style>
  <w:style w:type="character" w:customStyle="1" w:styleId="169">
    <w:name w:val="font251"/>
    <w:basedOn w:val="33"/>
    <w:qFormat/>
    <w:uiPriority w:val="0"/>
    <w:rPr>
      <w:rFonts w:ascii="宋体" w:hAnsi="宋体" w:eastAsia="宋体" w:cs="宋体"/>
      <w:color w:val="504050"/>
      <w:sz w:val="12"/>
      <w:szCs w:val="12"/>
      <w:u w:val="none"/>
    </w:rPr>
  </w:style>
  <w:style w:type="character" w:customStyle="1" w:styleId="170">
    <w:name w:val="font361"/>
    <w:basedOn w:val="33"/>
    <w:qFormat/>
    <w:uiPriority w:val="0"/>
    <w:rPr>
      <w:rFonts w:ascii="宋体" w:hAnsi="宋体" w:eastAsia="宋体" w:cs="宋体"/>
      <w:color w:val="405070"/>
      <w:sz w:val="12"/>
      <w:szCs w:val="12"/>
      <w:u w:val="none"/>
    </w:rPr>
  </w:style>
  <w:style w:type="character" w:customStyle="1" w:styleId="171">
    <w:name w:val="font461"/>
    <w:basedOn w:val="33"/>
    <w:qFormat/>
    <w:uiPriority w:val="0"/>
    <w:rPr>
      <w:rFonts w:ascii="宋体" w:hAnsi="宋体" w:eastAsia="宋体" w:cs="宋体"/>
      <w:color w:val="808080"/>
      <w:sz w:val="12"/>
      <w:szCs w:val="12"/>
      <w:u w:val="none"/>
    </w:rPr>
  </w:style>
  <w:style w:type="character" w:customStyle="1" w:styleId="172">
    <w:name w:val="font371"/>
    <w:basedOn w:val="33"/>
    <w:qFormat/>
    <w:uiPriority w:val="0"/>
    <w:rPr>
      <w:rFonts w:ascii="宋体" w:hAnsi="宋体" w:eastAsia="宋体" w:cs="宋体"/>
      <w:color w:val="707070"/>
      <w:sz w:val="12"/>
      <w:szCs w:val="12"/>
      <w:u w:val="none"/>
    </w:rPr>
  </w:style>
  <w:style w:type="character" w:customStyle="1" w:styleId="173">
    <w:name w:val="font381"/>
    <w:basedOn w:val="33"/>
    <w:qFormat/>
    <w:uiPriority w:val="0"/>
    <w:rPr>
      <w:rFonts w:ascii="宋体" w:hAnsi="宋体" w:eastAsia="宋体" w:cs="宋体"/>
      <w:color w:val="707090"/>
      <w:sz w:val="12"/>
      <w:szCs w:val="12"/>
      <w:u w:val="none"/>
    </w:rPr>
  </w:style>
  <w:style w:type="character" w:customStyle="1" w:styleId="174">
    <w:name w:val="font391"/>
    <w:basedOn w:val="33"/>
    <w:qFormat/>
    <w:uiPriority w:val="0"/>
    <w:rPr>
      <w:rFonts w:ascii="宋体" w:hAnsi="宋体" w:eastAsia="宋体" w:cs="宋体"/>
      <w:color w:val="304070"/>
      <w:sz w:val="12"/>
      <w:szCs w:val="12"/>
      <w:u w:val="none"/>
    </w:rPr>
  </w:style>
  <w:style w:type="character" w:customStyle="1" w:styleId="175">
    <w:name w:val="font412"/>
    <w:basedOn w:val="33"/>
    <w:qFormat/>
    <w:uiPriority w:val="0"/>
    <w:rPr>
      <w:rFonts w:ascii="宋体" w:hAnsi="宋体" w:eastAsia="宋体" w:cs="宋体"/>
      <w:color w:val="405050"/>
      <w:sz w:val="12"/>
      <w:szCs w:val="12"/>
      <w:u w:val="none"/>
    </w:rPr>
  </w:style>
  <w:style w:type="paragraph" w:customStyle="1" w:styleId="176">
    <w:name w:val="表头格式"/>
    <w:qFormat/>
    <w:uiPriority w:val="0"/>
    <w:pPr>
      <w:widowControl w:val="0"/>
      <w:adjustRightInd w:val="0"/>
      <w:snapToGrid w:val="0"/>
      <w:spacing w:line="480" w:lineRule="exact"/>
      <w:ind w:firstLine="640" w:firstLineChars="200"/>
      <w:jc w:val="center"/>
    </w:pPr>
    <w:rPr>
      <w:rFonts w:ascii="Times New Roman" w:hAnsi="Times New Roman" w:eastAsia="宋体" w:cs="宋体"/>
      <w:b/>
      <w:color w:val="000000"/>
      <w:spacing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2.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wmf"/><Relationship Id="rId40" Type="http://schemas.openxmlformats.org/officeDocument/2006/relationships/oleObject" Target="embeddings/oleObject5.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4.bin"/><Relationship Id="rId37" Type="http://schemas.openxmlformats.org/officeDocument/2006/relationships/image" Target="media/image19.wmf"/><Relationship Id="rId36" Type="http://schemas.openxmlformats.org/officeDocument/2006/relationships/oleObject" Target="embeddings/oleObject3.bin"/><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wmf"/><Relationship Id="rId31" Type="http://schemas.openxmlformats.org/officeDocument/2006/relationships/oleObject" Target="embeddings/oleObject2.bin"/><Relationship Id="rId30" Type="http://schemas.openxmlformats.org/officeDocument/2006/relationships/image" Target="media/image14.png"/><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emf"/><Relationship Id="rId23" Type="http://schemas.openxmlformats.org/officeDocument/2006/relationships/oleObject" Target="embeddings/oleObject1.bin"/><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4e48916e-444b-4e7b-8cd5-87fafeb69430</errorID>
      <errorWord>例行监测</errorWord>
      <group>L1_Word</group>
      <groupName>字词问题</groupName>
      <ability>L2_Typo</ability>
      <abilityName>字词错误</abilityName>
      <candidateList>
        <item>例行检测</item>
      </candidateList>
      <explain/>
      <paraID>1176C6DE</paraID>
      <start>6</start>
      <end>10</end>
      <status>unmodified</status>
      <modifiedWord/>
      <trackRevisions>false</trackRevisions>
    </reviewItem>
    <reviewItem>
      <errorID>27dc2a06-b106-4e14-ab35-f3e3d3866474</errorID>
      <errorWord>(</errorWord>
      <group>L1_Format</group>
      <groupName>格式问题</groupName>
      <ability>L2_HalfPunc</ability>
      <abilityName>全半角检查</abilityName>
      <candidateList>
        <item>（</item>
      </candidateList>
      <explain>文本全半角错误。</explain>
      <paraID>2F1BE33A</paraID>
      <start>41</start>
      <end>42</end>
      <status>modified</status>
      <modifiedWord>（</modifiedWord>
      <trackRevisions>false</trackRevisions>
    </reviewItem>
    <reviewItem>
      <errorID>693a0dc3-f6c4-4033-8b2c-498d506211de</errorID>
      <errorWord>)</errorWord>
      <group>L1_Format</group>
      <groupName>格式问题</groupName>
      <ability>L2_HalfPunc</ability>
      <abilityName>全半角检查</abilityName>
      <candidateList>
        <item>）</item>
      </candidateList>
      <explain>文本全半角错误。</explain>
      <paraID>2F1BE33A</paraID>
      <start>50</start>
      <end>51</end>
      <status>modified</status>
      <modifiedWord>）</modifiedWord>
      <trackRevisions>false</trackRevisions>
    </reviewItem>
    <reviewItem>
      <errorID>1afb7185-cbde-4298-80a9-a329eb6fb164</errorID>
      <errorWord>“</errorWord>
      <group>L1_Punc</group>
      <groupName>标点问题</groupName>
      <ability>L2_Punc</ability>
      <abilityName>标点符号检查</abilityName>
      <candidateList/>
      <explain/>
      <paraID>2F1BE33A</paraID>
      <start>133</start>
      <end>134</end>
      <status>unmodified</status>
      <modifiedWord/>
      <trackRevisions>false</trackRevisions>
    </reviewItem>
    <reviewItem>
      <errorID>0aadd787-4bf7-4b65-9f22-2bc20b3a305e</errorID>
      <errorWord>[2018]40号</errorWord>
      <group>L1_Knowledge</group>
      <groupName>知识性问题</groupName>
      <ability>L2_Knowledge</ability>
      <abilityName>其他知识</abilityName>
      <candidateList>
        <item>〔2018〕40号</item>
      </candidateList>
      <explain>发文字号格式错误。</explain>
      <paraID>2F1BE33A</paraID>
      <start>137</start>
      <end>146</end>
      <status>unmodified</status>
      <modifiedWord/>
      <trackRevisions>false</trackRevisions>
    </reviewItem>
    <reviewItem>
      <errorID>074283e9-811b-4459-a474-9a702c3bc012</errorID>
      <errorWord>程</errorWord>
      <group>L1_Word</group>
      <groupName>字词问题</groupName>
      <ability>L2_Typo</ability>
      <abilityName>字词错误</abilityName>
      <candidateList>
        <item>程中</item>
      </candidateList>
      <explain/>
      <paraID>1972812F</paraID>
      <start>16</start>
      <end>17</end>
      <status>unmodified</status>
      <modifiedWord/>
      <trackRevisions>false</trackRevisions>
    </reviewItem>
    <reviewItem>
      <errorID>6e502643-c3f0-4959-baff-44f7e596e148</errorID>
      <errorWord>主管部门备案</errorWord>
      <group>L1_Grammar</group>
      <groupName>语法问题</groupName>
      <ability>L2_Collocation</ability>
      <abilityName>搭配不当</abilityName>
      <candidateList>
        <item>主管部门</item>
      </candidateList>
      <explain>句子中可能存在主谓、动宾、定语中心语、状语中心语、补语中心语、关联词搭配不当等问题。</explain>
      <paraID>1E802066</paraID>
      <start>109</start>
      <end>115</end>
      <status>ignored</status>
      <modifiedWord/>
      <trackRevisions>false</trackRevisions>
    </reviewItem>
    <reviewItem>
      <errorID>d9af006e-a507-48c4-8db9-e707a3a4b69d</errorID>
      <errorWord>1.2.1国家法律法规</errorWord>
      <group>L1_AI</group>
      <groupName>深度校对</groupName>
      <ability>L2_AI_Title</ability>
      <abilityName>标题检查</abilityName>
      <candidateList/>
      <explain>相邻标题序号不连续。标题‘1.2 评价目的’为二级标题，其后应按二级标题序号延续或出现三级标题‘1.2.1’，但直接出现了‘1.2.1国家法律法规’，存在相邻标题序号不连续的问题；且后续‘1.2.2 地方法规政策’‘1.2.3 技术导则及技术规范’同样存在此类问题，与前文相邻标题序号不连续</explain>
      <paraID>593F0B55</paraID>
      <start>0</start>
      <end>11</end>
      <status>unmodified</status>
      <modifiedWord/>
      <trackRevisions>false</trackRevisions>
    </reviewItem>
    <reviewItem>
      <errorID>88a0758c-4a4b-436a-8db9-d45f3cadcf07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62A294D1</paraID>
      <start>0</start>
      <end>2</end>
      <status>unmodified</status>
      <modifiedWord/>
      <trackRevisions>false</trackRevisions>
    </reviewItem>
    <reviewItem>
      <errorID>dadc396a-191f-4509-8841-8d64a5d3880a</errorID>
      <errorWord>，2015年1月1日；</errorWord>
      <group>L1_AI</group>
      <groupName>深度校对</groupName>
      <ability>L2_AI_Punc</ability>
      <abilityName>标点纠错</abilityName>
      <candidateList>
        <item>（2015年1月1日起施行）</item>
      </candidateList>
      <explain/>
      <paraID>62A294D1</paraID>
      <start>16</start>
      <end>27</end>
      <status>unmodified</status>
      <modifiedWord/>
      <trackRevisions>false</trackRevisions>
    </reviewItem>
    <reviewItem>
      <errorID>b51bd92a-b015-4041-bb03-389d9726cb34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12340712</paraID>
      <start>0</start>
      <end>2</end>
      <status>unmodified</status>
      <modifiedWord/>
      <trackRevisions>false</trackRevisions>
    </reviewItem>
    <reviewItem>
      <errorID>8060c59b-a84a-470e-a9f9-1d6bfc9d3a67</errorID>
      <errorWord>，</errorWord>
      <group>L1_AI</group>
      <groupName>深度校对</groupName>
      <ability>L2_AI_Punc</ability>
      <abilityName>标点纠错</abilityName>
      <candidateList>
        <item>（</item>
      </candidateList>
      <explain/>
      <paraID>12340712</paraID>
      <start>18</start>
      <end>19</end>
      <status>unmodified</status>
      <modifiedWord/>
      <trackRevisions>false</trackRevisions>
    </reviewItem>
    <reviewItem>
      <errorID>cda10e9a-d106-4d4f-89c8-f280f9d41f6d</errorID>
      <errorWord>施行</errorWord>
      <group>L1_AI</group>
      <groupName>深度校对</groupName>
      <ability>L2_AI_Grammar</ability>
      <abilityName>语法纠错</abilityName>
      <candidateList>
        <item>起施行</item>
      </candidateList>
      <explain/>
      <paraID>12340712</paraID>
      <start>28</start>
      <end>30</end>
      <status>unmodified</status>
      <modifiedWord/>
      <trackRevisions>false</trackRevisions>
    </reviewItem>
    <reviewItem>
      <errorID>622e45d2-8cd3-4943-b0fa-25e7624e52ac</errorID>
      <errorWord>；</errorWord>
      <group>L1_AI</group>
      <groupName>深度校对</groupName>
      <ability>L2_AI_Punc</ability>
      <abilityName>标点纠错</abilityName>
      <candidateList>
        <item>）</item>
      </candidateList>
      <explain/>
      <paraID>12340712</paraID>
      <start>30</start>
      <end>31</end>
      <status>unmodified</status>
      <modifiedWord/>
      <trackRevisions>false</trackRevisions>
    </reviewItem>
    <reviewItem>
      <errorID>2423cb90-00cb-4aea-b213-1b5bf8ee4b05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70FFFBA7</paraID>
      <start>0</start>
      <end>2</end>
      <status>unmodified</status>
      <modifiedWord/>
      <trackRevisions>false</trackRevisions>
    </reviewItem>
    <reviewItem>
      <errorID>8a9501b2-8a44-4938-90aa-df862d36aa79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276625C3</paraID>
      <start>0</start>
      <end>2</end>
      <status>unmodified</status>
      <modifiedWord/>
      <trackRevisions>false</trackRevisions>
    </reviewItem>
    <reviewItem>
      <errorID>148bd086-5d78-49a0-b06c-f9e5754c748d</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14C3797E</paraID>
      <start>0</start>
      <end>2</end>
      <status>unmodified</status>
      <modifiedWord/>
      <trackRevisions>false</trackRevisions>
    </reviewItem>
    <reviewItem>
      <errorID>00c13498-3b5d-4fff-bc45-5f198265e6e4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AF8255D</paraID>
      <start>0</start>
      <end>2</end>
      <status>unmodified</status>
      <modifiedWord/>
      <trackRevisions>false</trackRevisions>
    </reviewItem>
    <reviewItem>
      <errorID>eee034c8-41de-40ad-8644-5c5d7ab859c8</errorID>
      <errorWord>实施</errorWord>
      <group>L1_AI</group>
      <groupName>深度校对</groupName>
      <ability>L2_AI_Word</ability>
      <abilityName>字词纠错</abilityName>
      <candidateList>
        <item>施行</item>
      </candidateList>
      <explain>〈动〉❶法令、规章等公布后从某时起发生效力；执行：本条例自公布之日起～。❷按照某种方式或办法去做；实行：～手术。</explain>
      <paraID> AF8255D</paraID>
      <start>28</start>
      <end>30</end>
      <status>unmodified</status>
      <modifiedWord/>
      <trackRevisions>false</trackRevisions>
    </reviewItem>
    <reviewItem>
      <errorID>15948f4e-104a-4554-b3a6-f15d63eb67fa</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6CBE226C</paraID>
      <start>0</start>
      <end>2</end>
      <status>unmodified</status>
      <modifiedWord/>
      <trackRevisions>false</trackRevisions>
    </reviewItem>
    <reviewItem>
      <errorID>14be9d6e-cf8b-4d4e-8a02-431df086ac62</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553B6791</paraID>
      <start>0</start>
      <end>2</end>
      <status>unmodified</status>
      <modifiedWord/>
      <trackRevisions>false</trackRevisions>
    </reviewItem>
    <reviewItem>
      <errorID>e58e28c7-8904-4357-b478-f3dce5741b64</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630119E3</paraID>
      <start>0</start>
      <end>2</end>
      <status>unmodified</status>
      <modifiedWord/>
      <trackRevisions>false</trackRevisions>
    </reviewItem>
    <reviewItem>
      <errorID>3e18b5bd-672a-431a-9aed-736f48e07c29</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3C4B0F1A</paraID>
      <start>0</start>
      <end>3</end>
      <status>unmodified</status>
      <modifiedWord/>
      <trackRevisions>false</trackRevisions>
    </reviewItem>
    <reviewItem>
      <errorID>8806aeff-4bed-4c4e-ba70-77392c37a5ea</errorID>
      <errorWord>2017</errorWord>
      <group>L1_AI</group>
      <groupName>深度校对</groupName>
      <ability>L2_AI_Punc</ability>
      <abilityName>标点纠错</abilityName>
      <candidateList>
        <item>，2017</item>
      </candidateList>
      <explain/>
      <paraID>3C4B0F1A</paraID>
      <start>21</start>
      <end>25</end>
      <status>unmodified</status>
      <modifiedWord/>
      <trackRevisions>false</trackRevisions>
    </reviewItem>
    <reviewItem>
      <errorID>628743d4-29dd-446c-bdd9-c7c5bbb49afd</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5F8BA08D</paraID>
      <start>0</start>
      <end>3</end>
      <status>unmodified</status>
      <modifiedWord/>
      <trackRevisions>false</trackRevisions>
    </reviewItem>
    <reviewItem>
      <errorID>c378ade6-9b60-4040-8aba-927f6a9f4b95</errorID>
      <errorWord>国</errorWord>
      <group>L1_AI</group>
      <groupName>深度校对</groupName>
      <ability>L2_AI_Punc</ability>
      <abilityName>标点纠错</abilityName>
      <candidateList>
        <item>（国</item>
      </candidateList>
      <explain/>
      <paraID>5F8BA08D</paraID>
      <start>24</start>
      <end>25</end>
      <status>unmodified</status>
      <modifiedWord/>
      <trackRevisions>false</trackRevisions>
    </reviewItem>
    <reviewItem>
      <errorID>a959e834-e5af-4ff9-87f0-68e408375bc9</errorID>
      <errorWord>[2015]17号</errorWord>
      <group>L1_Knowledge</group>
      <groupName>知识性问题</groupName>
      <ability>L2_Knowledge</ability>
      <abilityName>其他知识</abilityName>
      <candidateList>
        <item>〔2015〕17号</item>
      </candidateList>
      <explain>发文字号格式错误。</explain>
      <paraID>5F8BA08D</paraID>
      <start>26</start>
      <end>35</end>
      <status>unmodified</status>
      <modifiedWord/>
      <trackRevisions>false</trackRevisions>
    </reviewItem>
    <reviewItem>
      <errorID>06acf444-9b99-4c98-b089-28a69c351cb2</errorID>
      <errorWord>文</errorWord>
      <group>L1_AI</group>
      <groupName>深度校对</groupName>
      <ability>L2_AI_Word</ability>
      <abilityName>字词纠错</abilityName>
      <candidateList>
        <item>）</item>
      </candidateList>
      <explain/>
      <paraID>5F8BA08D</paraID>
      <start>35</start>
      <end>36</end>
      <status>unmodified</status>
      <modifiedWord/>
      <trackRevisions>false</trackRevisions>
    </reviewItem>
    <reviewItem>
      <errorID>2a8e113b-ff00-4637-b269-4bfc1fa8c527</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A9B275A</paraID>
      <start>0</start>
      <end>3</end>
      <status>unmodified</status>
      <modifiedWord/>
      <trackRevisions>false</trackRevisions>
    </reviewItem>
    <reviewItem>
      <errorID>9c25b688-230b-4b0a-bfee-2253bc2f6813</errorID>
      <errorWord>国</errorWord>
      <group>L1_AI</group>
      <groupName>深度校对</groupName>
      <ability>L2_AI_Punc</ability>
      <abilityName>标点纠错</abilityName>
      <candidateList>
        <item>（国</item>
      </candidateList>
      <explain/>
      <paraID> A9B275A</paraID>
      <start>25</start>
      <end>26</end>
      <status>unmodified</status>
      <modifiedWord/>
      <trackRevisions>false</trackRevisions>
    </reviewItem>
    <reviewItem>
      <errorID>50c694e2-2ee0-45f2-9efb-acb2b9043928</errorID>
      <errorWord>[2016]31号</errorWord>
      <group>L1_Knowledge</group>
      <groupName>知识性问题</groupName>
      <ability>L2_Knowledge</ability>
      <abilityName>其他知识</abilityName>
      <candidateList>
        <item>〔2016〕31号</item>
      </candidateList>
      <explain>发文字号格式错误。</explain>
      <paraID> A9B275A</paraID>
      <start>27</start>
      <end>36</end>
      <status>unmodified</status>
      <modifiedWord/>
      <trackRevisions>false</trackRevisions>
    </reviewItem>
    <reviewItem>
      <errorID>b7189077-2ca7-4f13-abf5-d4580030e23c</errorID>
      <errorWord>文</errorWord>
      <group>L1_AI</group>
      <groupName>深度校对</groupName>
      <ability>L2_AI_Word</ability>
      <abilityName>字词纠错</abilityName>
      <candidateList>
        <item>）</item>
      </candidateList>
      <explain/>
      <paraID> A9B275A</paraID>
      <start>36</start>
      <end>37</end>
      <status>unmodified</status>
      <modifiedWord/>
      <trackRevisions>false</trackRevisions>
    </reviewItem>
    <reviewItem>
      <errorID>55d5de6d-85c3-462f-9180-e56f7407f8dc</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7D417145</paraID>
      <start>0</start>
      <end>3</end>
      <status>unmodified</status>
      <modifiedWord/>
      <trackRevisions>false</trackRevisions>
    </reviewItem>
    <reviewItem>
      <errorID>1a0b5ca4-890e-48ae-9656-6b8bb801b44c</errorID>
      <errorWord>国务院</errorWord>
      <group>L1_AI</group>
      <groupName>深度校对</groupName>
      <ability>L2_AI_Grammar</ability>
      <abilityName>语法纠错</abilityName>
      <candidateList>
        <item>国务院令第</item>
      </candidateList>
      <explain/>
      <paraID>7D417145</paraID>
      <start>3</start>
      <end>6</end>
      <status>unmodified</status>
      <modifiedWord/>
      <trackRevisions>false</trackRevisions>
    </reviewItem>
    <reviewItem>
      <errorID>2923e328-5121-4ee0-b7aa-93c55e4ff095</errorID>
      <errorWord>号令</errorWord>
      <group>L1_AI</group>
      <groupName>深度校对</groupName>
      <ability>L2_AI_Grammar</ability>
      <abilityName>语法纠错</abilityName>
      <candidateList>
        <item>号</item>
      </candidateList>
      <explain/>
      <paraID>7D417145</paraID>
      <start>9</start>
      <end>11</end>
      <status>unmodified</status>
      <modifiedWord/>
      <trackRevisions>false</trackRevisions>
    </reviewItem>
    <reviewItem>
      <errorID>7a6ef88f-05e9-41d8-959b-0cbb027040ae</errorID>
      <errorWord>2013</errorWord>
      <group>L1_AI</group>
      <groupName>深度校对</groupName>
      <ability>L2_AI_Grammar</ability>
      <abilityName>语法纠错</abilityName>
      <candidateList>
        <item>自2013</item>
      </candidateList>
      <explain/>
      <paraID>7D417145</paraID>
      <start>35</start>
      <end>39</end>
      <status>unmodified</status>
      <modifiedWord/>
      <trackRevisions>false</trackRevisions>
    </reviewItem>
    <reviewItem>
      <errorID>ca7fa4ed-2374-4206-a7ee-5ab0890acf6a</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52A37281</paraID>
      <start>0</start>
      <end>3</end>
      <status>unmodified</status>
      <modifiedWord/>
      <trackRevisions>false</trackRevisions>
    </reviewItem>
    <reviewItem>
      <errorID>a8d0604e-2ced-4f52-a6a9-21f1b58cc452</errorID>
      <errorWord>中共中央国务院</errorWord>
      <group>L1_AI</group>
      <groupName>深度校对</groupName>
      <ability>L2_AI_Grammar</ability>
      <abilityName>语法纠错</abilityName>
      <candidateList>
        <item>《中共中央国务院</item>
      </candidateList>
      <explain/>
      <paraID>52A37281</paraID>
      <start>3</start>
      <end>10</end>
      <status>unmodified</status>
      <modifiedWord/>
      <trackRevisions>false</trackRevisions>
    </reviewItem>
    <reviewItem>
      <errorID>62b0e492-69ba-46ac-a623-36c1c0031e6a</errorID>
      <errorWord>污染防治攻坚站</errorWord>
      <group>L1_Political</group>
      <groupName>政治性问题</groupName>
      <ability>L2_Keyword</ability>
      <abilityName>固定表述</abilityName>
      <candidateList>
        <item>污染防治攻坚战</item>
      </candidateList>
      <explain>词汇“污染防治攻坚战”在特定场景下为固定表述形式，请确认此处的“污染防治攻坚站”是否存在不当。</explain>
      <paraID>52A37281</paraID>
      <start>16</start>
      <end>23</end>
      <status>unmodified</status>
      <modifiedWord/>
      <trackRevisions>false</trackRevisions>
    </reviewItem>
    <reviewItem>
      <errorID>0d888243-bf59-4bb6-983d-37bc3793f62b</errorID>
      <errorWord>，</errorWord>
      <group>L1_AI</group>
      <groupName>深度校对</groupName>
      <ability>L2_AI_Punc</ability>
      <abilityName>标点纠错</abilityName>
      <candidateList>
        <item>》，</item>
      </candidateList>
      <explain/>
      <paraID>52A37281</paraID>
      <start>26</start>
      <end>27</end>
      <status>unmodified</status>
      <modifiedWord/>
      <trackRevisions>false</trackRevisions>
    </reviewItem>
    <reviewItem>
      <errorID>27a12859-21b2-480e-bf9f-e0f2e02b048a</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636CA43D</paraID>
      <start>0</start>
      <end>3</end>
      <status>unmodified</status>
      <modifiedWord/>
      <trackRevisions>false</trackRevisions>
    </reviewItem>
    <reviewItem>
      <errorID>2c61639e-eafe-424d-9858-21271e52c752</errorID>
      <errorWord>（</errorWord>
      <group>L1_AI</group>
      <groupName>深度校对</groupName>
      <ability>L2_AI_Punc</ability>
      <abilityName>标点纠错</abilityName>
      <candidateList>
        <item/>
      </candidateList>
      <explain/>
      <paraID>636CA43D</paraID>
      <start>24</start>
      <end>25</end>
      <status>unmodified</status>
      <modifiedWord/>
      <trackRevisions>false</trackRevisions>
    </reviewItem>
    <reviewItem>
      <errorID>ea43edb3-aa14-4c95-91b2-2c2ea9556c93</errorID>
      <errorWord>（</errorWord>
      <group>L1_Punc</group>
      <groupName>标点问题</groupName>
      <ability>L2_Punc</ability>
      <abilityName>标点符号检查</abilityName>
      <candidateList/>
      <explain>同一形式括号套用。</explain>
      <paraID>636CA43D</paraID>
      <start>36</start>
      <end>37</end>
      <status>unmodified</status>
      <modifiedWord/>
      <trackRevisions>false</trackRevisions>
    </reviewItem>
    <reviewItem>
      <errorID>dd7c91f9-5477-4285-8813-ce246ba1f861</errorID>
      <errorWord>）</errorWord>
      <group>L1_Punc</group>
      <groupName>标点问题</groupName>
      <ability>L2_Punc</ability>
      <abilityName>标点符号检查</abilityName>
      <candidateList/>
      <explain>同一形式括号套用。</explain>
      <paraID>636CA43D</paraID>
      <start>43</start>
      <end>44</end>
      <status>unmodified</status>
      <modifiedWord/>
      <trackRevisions>false</trackRevisions>
    </reviewItem>
    <reviewItem>
      <errorID>8b0bdcd4-f18a-4999-bcde-c7d96d03e4ce</errorID>
      <errorWord>）</errorWord>
      <group>L1_AI</group>
      <groupName>深度校对</groupName>
      <ability>L2_AI_Punc</ability>
      <abilityName>标点纠错</abilityName>
      <candidateList>
        <item/>
      </candidateList>
      <explain/>
      <paraID>636CA43D</paraID>
      <start>45</start>
      <end>46</end>
      <status>unmodified</status>
      <modifiedWord/>
      <trackRevisions>false</trackRevisions>
    </reviewItem>
    <reviewItem>
      <errorID>8fc78953-d68d-4932-8411-262941d01c14</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59E5AF25</paraID>
      <start>0</start>
      <end>3</end>
      <status>unmodified</status>
      <modifiedWord/>
      <trackRevisions>false</trackRevisions>
    </reviewItem>
    <reviewItem>
      <errorID>34e803f6-811e-4cb4-ae85-1ea1cdc9025c</errorID>
      <errorWord>版</errorWord>
      <group>L1_AI</group>
      <groupName>深度校对</groupName>
      <ability>L2_AI_Grammar</ability>
      <abilityName>语法纠错</abilityName>
      <candidateList>
        <item>年版</item>
      </candidateList>
      <explain/>
      <paraID>59E5AF25</paraID>
      <start>35</start>
      <end>36</end>
      <status>unmodified</status>
      <modifiedWord/>
      <trackRevisions>false</trackRevisions>
    </reviewItem>
    <reviewItem>
      <errorID>23551553-85ef-4166-9035-22e4a910429c</errorID>
      <errorWord>2021</errorWord>
      <group>L1_AI</group>
      <groupName>深度校对</groupName>
      <ability>L2_AI_Grammar</ability>
      <abilityName>语法纠错</abilityName>
      <candidateList>
        <item>自2021</item>
      </candidateList>
      <explain/>
      <paraID>59E5AF25</paraID>
      <start>39</start>
      <end>43</end>
      <status>unmodified</status>
      <modifiedWord/>
      <trackRevisions>false</trackRevisions>
    </reviewItem>
    <reviewItem>
      <errorID>193af332-d38d-4863-979d-78ef3e0bcb50</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5B7D095D</paraID>
      <start>0</start>
      <end>3</end>
      <status>unmodified</status>
      <modifiedWord/>
      <trackRevisions>false</trackRevisions>
    </reviewItem>
    <reviewItem>
      <errorID>409ab38a-c940-43a2-a57f-843dc8f1ba3f</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34E5C33D</paraID>
      <start>0</start>
      <end>3</end>
      <status>unmodified</status>
      <modifiedWord/>
      <trackRevisions>false</trackRevisions>
    </reviewItem>
    <reviewItem>
      <errorID>b36f3bc6-2f90-4ead-86b3-500809ed83c9</errorID>
      <errorWord>实施</errorWord>
      <group>L1_AI</group>
      <groupName>深度校对</groupName>
      <ability>L2_AI_Grammar</ability>
      <abilityName>语法纠错</abilityName>
      <candidateList>
        <item>日施行</item>
      </candidateList>
      <explain/>
      <paraID>34E5C33D</paraID>
      <start>52</start>
      <end>54</end>
      <status>unmodified</status>
      <modifiedWord/>
      <trackRevisions>false</trackRevisions>
    </reviewItem>
    <reviewItem>
      <errorID>8aa78a9a-946e-4d2b-b12a-7836cda31f13</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1712765</paraID>
      <start>0</start>
      <end>3</end>
      <status>unmodified</status>
      <modifiedWord/>
      <trackRevisions>false</trackRevisions>
    </reviewItem>
    <reviewItem>
      <errorID>6887ba00-a5cd-4f8d-8d12-ecb0a619645d</errorID>
      <errorWord>15</errorWord>
      <group>L1_AI</group>
      <groupName>深度校对</groupName>
      <ability>L2_AI_Grammar</ability>
      <abilityName>语法纠错</abilityName>
      <candidateList>
        <item>第15</item>
      </candidateList>
      <explain/>
      <paraID> 1712765</paraID>
      <start>9</start>
      <end>11</end>
      <status>unmodified</status>
      <modifiedWord/>
      <trackRevisions>false</trackRevisions>
    </reviewItem>
    <reviewItem>
      <errorID>09e846fc-d3c9-42e7-a80f-d48b0bbd3177</errorID>
      <errorWord>2021</errorWord>
      <group>L1_AI</group>
      <groupName>深度校对</groupName>
      <ability>L2_AI_Grammar</ability>
      <abilityName>语法纠错</abilityName>
      <candidateList>
        <item>自2021</item>
      </candidateList>
      <explain/>
      <paraID> 1712765</paraID>
      <start>31</start>
      <end>35</end>
      <status>unmodified</status>
      <modifiedWord/>
      <trackRevisions>false</trackRevisions>
    </reviewItem>
    <reviewItem>
      <errorID>5714f25e-df58-4811-b5de-3bc6775b92a5</errorID>
      <errorWord>20、</errorWord>
      <group>L1_Format</group>
      <groupName>格式问题</groupName>
      <ability>L2_Ordinal</ability>
      <abilityName>序号格式</abilityName>
      <candidateList>
        <item>20.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6D010CB4</paraID>
      <start>0</start>
      <end>3</end>
      <status>unmodified</status>
      <modifiedWord/>
      <trackRevisions>false</trackRevisions>
    </reviewItem>
    <reviewItem>
      <errorID>f373cf66-448a-4c76-bea2-3b6b3c23afcf</errorID>
      <errorWord>21、</errorWord>
      <group>L1_Format</group>
      <groupName>格式问题</groupName>
      <ability>L2_Ordinal</ability>
      <abilityName>序号格式</abilityName>
      <candidateList>
        <item>21.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5C514C60</paraID>
      <start>0</start>
      <end>3</end>
      <status>unmodified</status>
      <modifiedWord/>
      <trackRevisions>false</trackRevisions>
    </reviewItem>
    <reviewItem>
      <errorID>0388fcf2-0e86-4161-830f-72b8a8b7f396</errorID>
      <errorWord>[2018]11号</errorWord>
      <group>L1_Knowledge</group>
      <groupName>知识性问题</groupName>
      <ability>L2_Knowledge</ability>
      <abilityName>其他知识</abilityName>
      <candidateList>
        <item>〔2018〕11号</item>
      </candidateList>
      <explain>发文字号格式错误。</explain>
      <paraID>5C514C60</paraID>
      <start>34</start>
      <end>43</end>
      <status>unmodified</status>
      <modifiedWord/>
      <trackRevisions>false</trackRevisions>
    </reviewItem>
    <reviewItem>
      <errorID>991cf944-c5da-4173-aebf-85ed94cb48af</errorID>
      <errorWord>22、</errorWord>
      <group>L1_Format</group>
      <groupName>格式问题</groupName>
      <ability>L2_Ordinal</ability>
      <abilityName>序号格式</abilityName>
      <candidateList>
        <item>22.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35EBF556</paraID>
      <start>0</start>
      <end>3</end>
      <status>unmodified</status>
      <modifiedWord/>
      <trackRevisions>false</trackRevisions>
    </reviewItem>
    <reviewItem>
      <errorID>b19c0bf9-c0a6-4d45-b669-1612eaac2188</errorID>
      <errorWord>[2019]53号</errorWord>
      <group>L1_Knowledge</group>
      <groupName>知识性问题</groupName>
      <ability>L2_Knowledge</ability>
      <abilityName>其他知识</abilityName>
      <candidateList>
        <item>〔2019〕53号</item>
      </candidateList>
      <explain>发文字号格式错误。</explain>
      <paraID>35EBF556</paraID>
      <start>11</start>
      <end>20</end>
      <status>unmodified</status>
      <modifiedWord/>
      <trackRevisions>false</trackRevisions>
    </reviewItem>
    <reviewItem>
      <errorID>8deb1e3d-a7f8-4664-9d9c-9ab87457be67</errorID>
      <errorWord>关于</errorWord>
      <group>L1_AI</group>
      <groupName>深度校对</groupName>
      <ability>L2_AI_Punc</ability>
      <abilityName>标点纠错</abilityName>
      <candidateList>
        <item>《关于</item>
      </candidateList>
      <explain/>
      <paraID>35EBF556</paraID>
      <start>20</start>
      <end>22</end>
      <status>unmodified</status>
      <modifiedWord/>
      <trackRevisions>false</trackRevisions>
    </reviewItem>
    <reviewItem>
      <errorID>1eee91bb-74af-49a6-812b-29a8a9d1d470</errorID>
      <errorWord>《</errorWord>
      <group>L1_AI</group>
      <groupName>深度校对</groupName>
      <ability>L2_AI_Punc</ability>
      <abilityName>标点纠错</abilityName>
      <candidateList>
        <item>〈</item>
      </candidateList>
      <explain/>
      <paraID>35EBF556</paraID>
      <start>24</start>
      <end>25</end>
      <status>unmodified</status>
      <modifiedWord/>
      <trackRevisions>false</trackRevisions>
    </reviewItem>
    <reviewItem>
      <errorID>835bda21-bed6-4a98-8759-645b4f3feb44</errorID>
      <errorWord>》</errorWord>
      <group>L1_AI</group>
      <groupName>深度校对</groupName>
      <ability>L2_AI_Punc</ability>
      <abilityName>标点纠错</abilityName>
      <candidateList>
        <item>〉</item>
      </candidateList>
      <explain/>
      <paraID>35EBF556</paraID>
      <start>41</start>
      <end>42</end>
      <status>unmodified</status>
      <modifiedWord/>
      <trackRevisions>false</trackRevisions>
    </reviewItem>
    <reviewItem>
      <errorID>4a213c72-c525-4246-8bba-28bfee8f1b38</errorID>
      <errorWord>，</errorWord>
      <group>L1_AI</group>
      <groupName>深度校对</groupName>
      <ability>L2_AI_Punc</ability>
      <abilityName>标点纠错</abilityName>
      <candidateList>
        <item>》，</item>
      </candidateList>
      <explain/>
      <paraID>35EBF556</paraID>
      <start>45</start>
      <end>46</end>
      <status>unmodified</status>
      <modifiedWord/>
      <trackRevisions>false</trackRevisions>
    </reviewItem>
    <reviewItem>
      <errorID>0e82a4aa-8a51-4c3b-ab84-f84be81d6a3a</errorID>
      <errorWord>23、</errorWord>
      <group>L1_Format</group>
      <groupName>格式问题</groupName>
      <ability>L2_Ordinal</ability>
      <abilityName>序号格式</abilityName>
      <candidateList>
        <item>23.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382FC4C0</paraID>
      <start>0</start>
      <end>3</end>
      <status>unmodified</status>
      <modifiedWord/>
      <trackRevisions>false</trackRevisions>
    </reviewItem>
    <reviewItem>
      <errorID>089772b4-6234-4b62-8d26-317b218b792b</errorID>
      <errorWord>（2020）36号</errorWord>
      <group>L1_Knowledge</group>
      <groupName>知识性问题</groupName>
      <ability>L2_Knowledge</ability>
      <abilityName>其他知识</abilityName>
      <candidateList>
        <item>〔2020〕36号</item>
      </candidateList>
      <explain>发文字号格式错误。</explain>
      <paraID>382FC4C0</paraID>
      <start>19</start>
      <end>28</end>
      <status>unmodified</status>
      <modifiedWord/>
      <trackRevisions>false</trackRevisions>
    </reviewItem>
    <reviewItem>
      <errorID>5d2afdb9-bf1d-4017-9b07-6c209fd951a1</errorID>
      <errorWord>24、</errorWord>
      <group>L1_Format</group>
      <groupName>格式问题</groupName>
      <ability>L2_Ordinal</ability>
      <abilityName>序号格式</abilityName>
      <candidateList>
        <item>24.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1B9BD1CB</paraID>
      <start>0</start>
      <end>3</end>
      <status>unmodified</status>
      <modifiedWord/>
      <trackRevisions>false</trackRevisions>
    </reviewItem>
    <reviewItem>
      <errorID>d810bd34-9579-4adb-af0a-f227e11940ec</errorID>
      <errorWord>令[2015]</errorWord>
      <group>L1_AI</group>
      <groupName>深度校对</groupName>
      <ability>L2_AI_Grammar</ability>
      <abilityName>语法纠错</abilityName>
      <candidateList>
        <item>令</item>
      </candidateList>
      <explain>小令（多用于词调、曲调名）：如梦～｜叨叨～｜十六字～。</explain>
      <paraID>1B9BD1CB</paraID>
      <start>8</start>
      <end>15</end>
      <status>unmodified</status>
      <modifiedWord/>
      <trackRevisions>false</trackRevisions>
    </reviewItem>
    <reviewItem>
      <errorID>04f0d0e9-11b8-4c72-ad27-bd8fe9731ccf</errorID>
      <errorWord>号令</errorWord>
      <group>L1_AI</group>
      <groupName>深度校对</groupName>
      <ability>L2_AI_Grammar</ability>
      <abilityName>语法纠错</abilityName>
      <candidateList>
        <item>号</item>
      </candidateList>
      <explain/>
      <paraID>1B9BD1CB</paraID>
      <start>18</start>
      <end>20</end>
      <status>unmodified</status>
      <modifiedWord/>
      <trackRevisions>false</trackRevisions>
    </reviewItem>
    <reviewItem>
      <errorID>4684af7b-d666-4c77-ba61-577eb45dad4a</errorID>
      <errorWord>地方法规</errorWord>
      <group>L1_Political</group>
      <groupName>政治性问题</groupName>
      <ability>L2_Unpolitical</ability>
      <abilityName>政治敏感错误</abilityName>
      <candidateList>
        <item>地方性法规</item>
      </candidateList>
      <explain/>
      <paraID>43CC1CA2</paraID>
      <start>6</start>
      <end>10</end>
      <status>unmodified</status>
      <modifiedWord/>
      <trackRevisions>false</trackRevisions>
    </reviewItem>
    <reviewItem>
      <errorID>110ec758-7360-4ed0-83b0-22d321d46a07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8733C0F</paraID>
      <start>0</start>
      <end>2</end>
      <status>unmodified</status>
      <modifiedWord/>
      <trackRevisions>false</trackRevisions>
    </reviewItem>
    <reviewItem>
      <errorID>560df593-a3a6-4ba5-84e0-06b60f2c5b29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47D3D0AF</paraID>
      <start>0</start>
      <end>2</end>
      <status>unmodified</status>
      <modifiedWord/>
      <trackRevisions>false</trackRevisions>
    </reviewItem>
    <reviewItem>
      <errorID>95bf5fcb-8d53-4c18-9ce9-3a14e8441e6e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23F99D1F</paraID>
      <start>0</start>
      <end>2</end>
      <status>unmodified</status>
      <modifiedWord/>
      <trackRevisions>false</trackRevisions>
    </reviewItem>
    <reviewItem>
      <errorID>f6aa9189-0655-4735-be97-9aa87259ab10</errorID>
      <errorWord>《安徽省人民政府办公厅</errorWord>
      <group>L1_AI</group>
      <groupName>深度校对</groupName>
      <ability>L2_AI_Grammar</ability>
      <abilityName>语法纠错</abilityName>
      <candidateList>
        <item>《</item>
      </candidateList>
      <explain/>
      <paraID>23F99D1F</paraID>
      <start>12</start>
      <end>23</end>
      <status>unmodified</status>
      <modifiedWord/>
      <trackRevisions>false</trackRevisions>
    </reviewItem>
    <reviewItem>
      <errorID>4e0b077f-ecc1-4f3e-96fc-7c5602acf27d</errorID>
      <errorWord>(</errorWord>
      <group>L1_Format</group>
      <groupName>格式问题</groupName>
      <ability>L2_HalfPunc</ability>
      <abilityName>全半角检查</abilityName>
      <candidateList>
        <item>（</item>
      </candidateList>
      <explain>文本全半角错误。</explain>
      <paraID>23F99D1F</paraID>
      <start>43</start>
      <end>44</end>
      <status>unmodified</status>
      <modifiedWord/>
      <trackRevisions>false</trackRevisions>
    </reviewItem>
    <reviewItem>
      <errorID>a9509e25-f12a-4579-94db-628177d4d185</errorID>
      <errorWord>[2011]27号</errorWord>
      <group>L1_Knowledge</group>
      <groupName>知识性问题</groupName>
      <ability>L2_Knowledge</ability>
      <abilityName>其他知识</abilityName>
      <candidateList>
        <item>〔2011〕27号</item>
      </candidateList>
      <explain>发文字号格式错误。</explain>
      <paraID>23F99D1F</paraID>
      <start>47</start>
      <end>56</end>
      <status>unmodified</status>
      <modifiedWord/>
      <trackRevisions>false</trackRevisions>
    </reviewItem>
    <reviewItem>
      <errorID>a1c148e4-223a-4695-b83c-c99e4f782fb8</errorID>
      <errorWord>，</errorWord>
      <group>L1_AI</group>
      <groupName>深度校对</groupName>
      <ability>L2_AI_Punc</ability>
      <abilityName>标点纠错</abilityName>
      <candidateList>
        <item>），</item>
      </candidateList>
      <explain/>
      <paraID>23F99D1F</paraID>
      <start>56</start>
      <end>57</end>
      <status>unmodified</status>
      <modifiedWord/>
      <trackRevisions>false</trackRevisions>
    </reviewItem>
    <reviewItem>
      <errorID>192342a7-08fc-430c-9add-76400ae1c861</errorID>
      <errorWord>)</errorWord>
      <group>L1_Format</group>
      <groupName>格式问题</groupName>
      <ability>L2_HalfPunc</ability>
      <abilityName>全半角检查</abilityName>
      <candidateList>
        <item>）</item>
      </candidateList>
      <explain>文本全半角错误。</explain>
      <paraID>23F99D1F</paraID>
      <start>64</start>
      <end>65</end>
      <status>unmodified</status>
      <modifiedWord/>
      <trackRevisions>false</trackRevisions>
    </reviewItem>
    <reviewItem>
      <errorID>4124789a-afab-45f2-9b2b-3d25aeb9c02f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3A0D760B</paraID>
      <start>0</start>
      <end>2</end>
      <status>unmodified</status>
      <modifiedWord/>
      <trackRevisions>false</trackRevisions>
    </reviewItem>
    <reviewItem>
      <errorID>4f08767b-b917-43c2-93ea-164b5df6f5ad</errorID>
      <errorWord>[2012]57号</errorWord>
      <group>L1_Knowledge</group>
      <groupName>知识性问题</groupName>
      <ability>L2_Knowledge</ability>
      <abilityName>其他知识</abilityName>
      <candidateList>
        <item>〔2012〕57号</item>
      </candidateList>
      <explain>发文字号格式错误。</explain>
      <paraID>3A0D760B</paraID>
      <start>35</start>
      <end>44</end>
      <status>unmodified</status>
      <modifiedWord/>
      <trackRevisions>false</trackRevisions>
    </reviewItem>
    <reviewItem>
      <errorID>0cee1a0d-e6ae-4c2d-96ed-af771fc79a19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31765E49</paraID>
      <start>0</start>
      <end>2</end>
      <status>unmodified</status>
      <modifiedWord/>
      <trackRevisions>false</trackRevisions>
    </reviewItem>
    <reviewItem>
      <errorID>cbe7de8b-856c-4c45-a851-2ea3f6d2ecd0</errorID>
      <errorWord>2013（</errorWord>
      <group>L1_AI</group>
      <groupName>深度校对</groupName>
      <ability>L2_AI_Punc</ability>
      <abilityName>标点纠错</abilityName>
      <candidateList>
        <item>〔2013〕</item>
      </candidateList>
      <explain/>
      <paraID>31765E49</paraID>
      <start>11</start>
      <end>16</end>
      <status>unmodified</status>
      <modifiedWord/>
      <trackRevisions>false</trackRevisions>
    </reviewItem>
    <reviewItem>
      <errorID>f71e027b-9d16-443d-bab5-0444e636ebbe</errorID>
      <errorWord>）</errorWord>
      <group>L1_AI</group>
      <groupName>深度校对</groupName>
      <ability>L2_AI_Punc</ability>
      <abilityName>标点纠错</abilityName>
      <candidateList>
        <item/>
      </candidateList>
      <explain/>
      <paraID>31765E49</paraID>
      <start>18</start>
      <end>19</end>
      <status>unmodified</status>
      <modifiedWord/>
      <trackRevisions>false</trackRevisions>
    </reviewItem>
    <reviewItem>
      <errorID>184372f3-15f5-425f-8d87-105b09a39cf0</errorID>
      <errorWord>“关于印发安徽省大气污染防治行动计划实施方案的通知”</errorWord>
      <group>L1_AI</group>
      <groupName>深度校对</groupName>
      <ability>L2_AI_Punc</ability>
      <abilityName>标点纠错</abilityName>
      <candidateList>
        <item>《关于印发安徽省大气污染防治行动计划实施方案的通知》</item>
      </candidateList>
      <explain/>
      <paraID>31765E49</paraID>
      <start>20</start>
      <end>46</end>
      <status>unmodified</status>
      <modifiedWord/>
      <trackRevisions>false</trackRevisions>
    </reviewItem>
    <reviewItem>
      <errorID>6ee63ced-2dcd-4ac5-8a37-a0d0a2a8e001</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250BEBA4</paraID>
      <start>0</start>
      <end>2</end>
      <status>unmodified</status>
      <modifiedWord/>
      <trackRevisions>false</trackRevisions>
    </reviewItem>
    <reviewItem>
      <errorID>3879c00f-273a-43ef-97e2-cdcd2f4f3ab6</errorID>
      <errorWord>（2006）113号</errorWord>
      <group>L1_Knowledge</group>
      <groupName>知识性问题</groupName>
      <ability>L2_Knowledge</ability>
      <abilityName>其他知识</abilityName>
      <candidateList>
        <item>〔2006〕113号</item>
      </candidateList>
      <explain>发文字号格式错误。</explain>
      <paraID>250BEBA4</paraID>
      <start>10</start>
      <end>20</end>
      <status>unmodified</status>
      <modifiedWord/>
      <trackRevisions>false</trackRevisions>
    </reviewItem>
    <reviewItem>
      <errorID>c00d69e4-25d2-4c89-ad59-a0f2bf03af86</errorID>
      <errorWord>文“</errorWord>
      <group>L1_AI</group>
      <groupName>深度校对</groupName>
      <ability>L2_AI_Grammar</ability>
      <abilityName>语法纠错</abilityName>
      <candidateList>
        <item>《关于</item>
      </candidateList>
      <explain/>
      <paraID>250BEBA4</paraID>
      <start>20</start>
      <end>22</end>
      <status>unmodified</status>
      <modifiedWord/>
      <trackRevisions>false</trackRevisions>
    </reviewItem>
    <reviewItem>
      <errorID>93ac1141-ce7b-4230-b11c-420f3fa74d98</errorID>
      <errorWord>《</errorWord>
      <group>L1_AI</group>
      <groupName>深度校对</groupName>
      <ability>L2_AI_Punc</ability>
      <abilityName>标点纠错</abilityName>
      <candidateList>
        <item>〈</item>
      </candidateList>
      <explain/>
      <paraID>250BEBA4</paraID>
      <start>24</start>
      <end>25</end>
      <status>unmodified</status>
      <modifiedWord/>
      <trackRevisions>false</trackRevisions>
    </reviewItem>
    <reviewItem>
      <errorID>dcca3f2e-52a2-43a4-854a-1e631a9a7dd9</errorID>
      <errorWord>》</errorWord>
      <group>L1_AI</group>
      <groupName>深度校对</groupName>
      <ability>L2_AI_Punc</ability>
      <abilityName>标点纠错</abilityName>
      <candidateList>
        <item>〉</item>
      </candidateList>
      <explain/>
      <paraID>250BEBA4</paraID>
      <start>50</start>
      <end>51</end>
      <status>unmodified</status>
      <modifiedWord/>
      <trackRevisions>false</trackRevisions>
    </reviewItem>
    <reviewItem>
      <errorID>5aef9a64-56a9-4e25-9e89-13779e6bd4e6</errorID>
      <errorWord>”</errorWord>
      <group>L1_AI</group>
      <groupName>深度校对</groupName>
      <ability>L2_AI_Punc</ability>
      <abilityName>标点纠错</abilityName>
      <candidateList>
        <item>》</item>
      </candidateList>
      <explain/>
      <paraID>250BEBA4</paraID>
      <start>54</start>
      <end>55</end>
      <status>unmodified</status>
      <modifiedWord/>
      <trackRevisions>false</trackRevisions>
    </reviewItem>
    <reviewItem>
      <errorID>d94e8f42-7c58-44cc-ae3f-c0410161b99f</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39F821FF</paraID>
      <start>0</start>
      <end>2</end>
      <status>unmodified</status>
      <modifiedWord/>
      <trackRevisions>false</trackRevisions>
    </reviewItem>
    <reviewItem>
      <errorID>8ea1e09c-9957-4ce7-b264-7b9e55553a1f</errorID>
      <errorWord>[2012]946号</errorWord>
      <group>L1_Knowledge</group>
      <groupName>知识性问题</groupName>
      <ability>L2_Knowledge</ability>
      <abilityName>其他知识</abilityName>
      <candidateList>
        <item>〔2012〕946号</item>
      </candidateList>
      <explain>发文字号格式错误。</explain>
      <paraID>39F821FF</paraID>
      <start>11</start>
      <end>21</end>
      <status>unmodified</status>
      <modifiedWord/>
      <trackRevisions>false</trackRevisions>
    </reviewItem>
    <reviewItem>
      <errorID>46db1068-3bc9-4b79-9292-6a0801c9aaa9</errorID>
      <errorWord>影响</errorWord>
      <group>L1_AI</group>
      <groupName>深度校对</groupName>
      <ability>L2_AI_Grammar</ability>
      <abilityName>语法纠错</abilityName>
      <candidateList>
        <item>环境影响</item>
      </candidateList>
      <explain/>
      <paraID>39F821FF</paraID>
      <start>34</start>
      <end>36</end>
      <status>unmodified</status>
      <modifiedWord/>
      <trackRevisions>false</trackRevisions>
    </reviewItem>
    <reviewItem>
      <errorID>6ce3db0f-f6af-4033-ad8e-d9c41e3407fd</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7F3D109F</paraID>
      <start>0</start>
      <end>2</end>
      <status>unmodified</status>
      <modifiedWord/>
      <trackRevisions>false</trackRevisions>
    </reviewItem>
    <reviewItem>
      <errorID>3a6c3eda-5f5f-47ed-ad67-6dddf0332db8</errorID>
      <errorWord>《</errorWord>
      <group>L1_AI</group>
      <groupName>深度校对</groupName>
      <ability>L2_AI_Grammar</ability>
      <abilityName>语法纠错</abilityName>
      <candidateList>
        <item>令第4号《</item>
      </candidateList>
      <explain/>
      <paraID>7F3D109F</paraID>
      <start>7</start>
      <end>8</end>
      <status>unmodified</status>
      <modifiedWord/>
      <trackRevisions>false</trackRevisions>
    </reviewItem>
    <reviewItem>
      <errorID>d8a724f2-eced-49fc-a211-09e23a0bc205</errorID>
      <errorWord>（部令第4号），</errorWord>
      <group>L1_AI</group>
      <groupName>深度校对</groupName>
      <ability>L2_AI_Grammar</ability>
      <abilityName>语法纠错</abilityName>
      <candidateList>
        <item>，自</item>
      </candidateList>
      <explain/>
      <paraID>7F3D109F</paraID>
      <start>21</start>
      <end>29</end>
      <status>unmodified</status>
      <modifiedWord/>
      <trackRevisions>false</trackRevisions>
    </reviewItem>
    <reviewItem>
      <errorID>82875673-e43b-4b83-b8d6-997caebf68cc</errorID>
      <errorWord>施行</errorWord>
      <group>L1_AI</group>
      <groupName>深度校对</groupName>
      <ability>L2_AI_Grammar</ability>
      <abilityName>语法纠错</abilityName>
      <candidateList>
        <item>起施行</item>
      </candidateList>
      <explain/>
      <paraID>7F3D109F</paraID>
      <start>38</start>
      <end>40</end>
      <status>unmodified</status>
      <modifiedWord/>
      <trackRevisions>false</trackRevisions>
    </reviewItem>
    <reviewItem>
      <errorID>b08c7397-d592-4f2a-888e-72fe0d58243c</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574A9312</paraID>
      <start>0</start>
      <end>2</end>
      <status>unmodified</status>
      <modifiedWord/>
      <trackRevisions>false</trackRevisions>
    </reviewItem>
    <reviewItem>
      <errorID>4ecc7452-cbec-4ca4-aa71-83278ee4b100</errorID>
      <errorWord>《</errorWord>
      <group>L1_AI</group>
      <groupName>深度校对</groupName>
      <ability>L2_AI_Punc</ability>
      <abilityName>标点纠错</abilityName>
      <candidateList>
        <item/>
      </candidateList>
      <explain/>
      <paraID>574A9312</paraID>
      <start>2</start>
      <end>3</end>
      <status>unmodified</status>
      <modifiedWord/>
      <trackRevisions>false</trackRevisions>
    </reviewItem>
    <reviewItem>
      <errorID>9edb6c35-275b-4823-899f-546859bb9708</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62F8F77F</paraID>
      <start>0</start>
      <end>3</end>
      <status>unmodified</status>
      <modifiedWord/>
      <trackRevisions>false</trackRevisions>
    </reviewItem>
    <reviewItem>
      <errorID>9f1ff5b5-7128-4244-bd67-451558955917</errorID>
      <errorWord> </errorWord>
      <group>L1_AI</group>
      <groupName>深度校对</groupName>
      <ability>L2_AI_Punc</ability>
      <abilityName>标点纠错</abilityName>
      <candidateList>
        <item/>
      </candidateList>
      <explain>此处空格冗余，建议删除。</explain>
      <paraID>62F8F77F</paraID>
      <start>19</start>
      <end>20</end>
      <status>unmodified</status>
      <modifiedWord/>
      <trackRevisions>false</trackRevisions>
    </reviewItem>
    <reviewItem>
      <errorID>4ecd78a8-d9a8-4592-b8cd-63eed1d8d696</errorID>
      <errorWord>[2021]4号</errorWord>
      <group>L1_Knowledge</group>
      <groupName>知识性问题</groupName>
      <ability>L2_Knowledge</ability>
      <abilityName>其他知识</abilityName>
      <candidateList>
        <item>〔2021〕4号</item>
      </candidateList>
      <explain>发文字号格式错误。</explain>
      <paraID>62F8F77F</paraID>
      <start>24</start>
      <end>32</end>
      <status>unmodified</status>
      <modifiedWord/>
      <trackRevisions>false</trackRevisions>
    </reviewItem>
    <reviewItem>
      <errorID>5f84f321-c1e7-470d-9ef7-3d4dd09c3014</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27A0106</paraID>
      <start>0</start>
      <end>3</end>
      <status>unmodified</status>
      <modifiedWord/>
      <trackRevisions>false</trackRevisions>
    </reviewItem>
    <reviewItem>
      <errorID>055a76b9-5694-4705-9791-06517ca26667</errorID>
      <errorWord>淮北市人民政府关于印发淮北市大气污染防治行动计划的通知</errorWord>
      <group>L1_AI</group>
      <groupName>深度校对</groupName>
      <ability>L2_AI_Punc</ability>
      <abilityName>标点纠错</abilityName>
      <candidateList>
        <item>《淮北市人民政府关于印发淮北市大气污染防治行动计划的通知》</item>
      </candidateList>
      <explain/>
      <paraID> 27A0106</paraID>
      <start>3</start>
      <end>30</end>
      <status>unmodified</status>
      <modifiedWord/>
      <trackRevisions>false</trackRevisions>
    </reviewItem>
    <reviewItem>
      <errorID>fd1f6d6e-8108-47cd-ac57-13f570d95c1d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38AD4D30</paraID>
      <start>0</start>
      <end>2</end>
      <status>unmodified</status>
      <modifiedWord/>
      <trackRevisions>false</trackRevisions>
    </reviewItem>
    <reviewItem>
      <errorID>b3457750-4bdd-4f2b-ba5c-78e9d40ca644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6B76F8A9</paraID>
      <start>0</start>
      <end>2</end>
      <status>unmodified</status>
      <modifiedWord/>
      <trackRevisions>false</trackRevisions>
    </reviewItem>
    <reviewItem>
      <errorID>735a54cc-76a7-46ff-9182-e810e489ed32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4E2E5D83</paraID>
      <start>0</start>
      <end>2</end>
      <status>unmodified</status>
      <modifiedWord/>
      <trackRevisions>false</trackRevisions>
    </reviewItem>
    <reviewItem>
      <errorID>94611ea6-927e-45d4-af04-449c2b59104b</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63C636A4</paraID>
      <start>0</start>
      <end>2</end>
      <status>unmodified</status>
      <modifiedWord/>
      <trackRevisions>false</trackRevisions>
    </reviewItem>
    <reviewItem>
      <errorID>0da7356a-9196-41bf-a2cf-6a401e775307</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462B196E</paraID>
      <start>0</start>
      <end>2</end>
      <status>unmodified</status>
      <modifiedWord/>
      <trackRevisions>false</trackRevisions>
    </reviewItem>
    <reviewItem>
      <errorID>c878757e-92be-455a-8f0d-c728c1779f86</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7E7B615B</paraID>
      <start>0</start>
      <end>2</end>
      <status>unmodified</status>
      <modifiedWord/>
      <trackRevisions>false</trackRevisions>
    </reviewItem>
    <reviewItem>
      <errorID>4413e169-03ae-4db2-94e9-1cc83b77a029</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5E52DC70</paraID>
      <start>0</start>
      <end>2</end>
      <status>unmodified</status>
      <modifiedWord/>
      <trackRevisions>false</trackRevisions>
    </reviewItem>
    <reviewItem>
      <errorID>1794addf-d88c-4fc1-91f8-d93262ddd292</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3D6E000E</paraID>
      <start>0</start>
      <end>2</end>
      <status>unmodified</status>
      <modifiedWord/>
      <trackRevisions>false</trackRevisions>
    </reviewItem>
    <reviewItem>
      <errorID>6d90aabf-e25b-4be9-908b-77c2b8edf81c</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4004FA91</paraID>
      <start>0</start>
      <end>2</end>
      <status>unmodified</status>
      <modifiedWord/>
      <trackRevisions>false</trackRevisions>
    </reviewItem>
    <reviewItem>
      <errorID>23872262-cc9a-4242-a76d-3bd7ac33176f</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10F172CF</paraID>
      <start>0</start>
      <end>3</end>
      <status>unmodified</status>
      <modifiedWord/>
      <trackRevisions>false</trackRevisions>
    </reviewItem>
    <reviewItem>
      <errorID>adbce8ef-fce0-4f3f-8848-7887a3731fd8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1251CCD4</paraID>
      <start>0</start>
      <end>2</end>
      <status>unmodified</status>
      <modifiedWord/>
      <trackRevisions>false</trackRevisions>
    </reviewItem>
    <reviewItem>
      <errorID>7599a1be-6c7d-4480-95b1-a200452b3573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1251CCD4</paraID>
      <start>22</start>
      <end>23</end>
      <status>unmodified</status>
      <modifiedWord/>
      <trackRevisions>false</trackRevisions>
    </reviewItem>
    <reviewItem>
      <errorID>e6f093e3-66e0-4b8c-a949-987164dff135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672B8EDF</paraID>
      <start>0</start>
      <end>2</end>
      <status>unmodified</status>
      <modifiedWord/>
      <trackRevisions>false</trackRevisions>
    </reviewItem>
    <reviewItem>
      <errorID>fcf0a8a8-8cb8-4bd3-b721-91a256c86b18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D14E126</paraID>
      <start>0</start>
      <end>2</end>
      <status>unmodified</status>
      <modifiedWord/>
      <trackRevisions>false</trackRevisions>
    </reviewItem>
    <reviewItem>
      <errorID>30a38eb4-824a-4694-b9b8-808dc493a1ed</errorID>
      <errorWord>[2018]40号</errorWord>
      <group>L1_Knowledge</group>
      <groupName>知识性问题</groupName>
      <ability>L2_Knowledge</ability>
      <abilityName>其他知识</abilityName>
      <candidateList>
        <item>〔2018〕40号</item>
      </candidateList>
      <explain>发文字号格式错误。</explain>
      <paraID> D14E126</paraID>
      <start>45</start>
      <end>54</end>
      <status>unmodified</status>
      <modifiedWord/>
      <trackRevisions>false</trackRevisions>
    </reviewItem>
    <reviewItem>
      <errorID>d0a273fd-c886-4340-b419-addbbcd7df28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750E2400</paraID>
      <start>0</start>
      <end>2</end>
      <status>unmodified</status>
      <modifiedWord/>
      <trackRevisions>false</trackRevisions>
    </reviewItem>
    <reviewItem>
      <errorID>0fabd499-16b4-4238-964b-1e4c2deab965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3A8812DB</paraID>
      <start>0</start>
      <end>2</end>
      <status>unmodified</status>
      <modifiedWord/>
      <trackRevisions>false</trackRevisions>
    </reviewItem>
    <reviewItem>
      <errorID>8833b742-5131-4b8a-8bc6-e96f32c0e374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114822F8</paraID>
      <start>0</start>
      <end>2</end>
      <status>unmodified</status>
      <modifiedWord/>
      <trackRevisions>false</trackRevisions>
    </reviewItem>
    <reviewItem>
      <errorID>06384868-12d9-48ce-a578-1455848911bd</errorID>
      <errorWord>其它影响</errorWord>
      <group>L1_Word</group>
      <groupName>字词问题</groupName>
      <ability>L2_Alias</ability>
      <abilityName>也作/曾用词</abilityName>
      <candidateList>
        <item>其他影响</item>
      </candidateList>
      <explain>词汇[其它影响]为不规范表述或旧称，其规范书面表述为[其他影响]。</explain>
      <paraID>44984458</paraID>
      <start>79</start>
      <end>83</end>
      <status>unmodified</status>
      <modifiedWord/>
      <trackRevisions>false</trackRevisions>
    </reviewItem>
    <reviewItem>
      <errorID>9d493228-da52-4a5f-9a9d-25e50c7558a9</errorID>
      <errorWord>其它环境</errorWord>
      <group>L1_Word</group>
      <groupName>字词问题</groupName>
      <ability>L2_Alias</ability>
      <abilityName>也作/曾用词</abilityName>
      <candidateList>
        <item>其他环境</item>
      </candidateList>
      <explain>词汇[其它环境]为不规范表述或旧称，其规范书面表述为[其他环境]。</explain>
      <paraID>2082C4B4</paraID>
      <start>54</start>
      <end>58</end>
      <status>unmodified</status>
      <modifiedWord/>
      <trackRevisions>false</trackRevisions>
    </reviewItem>
    <reviewItem>
      <errorID>3010a523-2519-4aa2-8c5b-3a76f547351e</errorID>
      <errorWord>法律、法规</errorWord>
      <group>L1_Word</group>
      <groupName>字词问题</groupName>
      <ability>L2_Typo</ability>
      <abilityName>字词错误</abilityName>
      <candidateList>
        <item>法律法规</item>
      </candidateList>
      <explain/>
      <paraID>2C5C7558</paraID>
      <start>60</start>
      <end>65</end>
      <status>unmodified</status>
      <modifiedWord/>
      <trackRevisions>false</trackRevisions>
    </reviewItem>
    <reviewItem>
      <errorID>624b2545-eb0d-4135-9aba-9b93cb119e50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7FC07E91</paraID>
      <start>0</start>
      <end>2</end>
      <status>unmodified</status>
      <modifiedWord/>
      <trackRevisions>false</trackRevisions>
    </reviewItem>
    <reviewItem>
      <errorID>e33fbd54-0a2d-4211-8a7c-3df5aff47406</errorID>
      <errorWord>(</errorWord>
      <group>L1_Format</group>
      <groupName>格式问题</groupName>
      <ability>L2_HalfPunc</ability>
      <abilityName>全半角检查</abilityName>
      <candidateList>
        <item>（</item>
      </candidateList>
      <explain>文本全半角错误。</explain>
      <paraID>5FAA81C8</paraID>
      <start>28</start>
      <end>29</end>
      <status>unmodified</status>
      <modifiedWord/>
      <trackRevisions>false</trackRevisions>
    </reviewItem>
    <reviewItem>
      <errorID>c83c6d57-1096-47e1-984c-c53e740d69f4</errorID>
      <errorWord>)</errorWord>
      <group>L1_Format</group>
      <groupName>格式问题</groupName>
      <ability>L2_HalfPunc</ability>
      <abilityName>全半角检查</abilityName>
      <candidateList>
        <item>）</item>
      </candidateList>
      <explain>文本全半角错误。</explain>
      <paraID>5FAA81C8</paraID>
      <start>37</start>
      <end>38</end>
      <status>unmodified</status>
      <modifiedWord/>
      <trackRevisions>false</trackRevisions>
    </reviewItem>
    <reviewItem>
      <errorID>7b8eebdd-8871-42e7-93b2-420fffe3daf9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1DD076AD</paraID>
      <start>0</start>
      <end>2</end>
      <status>unmodified</status>
      <modifiedWord/>
      <trackRevisions>false</trackRevisions>
    </reviewItem>
    <reviewItem>
      <errorID>dd15894d-31ab-4b3c-bbb2-bdea8280f411</errorID>
      <errorWord>IV类</errorWord>
      <group>L1_Knowledge</group>
      <groupName>知识性问题</groupName>
      <ability>L2_Knowledge</ability>
      <abilityName>其他知识</abilityName>
      <candidateList>
        <item>Ⅳ类</item>
      </candidateList>
      <explain/>
      <paraID>336F27CB</paraID>
      <start>48</start>
      <end>51</end>
      <status>unmodified</status>
      <modifiedWord/>
      <trackRevisions>false</trackRevisions>
    </reviewItem>
    <reviewItem>
      <errorID>f532efaa-5b71-41de-9301-e6fb0d591d09</errorID>
      <errorWord>IV类</errorWord>
      <group>L1_Knowledge</group>
      <groupName>知识性问题</groupName>
      <ability>L2_Knowledge</ability>
      <abilityName>其他知识</abilityName>
      <candidateList>
        <item>Ⅳ类</item>
      </candidateList>
      <explain/>
      <paraID>2D03E852</paraID>
      <start>0</start>
      <end>3</end>
      <status>unmodified</status>
      <modifiedWord/>
      <trackRevisions>false</trackRevisions>
    </reviewItem>
    <reviewItem>
      <errorID>609c5958-10f9-4c46-b667-348cfa8cee78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7A88214F</paraID>
      <start>0</start>
      <end>2</end>
      <status>unmodified</status>
      <modifiedWord/>
      <trackRevisions>false</trackRevisions>
    </reviewItem>
    <reviewItem>
      <errorID>27ba5a67-fd62-4641-8f4e-515aba9da633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4EB57480</paraID>
      <start>0</start>
      <end>2</end>
      <status>unmodified</status>
      <modifiedWord/>
      <trackRevisions>false</trackRevisions>
    </reviewItem>
    <reviewItem>
      <errorID>0f418ead-6dea-4d66-9ac1-2eeb342bd1b9</errorID>
      <errorWord>～</errorWord>
      <group>L1_Format</group>
      <groupName>格式问题</groupName>
      <ability>L2_HalfPunc</ability>
      <abilityName>全半角检查</abilityName>
      <candidateList>
        <item>~</item>
      </candidateList>
      <explain>文本全半角错误。</explain>
      <paraID>7DEBB39C</paraID>
      <start>3</start>
      <end>4</end>
      <status>unmodified</status>
      <modifiedWord/>
      <trackRevisions>false</trackRevisions>
    </reviewItem>
    <reviewItem>
      <errorID>27ae93ad-ce7a-4443-a5ae-0044a7625046</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15C624A0</paraID>
      <start>0</start>
      <end>2</end>
      <status>unmodified</status>
      <modifiedWord/>
      <trackRevisions>false</trackRevisions>
    </reviewItem>
    <reviewItem>
      <errorID>bb52c282-984d-4c6b-a67e-1d7109b4605d</errorID>
      <errorWord>&gt;</errorWord>
      <group>L1_Punc</group>
      <groupName>标点问题</groupName>
      <ability>L2_Punc</ability>
      <abilityName>标点符号检查</abilityName>
      <candidateList/>
      <explain/>
      <paraID>2D00D1CD</paraID>
      <start>0</start>
      <end>1</end>
      <status>unmodified</status>
      <modifiedWord/>
      <trackRevisions>false</trackRevisions>
    </reviewItem>
    <reviewItem>
      <errorID>6e9f7a89-1f30-4a39-beed-3703940091a4</errorID>
      <errorWord>(</errorWord>
      <group>L1_Format</group>
      <groupName>格式问题</groupName>
      <ability>L2_HalfPunc</ability>
      <abilityName>全半角检查</abilityName>
      <candidateList>
        <item>（</item>
      </candidateList>
      <explain>文本全半角错误。</explain>
      <paraID> 858F59C</paraID>
      <start>1</start>
      <end>2</end>
      <status>unmodified</status>
      <modifiedWord/>
      <trackRevisions>false</trackRevisions>
    </reviewItem>
    <reviewItem>
      <errorID>bdfcc7b9-96e8-47ac-b2a2-81d08e8c78a2</errorID>
      <errorWord>)</errorWord>
      <group>L1_Format</group>
      <groupName>格式问题</groupName>
      <ability>L2_HalfPunc</ability>
      <abilityName>全半角检查</abilityName>
      <candidateList>
        <item>）</item>
      </candidateList>
      <explain>文本全半角错误。</explain>
      <paraID> 858F59C</paraID>
      <start>4</start>
      <end>5</end>
      <status>unmodified</status>
      <modifiedWord/>
      <trackRevisions>false</trackRevisions>
    </reviewItem>
    <reviewItem>
      <errorID>77c8957a-c58a-4c87-a604-4559fb4b3093</errorID>
      <errorWord>(</errorWord>
      <group>L1_Format</group>
      <groupName>格式问题</groupName>
      <ability>L2_HalfPunc</ability>
      <abilityName>全半角检查</abilityName>
      <candidateList>
        <item>（</item>
      </candidateList>
      <explain>文本全半角错误。</explain>
      <paraID> F3E394E</paraID>
      <start>1</start>
      <end>2</end>
      <status>unmodified</status>
      <modifiedWord/>
      <trackRevisions>false</trackRevisions>
    </reviewItem>
    <reviewItem>
      <errorID>6e364e38-b9ee-48b5-8e7f-fb3e3303b90b</errorID>
      <errorWord>)</errorWord>
      <group>L1_Format</group>
      <groupName>格式问题</groupName>
      <ability>L2_HalfPunc</ability>
      <abilityName>全半角检查</abilityName>
      <candidateList>
        <item>）</item>
      </candidateList>
      <explain>文本全半角错误。</explain>
      <paraID> F3E394E</paraID>
      <start>4</start>
      <end>5</end>
      <status>unmodified</status>
      <modifiedWord/>
      <trackRevisions>false</trackRevisions>
    </reviewItem>
    <reviewItem>
      <errorID>f168e36d-abb8-4df1-b4f6-1d944a4b164f</errorID>
      <errorWord>(</errorWord>
      <group>L1_Format</group>
      <groupName>格式问题</groupName>
      <ability>L2_HalfPunc</ability>
      <abilityName>全半角检查</abilityName>
      <candidateList>
        <item>（</item>
      </candidateList>
      <explain>文本全半角错误。</explain>
      <paraID>5098113A</paraID>
      <start>1</start>
      <end>2</end>
      <status>unmodified</status>
      <modifiedWord/>
      <trackRevisions>false</trackRevisions>
    </reviewItem>
    <reviewItem>
      <errorID>25968744-cc90-4f34-ae68-5bb0846fa6e0</errorID>
      <errorWord>)</errorWord>
      <group>L1_Format</group>
      <groupName>格式问题</groupName>
      <ability>L2_HalfPunc</ability>
      <abilityName>全半角检查</abilityName>
      <candidateList>
        <item>）</item>
      </candidateList>
      <explain>文本全半角错误。</explain>
      <paraID>5098113A</paraID>
      <start>4</start>
      <end>5</end>
      <status>unmodified</status>
      <modifiedWord/>
      <trackRevisions>false</trackRevisions>
    </reviewItem>
    <reviewItem>
      <errorID>895e372c-ea1d-4c79-ae71-cda922e66e36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5779ECC9</paraID>
      <start>0</start>
      <end>2</end>
      <status>unmodified</status>
      <modifiedWord/>
      <trackRevisions>false</trackRevisions>
    </reviewItem>
    <reviewItem>
      <errorID>3d2e6cf7-e9f2-4639-a3a9-60b4e5bd127b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4069E506</paraID>
      <start>0</start>
      <end>2</end>
      <status>unmodified</status>
      <modifiedWord/>
      <trackRevisions>false</trackRevisions>
    </reviewItem>
    <reviewItem>
      <errorID>7641dac2-e16d-43d5-96ff-cbff7f1c987a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6AFE1F2C</paraID>
      <start>0</start>
      <end>2</end>
      <status>unmodified</status>
      <modifiedWord/>
      <trackRevisions>false</trackRevisions>
    </reviewItem>
    <reviewItem>
      <errorID>901bd830-727e-42e6-90e1-0c01c01d898b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5A22BC4C</paraID>
      <start>0</start>
      <end>2</end>
      <status>unmodified</status>
      <modifiedWord/>
      <trackRevisions>false</trackRevisions>
    </reviewItem>
    <reviewItem>
      <errorID>f5f235e9-16f5-447d-92a1-ffe8ab31a128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7A0A0E74</paraID>
      <start>0</start>
      <end>2</end>
      <status>unmodified</status>
      <modifiedWord/>
      <trackRevisions>false</trackRevisions>
    </reviewItem>
    <reviewItem>
      <errorID>09e40d4e-890a-49f2-b6d4-75baa9fde560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10AF4C4C</paraID>
      <start>0</start>
      <end>2</end>
      <status>unmodified</status>
      <modifiedWord/>
      <trackRevisions>false</trackRevisions>
    </reviewItem>
    <reviewItem>
      <errorID>21500e27-5a1f-40ae-a6b1-c21e63c42f1b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D2CF473</paraID>
      <start>0</start>
      <end>2</end>
      <status>unmodified</status>
      <modifiedWord/>
      <trackRevisions>false</trackRevisions>
    </reviewItem>
    <reviewItem>
      <errorID>9ff15417-fd01-4d63-966d-ecbbf75652bb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133A4AF7</paraID>
      <start>0</start>
      <end>2</end>
      <status>unmodified</status>
      <modifiedWord/>
      <trackRevisions>false</trackRevisions>
    </reviewItem>
    <reviewItem>
      <errorID>cc18f946-cf0b-44e2-ac70-758f86dd2f1e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11285AD9</paraID>
      <start>0</start>
      <end>2</end>
      <status>unmodified</status>
      <modifiedWord/>
      <trackRevisions>false</trackRevisions>
    </reviewItem>
    <reviewItem>
      <errorID>1f08a33a-16cd-4a83-8332-fc0253ab81bd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60494A02</paraID>
      <start>0</start>
      <end>2</end>
      <status>unmodified</status>
      <modifiedWord/>
      <trackRevisions>false</trackRevisions>
    </reviewItem>
    <reviewItem>
      <errorID>ea98b15e-5067-41f8-92d5-02b79d577d8b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19206E03</paraID>
      <start>0</start>
      <end>2</end>
      <status>unmodified</status>
      <modifiedWord/>
      <trackRevisions>false</trackRevisions>
    </reviewItem>
    <reviewItem>
      <errorID>a933ad3f-6ab8-41b7-8b49-eb3272342e58</errorID>
      <errorWord>；</errorWord>
      <group>L1_Format</group>
      <groupName>格式问题</groupName>
      <ability>L2_HalfPunc</ability>
      <abilityName>全半角检查</abilityName>
      <candidateList>
        <item>;</item>
      </candidateList>
      <explain>文本全半角错误。</explain>
      <paraID>7B5D55AC</paraID>
      <start>8</start>
      <end>9</end>
      <status>unmodified</status>
      <modifiedWord/>
      <trackRevisions>false</trackRevisions>
    </reviewItem>
    <reviewItem>
      <errorID>8f4fb8de-176e-496b-9fde-a333ba2f896d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69CCBDC8</paraID>
      <start>0</start>
      <end>2</end>
      <status>unmodified</status>
      <modifiedWord/>
      <trackRevisions>false</trackRevisions>
    </reviewItem>
    <reviewItem>
      <errorID>52a8833b-9e2e-4da6-8682-bc16ba5b1034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187548BA</paraID>
      <start>0</start>
      <end>2</end>
      <status>unmodified</status>
      <modifiedWord/>
      <trackRevisions>false</trackRevisions>
    </reviewItem>
    <reviewItem>
      <errorID>457f0e0c-8ea3-4000-9fe8-27ff69332c7f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660E6005</paraID>
      <start>0</start>
      <end>2</end>
      <status>unmodified</status>
      <modifiedWord/>
      <trackRevisions>false</trackRevisions>
    </reviewItem>
    <reviewItem>
      <errorID>83575634-d5e4-4172-b1ee-9835e7bdf11f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46D6E527</paraID>
      <start>0</start>
      <end>2</end>
      <status>unmodified</status>
      <modifiedWord/>
      <trackRevisions>false</trackRevisions>
    </reviewItem>
    <reviewItem>
      <errorID>c4e21639-84e1-4598-b794-b5043aa3b376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1767D8A2</paraID>
      <start>0</start>
      <end>2</end>
      <status>unmodified</status>
      <modifiedWord/>
      <trackRevisions>false</trackRevisions>
    </reviewItem>
    <reviewItem>
      <errorID>5340881d-4f2d-4309-9b50-c5e486ffa12d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295F7E46</paraID>
      <start>0</start>
      <end>2</end>
      <status>unmodified</status>
      <modifiedWord/>
      <trackRevisions>false</trackRevisions>
    </reviewItem>
    <reviewItem>
      <errorID>96984cbc-5767-4329-bfc6-0cb3514fa063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295F7E46</paraID>
      <start>24</start>
      <end>25</end>
      <status>unmodified</status>
      <modifiedWord/>
      <trackRevisions>false</trackRevisions>
    </reviewItem>
    <reviewItem>
      <errorID>5466c7dc-787b-4fe4-b82e-326a764ceddd</errorID>
      <errorWord>[2021]268号</errorWord>
      <group>L1_Knowledge</group>
      <groupName>知识性问题</groupName>
      <ability>L2_Knowledge</ability>
      <abilityName>其他知识</abilityName>
      <candidateList>
        <item>〔2021〕268号</item>
      </candidateList>
      <explain>发文字号格式错误。</explain>
      <paraID>4F7C07FD</paraID>
      <start>109</start>
      <end>119</end>
      <status>unmodified</status>
      <modifiedWord/>
      <trackRevisions>false</trackRevisions>
    </reviewItem>
    <reviewItem>
      <errorID>d3aa4aeb-d02c-42ff-a937-15a13b207582</errorID>
      <errorWord>式</errorWord>
      <group>L1_Word</group>
      <groupName>字词问题</groupName>
      <ability>L2_Typo</ability>
      <abilityName>字词错误</abilityName>
      <candidateList>
        <item>式变</item>
      </candidateList>
      <explain/>
      <paraID>644B5677</paraID>
      <start>138</start>
      <end>139</end>
      <status>unmodified</status>
      <modifiedWord/>
      <trackRevisions>false</trackRevisions>
    </reviewItem>
    <reviewItem>
      <errorID>f1b5fcf4-bf90-404d-9b49-717e5853fa2e</errorID>
      <errorWord>)</errorWord>
      <group>L1_Format</group>
      <groupName>格式问题</groupName>
      <ability>L2_HalfPunc</ability>
      <abilityName>全半角检查</abilityName>
      <candidateList>
        <item>）</item>
      </candidateList>
      <explain>文本全半角错误。</explain>
      <paraID>644B5677</paraID>
      <start>212</start>
      <end>213</end>
      <status>unmodified</status>
      <modifiedWord/>
      <trackRevisions>false</trackRevisions>
    </reviewItem>
    <reviewItem>
      <errorID>fdc6004c-b6be-4bbd-820b-f1518f28709e</errorID>
      <errorWord>“</errorWord>
      <group>L1_Punc</group>
      <groupName>标点问题</groupName>
      <ability>L2_Punc</ability>
      <abilityName>标点符号检查</abilityName>
      <candidateList/>
      <explain/>
      <paraID>644B5677</paraID>
      <start>214</start>
      <end>215</end>
      <status>unmodified</status>
      <modifiedWord/>
      <trackRevisions>false</trackRevisions>
    </reviewItem>
    <reviewItem>
      <errorID>5359b2bc-81d1-407f-899a-25e97854d21a</errorID>
      <errorWord>规划中</errorWord>
      <group>L1_Word</group>
      <groupName>字词问题</groupName>
      <ability>L2_Typo</ability>
      <abilityName>字词错误</abilityName>
      <candidateList>
        <item>规划</item>
      </candidateList>
      <explain>❶〈名〉比较全面的长远的发展计划：制订～｜十年～。❷〈动〉做规划：兴修水利问题，应当全面～。</explain>
      <paraID> DADBC5E</paraID>
      <start>124</start>
      <end>127</end>
      <status>unmodified</status>
      <modifiedWord/>
      <trackRevisions>false</trackRevisions>
    </reviewItem>
    <reviewItem>
      <errorID>ba42f180-0cde-495b-b77b-f8d635517c70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79F9C059</paraID>
      <start>24</start>
      <end>25</end>
      <status>unmodified</status>
      <modifiedWord/>
      <trackRevisions>false</trackRevisions>
    </reviewItem>
    <reviewItem>
      <errorID>0d8ecc35-8cfa-4e39-ab9e-ba4d8df795c0</errorID>
      <errorWord>[2023]1028号</errorWord>
      <group>L1_Knowledge</group>
      <groupName>知识性问题</groupName>
      <ability>L2_Knowledge</ability>
      <abilityName>其他知识</abilityName>
      <candidateList>
        <item>〔2023〕1028号</item>
      </candidateList>
      <explain>发文字号格式错误。</explain>
      <paraID>79F9C059</paraID>
      <start>48</start>
      <end>59</end>
      <status>unmodified</status>
      <modifiedWord/>
      <trackRevisions>false</trackRevisions>
    </reviewItem>
    <reviewItem>
      <errorID>66476804-13af-4607-9736-e3cf01f69cdf</errorID>
      <errorWord>坚持绿色协调发展</errorWord>
      <group>L1_Political</group>
      <groupName>政治性问题</groupName>
      <ability>L2_Keyword</ability>
      <abilityName>固定表述</abilityName>
      <candidateList>
        <item>坚持绿色低碳发展</item>
      </candidateList>
      <explain>词汇“坚持绿色低碳发展”在特定场景下为固定表述形式，请确认此处的“坚持绿色协调发展”是否存在不当。</explain>
      <paraID>1761E817</paraID>
      <start>9</start>
      <end>17</end>
      <status>unmodified</status>
      <modifiedWord/>
      <trackRevisions>false</trackRevisions>
    </reviewItem>
    <reviewItem>
      <errorID>251b26ef-f109-432c-86c0-c42aece802b3</errorID>
      <errorWord>环境质量给</errorWord>
      <group>L1_Word</group>
      <groupName>字词问题</groupName>
      <ability>L2_Typo</ability>
      <abilityName>字词错误</abilityName>
      <candidateList>
        <item>环境质量</item>
      </candidateList>
      <explain/>
      <paraID>1761E817</paraID>
      <start>244</start>
      <end>249</end>
      <status>unmodified</status>
      <modifiedWord/>
      <trackRevisions>false</trackRevisions>
    </reviewItem>
    <reviewItem>
      <errorID>f55df7b1-0531-4ec0-ac03-21d0d1fbd3f3</errorID>
      <errorWord>环保基础设施建设</errorWord>
      <group>L1_Political</group>
      <groupName>政治性问题</groupName>
      <ability>L2_Keyword</ability>
      <abilityName>固定表述</abilityName>
      <candidateList>
        <item>环境基础设施建设</item>
      </candidateList>
      <explain>词汇“环境基础设施建设”在特定场景下为固定表述形式，请确认此处的“环保基础设施建设”是否存在不当。</explain>
      <paraID>73DC08E9</paraID>
      <start>2</start>
      <end>10</end>
      <status>unmodified</status>
      <modifiedWord/>
      <trackRevisions>false</trackRevisions>
    </reviewItem>
    <reviewItem>
      <errorID>cb623b00-237a-4488-871a-f7386ee43949</errorID>
      <errorWord>[2017]19号</errorWord>
      <group>L1_Knowledge</group>
      <groupName>知识性问题</groupName>
      <ability>L2_Knowledge</ability>
      <abilityName>其他知识</abilityName>
      <candidateList>
        <item>〔2017〕19号</item>
      </candidateList>
      <explain>发文字号格式错误。</explain>
      <paraID>4F069DA7</paraID>
      <start>217</start>
      <end>226</end>
      <status>unmodified</status>
      <modifiedWord/>
      <trackRevisions>false</trackRevisions>
    </reviewItem>
    <reviewItem>
      <errorID>4efce108-486c-4936-ab45-f4b760bf2fea</errorID>
      <errorWord>监</errorWord>
      <group>L1_Word</group>
      <groupName>字词问题</groupName>
      <ability>L2_Typo</ability>
      <abilityName>字词错误</abilityName>
      <candidateList>
        <item>监测</item>
      </candidateList>
      <explain/>
      <paraID> 66A4054</paraID>
      <start>4</start>
      <end>5</end>
      <status>unmodified</status>
      <modifiedWord/>
      <trackRevisions>false</trackRevisions>
    </reviewItem>
    <reviewItem>
      <errorID>eb1ebd8b-f146-4de6-be08-7e22d601d07d</errorID>
      <errorWord>管</errorWord>
      <group>L1_Word</group>
      <groupName>字词问题</groupName>
      <ability>L2_Typo</ability>
      <abilityName>字词错误</abilityName>
      <candidateList>
        <item>管控</item>
      </candidateList>
      <explain/>
      <paraID> 66A4054</paraID>
      <start>124</start>
      <end>125</end>
      <status>unmodified</status>
      <modifiedWord/>
      <trackRevisions>false</trackRevisions>
    </reviewItem>
    <reviewItem>
      <errorID>33e69721-ed66-42e8-8775-a135d24bb280</errorID>
      <errorWord>统并</errorWord>
      <group>L1_Word</group>
      <groupName>字词问题</groupName>
      <ability>L2_Typo</ability>
      <abilityName>字词错误</abilityName>
      <candidateList>
        <item>并</item>
      </candidateList>
      <explain>（並、竝）bìnɡ❶〈动〉两种或两种以上的事物平排着：～蒂莲｜我们手挽着手，肩～着肩。❷〈副〉表示不同的事物同时存在，不同的事情同时进行：两说～存｜相提～论。❸〈副〉用在否定词前面加强否定的语气，略带反驳的意味：你以为他糊涂，其实他～不糊涂｜所谓团结～非一团和气。❹〈连〉并且：我完全同意～拥护领导的决定。❺〈书〉〈介〉用法跟“连”相同（常跟“而”、“亦”呼应）：～此而不知｜～此浅近原理亦不能明。</explain>
      <paraID>  1619B7</paraID>
      <start>19</start>
      <end>21</end>
      <status>unmodified</status>
      <modifiedWord/>
      <trackRevisions>false</trackRevisions>
    </reviewItem>
    <reviewItem>
      <errorID>a361a308-02e2-4460-83e1-5c67dd1231cd</errorID>
      <errorWord>、</errorWord>
      <group>L1_Word</group>
      <groupName>字词问题</groupName>
      <ability>L2_Typo</ability>
      <abilityName>字词错误</abilityName>
      <candidateList>
        <item>、对</item>
      </candidateList>
      <explain/>
      <paraID>1EB98FF2</paraID>
      <start>70</start>
      <end>71</end>
      <status>unmodified</status>
      <modifiedWord/>
      <trackRevisions>false</trackRevisions>
    </reviewItem>
    <reviewItem>
      <errorID>f31325cb-2ffb-4ab0-920f-ca50138527f7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240D3819</paraID>
      <start>0</start>
      <end>2</end>
      <status>unmodified</status>
      <modifiedWord/>
      <trackRevisions>false</trackRevisions>
    </reviewItem>
    <reviewItem>
      <errorID>d02d3822-022f-43f5-b99c-400ffc475490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240D3819</paraID>
      <start>23</start>
      <end>24</end>
      <status>unmodified</status>
      <modifiedWord/>
      <trackRevisions>false</trackRevisions>
    </reviewItem>
    <reviewItem>
      <errorID>be2484ac-402f-4d3a-a98c-6bc604648ce0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2A2DCC0F</paraID>
      <start>22</start>
      <end>23</end>
      <status>unmodified</status>
      <modifiedWord/>
      <trackRevisions>false</trackRevisions>
    </reviewItem>
    <reviewItem>
      <errorID>239df554-23ed-40a6-ba98-9dbe469d492a</errorID>
      <errorWord>坚持绿色协调发展</errorWord>
      <group>L1_Political</group>
      <groupName>政治性问题</groupName>
      <ability>L2_Keyword</ability>
      <abilityName>固定表述</abilityName>
      <candidateList>
        <item>坚持绿色低碳发展</item>
      </candidateList>
      <explain>词汇“坚持绿色低碳发展”在特定场景下为固定表述形式，请确认此处的“坚持绿色协调发展”是否存在不当。</explain>
      <paraID> 3A53B95</paraID>
      <start>9</start>
      <end>17</end>
      <status>unmodified</status>
      <modifiedWord/>
      <trackRevisions>false</trackRevisions>
    </reviewItem>
    <reviewItem>
      <errorID>a8bff701-4d7c-41a1-8789-7391f02193d8</errorID>
      <errorWord>三线一单</errorWord>
      <group>L1_Political</group>
      <groupName>政治性问题</groupName>
      <ability>L2_Keyword</ability>
      <abilityName>固定表述</abilityName>
      <candidateList>
        <item>‘三线一单’</item>
      </candidateList>
      <explain>注意检查当前固定表述标点是否使用规范。</explain>
      <paraID> 3A53B95</paraID>
      <start>113</start>
      <end>117</end>
      <status>unmodified</status>
      <modifiedWord/>
      <trackRevisions>false</trackRevisions>
    </reviewItem>
    <reviewItem>
      <errorID>f2f1385c-ff03-4672-bb28-5683c0061fb8</errorID>
      <errorWord>（</errorWord>
      <group>L1_Punc</group>
      <groupName>标点问题</groupName>
      <ability>L2_Punc</ability>
      <abilityName>标点符号检查</abilityName>
      <candidateList/>
      <explain>同一形式括号套用。</explain>
      <paraID>22C41A40</paraID>
      <start>96</start>
      <end>97</end>
      <status>unmodified</status>
      <modifiedWord/>
      <trackRevisions>false</trackRevisions>
    </reviewItem>
    <reviewItem>
      <errorID>92d47efb-334b-4d7f-8431-036fa110c178</errorID>
      <errorWord>）</errorWord>
      <group>L1_Punc</group>
      <groupName>标点问题</groupName>
      <ability>L2_Punc</ability>
      <abilityName>标点符号检查</abilityName>
      <candidateList/>
      <explain>同一形式括号套用。</explain>
      <paraID>22C41A40</paraID>
      <start>101</start>
      <end>102</end>
      <status>unmodified</status>
      <modifiedWord/>
      <trackRevisions>false</trackRevisions>
    </reviewItem>
    <reviewItem>
      <errorID>ae2cf764-b6ea-4e7e-b222-440e1f0ba838</errorID>
      <errorWord>项目的</errorWord>
      <group>L1_Word</group>
      <groupName>字词问题</groupName>
      <ability>L2_Typo</ability>
      <abilityName>字词错误</abilityName>
      <candidateList>
        <item>项目</item>
      </candidateList>
      <explain>〈名〉事物分成的门类：服务～｜体育～｜建设～。</explain>
      <paraID>582FC737</paraID>
      <start>31</start>
      <end>34</end>
      <status>unmodified</status>
      <modifiedWord/>
      <trackRevisions>false</trackRevisions>
    </reviewItem>
    <reviewItem>
      <errorID>2cec3d5d-9492-4228-ab4c-99036cc51d9e</errorID>
      <errorWord>(</errorWord>
      <group>L1_Format</group>
      <groupName>格式问题</groupName>
      <ability>L2_HalfPunc</ability>
      <abilityName>全半角检查</abilityName>
      <candidateList>
        <item>（</item>
      </candidateList>
      <explain>文本全半角错误。</explain>
      <paraID>4744A3E0</paraID>
      <start>21</start>
      <end>22</end>
      <status>unmodified</status>
      <modifiedWord/>
      <trackRevisions>false</trackRevisions>
    </reviewItem>
    <reviewItem>
      <errorID>07e14e16-c8c6-4459-a671-2231d60e0e4b</errorID>
      <errorWord>)</errorWord>
      <group>L1_Format</group>
      <groupName>格式问题</groupName>
      <ability>L2_HalfPunc</ability>
      <abilityName>全半角检查</abilityName>
      <candidateList>
        <item>）</item>
      </candidateList>
      <explain>文本全半角错误。</explain>
      <paraID>4744A3E0</paraID>
      <start>30</start>
      <end>31</end>
      <status>unmodified</status>
      <modifiedWord/>
      <trackRevisions>false</trackRevisions>
    </reviewItem>
    <reviewItem>
      <errorID>2460b311-5b79-4bde-bcef-ce57391ebac2</errorID>
      <errorWord>（</errorWord>
      <group>L1_Format</group>
      <groupName>格式问题</groupName>
      <ability>L2_HalfPunc</ability>
      <abilityName>全半角检查</abilityName>
      <candidateList>
        <item>(</item>
      </candidateList>
      <explain>文本全半角错误。</explain>
      <paraID>38CC6E00</paraID>
      <start>0</start>
      <end>1</end>
      <status>unmodified</status>
      <modifiedWord/>
      <trackRevisions>false</trackRevisions>
    </reviewItem>
    <reviewItem>
      <errorID>111cb337-a773-458d-82cd-5df3c5526b44</errorID>
      <errorWord>）</errorWord>
      <group>L1_Format</group>
      <groupName>格式问题</groupName>
      <ability>L2_HalfPunc</ability>
      <abilityName>全半角检查</abilityName>
      <candidateList>
        <item>)</item>
      </candidateList>
      <explain>文本全半角错误。</explain>
      <paraID>38CC6E00</paraID>
      <start>12</start>
      <end>13</end>
      <status>unmodified</status>
      <modifiedWord/>
      <trackRevisions>false</trackRevisions>
    </reviewItem>
    <reviewItem>
      <errorID>d64a89d1-93dc-4a6f-ad0c-6a373d21bf44</errorID>
      <errorWord>IV</errorWord>
      <group>L1_Knowledge</group>
      <groupName>知识性问题</groupName>
      <ability>L2_Knowledge</ability>
      <abilityName>其他知识</abilityName>
      <candidateList>
        <item>Ⅳ</item>
      </candidateList>
      <explain/>
      <paraID>5EC9EDC3</paraID>
      <start>0</start>
      <end>2</end>
      <status>unmodified</status>
      <modifiedWord/>
      <trackRevisions>false</trackRevisions>
    </reviewItem>
    <reviewItem>
      <errorID>e5635cee-4910-4704-b4d8-d4d5d623aa5d</errorID>
      <errorWord>（</errorWord>
      <group>L1_Format</group>
      <groupName>格式问题</groupName>
      <ability>L2_HalfPunc</ability>
      <abilityName>全半角检查</abilityName>
      <candidateList>
        <item>(</item>
      </candidateList>
      <explain>文本全半角错误。</explain>
      <paraID> 89FBAA0</paraID>
      <start>0</start>
      <end>1</end>
      <status>unmodified</status>
      <modifiedWord/>
      <trackRevisions>false</trackRevisions>
    </reviewItem>
    <reviewItem>
      <errorID>a0c0f862-f23d-4f66-bc7b-eeb307d7e55f</errorID>
      <errorWord>）</errorWord>
      <group>L1_Format</group>
      <groupName>格式问题</groupName>
      <ability>L2_HalfPunc</ability>
      <abilityName>全半角检查</abilityName>
      <candidateList>
        <item>)</item>
      </candidateList>
      <explain>文本全半角错误。</explain>
      <paraID> 89FBAA0</paraID>
      <start>12</start>
      <end>13</end>
      <status>unmodified</status>
      <modifiedWord/>
      <trackRevisions>false</trackRevisions>
    </reviewItem>
    <reviewItem>
      <errorID>3eddcb12-2988-426b-b90a-8fed24b56ab8</errorID>
      <errorWord>III类</errorWord>
      <group>L1_Knowledge</group>
      <groupName>知识性问题</groupName>
      <ability>L2_Knowledge</ability>
      <abilityName>其他知识</abilityName>
      <candidateList>
        <item>Ⅲ类</item>
      </candidateList>
      <explain/>
      <paraID>4D14C4BE</paraID>
      <start>16</start>
      <end>20</end>
      <status>unmodified</status>
      <modifiedWord/>
      <trackRevisions>false</trackRevisions>
    </reviewItem>
    <reviewItem>
      <errorID>96ccc0d3-48ac-4645-8e0b-f769ad9e7354</errorID>
      <errorWord>(</errorWord>
      <group>L1_Format</group>
      <groupName>格式问题</groupName>
      <ability>L2_HalfPunc</ability>
      <abilityName>全半角检查</abilityName>
      <candidateList>
        <item>（</item>
      </candidateList>
      <explain>文本全半角错误。</explain>
      <paraID> 1B7026F</paraID>
      <start>30</start>
      <end>31</end>
      <status>unmodified</status>
      <modifiedWord/>
      <trackRevisions>false</trackRevisions>
    </reviewItem>
    <reviewItem>
      <errorID>8692c58e-813b-4ad6-878f-417b5522c83d</errorID>
      <errorWord>)</errorWord>
      <group>L1_Format</group>
      <groupName>格式问题</groupName>
      <ability>L2_HalfPunc</ability>
      <abilityName>全半角检查</abilityName>
      <candidateList>
        <item>）</item>
      </candidateList>
      <explain>文本全半角错误。</explain>
      <paraID> 1B7026F</paraID>
      <start>39</start>
      <end>40</end>
      <status>unmodified</status>
      <modifiedWord/>
      <trackRevisions>false</trackRevisions>
    </reviewItem>
    <reviewItem>
      <errorID>d54b96b7-af18-48be-b84e-6df0ebc109b9</errorID>
      <errorWord>该并</errorWord>
      <group>L1_Word</group>
      <groupName>字词问题</groupName>
      <ability>L2_Typo</ability>
      <abilityName>字词错误</abilityName>
      <candidateList>
        <item>并</item>
      </candidateList>
      <explain>（並、竝）bìnɡ❶〈动〉两种或两种以上的事物平排着：～蒂莲｜我们手挽着手，肩～着肩。❷〈副〉表示不同的事物同时存在，不同的事情同时进行：两说～存｜相提～论。❸〈副〉用在否定词前面加强否定的语气，略带反驳的意味：你以为他糊涂，其实他～不糊涂｜所谓团结～非一团和气。❹〈连〉并且：我完全同意～拥护领导的决定。❺〈书〉〈介〉用法跟“连”相同（常跟“而”、“亦”呼应）：～此而不知｜～此浅近原理亦不能明。</explain>
      <paraID> 1B7026F</paraID>
      <start>82</start>
      <end>84</end>
      <status>unmodified</status>
      <modifiedWord/>
      <trackRevisions>false</trackRevisions>
    </reviewItem>
    <reviewItem>
      <errorID>c63dc985-d101-46b8-954f-5362bbe36d0e</errorID>
      <errorWord>[2018]40号</errorWord>
      <group>L1_Knowledge</group>
      <groupName>知识性问题</groupName>
      <ability>L2_Knowledge</ability>
      <abilityName>其他知识</abilityName>
      <candidateList>
        <item>〔2018〕40号</item>
      </candidateList>
      <explain>发文字号格式错误。</explain>
      <paraID>6415A356</paraID>
      <start>69</start>
      <end>78</end>
      <status>unmodified</status>
      <modifiedWord/>
      <trackRevisions>false</trackRevisions>
    </reviewItem>
    <reviewItem>
      <errorID>565f0971-65b1-4b70-a840-ee18cd5ecac6</errorID>
      <errorWord>进行了的</errorWord>
      <group>L1_Word</group>
      <groupName>字词问题</groupName>
      <ability>L2_Typo</ability>
      <abilityName>字词错误</abilityName>
      <candidateList>
        <item>进行了</item>
      </candidateList>
      <explain/>
      <paraID>6415A356</paraID>
      <start>107</start>
      <end>111</end>
      <status>unmodified</status>
      <modifiedWord/>
      <trackRevisions>false</trackRevisions>
    </reviewItem>
    <reviewItem>
      <errorID>f4641678-c6c8-4bba-973c-43e9dd85812f</errorID>
      <errorWord>[2018]40号</errorWord>
      <group>L1_Knowledge</group>
      <groupName>知识性问题</groupName>
      <ability>L2_Knowledge</ability>
      <abilityName>其他知识</abilityName>
      <candidateList>
        <item>〔2018〕40号</item>
      </candidateList>
      <explain>发文字号格式错误。</explain>
      <paraID>7852CB0B</paraID>
      <start>3</start>
      <end>12</end>
      <status>unmodified</status>
      <modifiedWord/>
      <trackRevisions>false</trackRevisions>
    </reviewItem>
    <reviewItem>
      <errorID>b4a3799d-5ea3-4c96-9993-bca297f7f681</errorID>
      <errorWord>(</errorWord>
      <group>L1_Format</group>
      <groupName>格式问题</groupName>
      <ability>L2_HalfPunc</ability>
      <abilityName>全半角检查</abilityName>
      <candidateList>
        <item>（</item>
      </candidateList>
      <explain>文本全半角错误。</explain>
      <paraID> E5483CE</paraID>
      <start>24</start>
      <end>25</end>
      <status>unmodified</status>
      <modifiedWord/>
      <trackRevisions>false</trackRevisions>
    </reviewItem>
    <reviewItem>
      <errorID>374d8c58-0146-4aba-bf80-a4d441e200f6</errorID>
      <errorWord>)</errorWord>
      <group>L1_Format</group>
      <groupName>格式问题</groupName>
      <ability>L2_HalfPunc</ability>
      <abilityName>全半角检查</abilityName>
      <candidateList>
        <item>）</item>
      </candidateList>
      <explain>文本全半角错误。</explain>
      <paraID> E5483CE</paraID>
      <start>33</start>
      <end>34</end>
      <status>unmodified</status>
      <modifiedWord/>
      <trackRevisions>false</trackRevisions>
    </reviewItem>
    <reviewItem>
      <errorID>3fb4cf68-a023-46e1-9751-48911af15bd0</errorID>
      <errorWord>,</errorWord>
      <group>L1_Format</group>
      <groupName>格式问题</groupName>
      <ability>L2_HalfPunc</ability>
      <abilityName>全半角检查</abilityName>
      <candidateList>
        <item>，</item>
      </candidateList>
      <explain>文本全半角错误。</explain>
      <paraID>4BDF7501</paraID>
      <start>70</start>
      <end>71</end>
      <status>unmodified</status>
      <modifiedWord/>
      <trackRevisions>false</trackRevisions>
    </reviewItem>
    <reviewItem>
      <errorID>e6accb5a-2c7d-4965-8c23-675f670b38c1</errorID>
      <errorWord>(</errorWord>
      <group>L1_Format</group>
      <groupName>格式问题</groupName>
      <ability>L2_HalfPunc</ability>
      <abilityName>全半角检查</abilityName>
      <candidateList>
        <item>（</item>
      </candidateList>
      <explain>文本全半角错误。</explain>
      <paraID>4BDAE419</paraID>
      <start>63</start>
      <end>64</end>
      <status>unmodified</status>
      <modifiedWord/>
      <trackRevisions>false</trackRevisions>
    </reviewItem>
    <reviewItem>
      <errorID>0cb86e87-4f6e-43c8-a8e3-ed0a09d7821d</errorID>
      <errorWord>)</errorWord>
      <group>L1_Format</group>
      <groupName>格式问题</groupName>
      <ability>L2_HalfPunc</ability>
      <abilityName>全半角检查</abilityName>
      <candidateList>
        <item>）</item>
      </candidateList>
      <explain>文本全半角错误。</explain>
      <paraID>4BDAE419</paraID>
      <start>72</start>
      <end>73</end>
      <status>unmodified</status>
      <modifiedWord/>
      <trackRevisions>false</trackRevisions>
    </reviewItem>
    <reviewItem>
      <errorID>4d49e0d8-c0b7-4079-9b5b-3ef3fca05eeb</errorID>
      <errorWord>,</errorWord>
      <group>L1_Format</group>
      <groupName>格式问题</groupName>
      <ability>L2_HalfPunc</ability>
      <abilityName>全半角检查</abilityName>
      <candidateList>
        <item>，</item>
      </candidateList>
      <explain>文本全半角错误。</explain>
      <paraID>4BDAE419</paraID>
      <start>73</start>
      <end>74</end>
      <status>unmodified</status>
      <modifiedWord/>
      <trackRevisions>false</trackRevisions>
    </reviewItem>
    <reviewItem>
      <errorID>e821a2f5-3ec4-4c81-83d1-7a14a277c1e0</errorID>
      <errorWord>,</errorWord>
      <group>L1_Format</group>
      <groupName>格式问题</groupName>
      <ability>L2_HalfPunc</ability>
      <abilityName>全半角检查</abilityName>
      <candidateList>
        <item>，</item>
      </candidateList>
      <explain>文本全半角错误。</explain>
      <paraID>4BDAE419</paraID>
      <start>106</start>
      <end>107</end>
      <status>unmodified</status>
      <modifiedWord/>
      <trackRevisions>false</trackRevisions>
    </reviewItem>
    <reviewItem>
      <errorID>8b364271-eae3-4e97-865f-c5baa4982afb</errorID>
      <errorWord>(</errorWord>
      <group>L1_Format</group>
      <groupName>格式问题</groupName>
      <ability>L2_HalfPunc</ability>
      <abilityName>全半角检查</abilityName>
      <candidateList>
        <item>（</item>
      </candidateList>
      <explain>文本全半角错误。</explain>
      <paraID>2307AB5F</paraID>
      <start>41</start>
      <end>42</end>
      <status>unmodified</status>
      <modifiedWord/>
      <trackRevisions>false</trackRevisions>
    </reviewItem>
    <reviewItem>
      <errorID>3efc91bf-51df-4e89-a2f8-7e42dbe0dcbd</errorID>
      <errorWord>)</errorWord>
      <group>L1_Format</group>
      <groupName>格式问题</groupName>
      <ability>L2_HalfPunc</ability>
      <abilityName>全半角检查</abilityName>
      <candidateList>
        <item>）</item>
      </candidateList>
      <explain>文本全半角错误。</explain>
      <paraID>2307AB5F</paraID>
      <start>44</start>
      <end>45</end>
      <status>unmodified</status>
      <modifiedWord/>
      <trackRevisions>false</trackRevisions>
    </reviewItem>
    <reviewItem>
      <errorID>0165c125-308c-4d3d-820e-4847ecae1e91</errorID>
      <errorWord>,</errorWord>
      <group>L1_Format</group>
      <groupName>格式问题</groupName>
      <ability>L2_HalfPunc</ability>
      <abilityName>全半角检查</abilityName>
      <candidateList>
        <item>，</item>
      </candidateList>
      <explain>文本全半角错误。</explain>
      <paraID>2307AB5F</paraID>
      <start>63</start>
      <end>64</end>
      <status>unmodified</status>
      <modifiedWord/>
      <trackRevisions>false</trackRevisions>
    </reviewItem>
    <reviewItem>
      <errorID>c369ca71-fffd-4b9f-931d-98647690cdf0</errorID>
      <errorWord>,</errorWord>
      <group>L1_Format</group>
      <groupName>格式问题</groupName>
      <ability>L2_HalfPunc</ability>
      <abilityName>全半角检查</abilityName>
      <candidateList>
        <item>，</item>
      </candidateList>
      <explain>文本全半角错误。</explain>
      <paraID>4D92AEA3</paraID>
      <start>54</start>
      <end>55</end>
      <status>unmodified</status>
      <modifiedWord/>
      <trackRevisions>false</trackRevisions>
    </reviewItem>
    <reviewItem>
      <errorID>63d416c2-9313-40bc-b074-1e821005a868</errorID>
      <errorWord>粉尘由</errorWord>
      <group>L1_Word</group>
      <groupName>字词问题</groupName>
      <ability>L2_Typo</ability>
      <abilityName>字词错误</abilityName>
      <candidateList>
        <item>粉尘</item>
      </candidateList>
      <explain/>
      <paraID>3EC17382</paraID>
      <start>34</start>
      <end>37</end>
      <status>unmodified</status>
      <modifiedWord/>
      <trackRevisions>false</trackRevisions>
    </reviewItem>
    <reviewItem>
      <errorID>2daa9592-fdec-4984-b1be-d1e26dc8da01</errorID>
      <errorWord>粉尘由</errorWord>
      <group>L1_Word</group>
      <groupName>字词问题</groupName>
      <ability>L2_Typo</ability>
      <abilityName>字词错误</abilityName>
      <candidateList>
        <item>粉尘</item>
      </candidateList>
      <explain/>
      <paraID>5E98E831</paraID>
      <start>29</start>
      <end>32</end>
      <status>unmodified</status>
      <modifiedWord/>
      <trackRevisions>false</trackRevisions>
    </reviewItem>
    <reviewItem>
      <errorID>3a47c4ad-29e0-4947-b1fb-16fd9443a975</errorID>
      <errorWord>消音器</errorWord>
      <group>L1_Word</group>
      <groupName>字词问题</groupName>
      <ability>L2_Typo</ability>
      <abilityName>字词错误</abilityName>
      <candidateList>
        <item>消声器</item>
      </candidateList>
      <explain/>
      <paraID>53C15B1D</paraID>
      <start>14</start>
      <end>17</end>
      <status>unmodified</status>
      <modifiedWord/>
      <trackRevisions>false</trackRevisions>
    </reviewItem>
    <reviewItem>
      <errorID>51f2d97c-9d07-442e-8568-7c1d2c321cd4</errorID>
      <errorWord>消音器</errorWord>
      <group>L1_Word</group>
      <groupName>字词问题</groupName>
      <ability>L2_Typo</ability>
      <abilityName>字词错误</abilityName>
      <candidateList>
        <item>消声器</item>
      </candidateList>
      <explain/>
      <paraID>511B613D</paraID>
      <start>14</start>
      <end>17</end>
      <status>unmodified</status>
      <modifiedWord/>
      <trackRevisions>false</trackRevisions>
    </reviewItem>
    <reviewItem>
      <errorID>d460a93d-b887-46a1-8812-a41700395a73</errorID>
      <errorWord>与水池</errorWord>
      <group>L1_Word</group>
      <groupName>字词问题</groupName>
      <ability>L2_Typo</ability>
      <abilityName>字词错误</abilityName>
      <candidateList>
        <item>雨水池</item>
      </candidateList>
      <explain/>
      <paraID>6BB5E86C</paraID>
      <start>2</start>
      <end>5</end>
      <status>unmodified</status>
      <modifiedWord/>
      <trackRevisions>false</trackRevisions>
    </reviewItem>
    <reviewItem>
      <errorID>48e5fb28-dfa7-4019-ac7c-7c88b49621c8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23E2A76D</paraID>
      <start>54</start>
      <end>55</end>
      <status>unmodified</status>
      <modifiedWord/>
      <trackRevisions>false</trackRevisions>
    </reviewItem>
    <reviewItem>
      <errorID>9cbd5dd9-3e4b-49b9-a037-b45bd14a8bcb</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23E2A76D</paraID>
      <start>82</start>
      <end>86</end>
      <status>unmodified</status>
      <modifiedWord/>
      <trackRevisions>false</trackRevisions>
    </reviewItem>
    <reviewItem>
      <errorID>48e6c02f-9072-4bbf-993c-04f84cf066e8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23E2A76D</paraID>
      <start>96</start>
      <end>97</end>
      <status>unmodified</status>
      <modifiedWord/>
      <trackRevisions>false</trackRevisions>
    </reviewItem>
    <reviewItem>
      <errorID>c145ac72-fa0a-45b4-868d-5196f3daeeba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23E2A76D</paraID>
      <start>162</start>
      <end>163</end>
      <status>unmodified</status>
      <modifiedWord/>
      <trackRevisions>false</trackRevisions>
    </reviewItem>
    <reviewItem>
      <errorID>0048802d-2242-4516-8071-3ca63e4611b3</errorID>
      <errorWord>水份</errorWord>
      <group>L1_Word</group>
      <groupName>字词问题</groupName>
      <ability>L2_Variant</ability>
      <abilityName>异形词</abilityName>
      <candidateList>
        <item>水分</item>
      </candidateList>
      <explain>词汇[水份]的规范词形写作[水分]。</explain>
      <paraID>249D363F</paraID>
      <start>0</start>
      <end>2</end>
      <status>unmodified</status>
      <modifiedWord/>
      <trackRevisions>false</trackRevisions>
    </reviewItem>
    <reviewItem>
      <errorID>03dee2e4-c732-4551-adfc-8a5ed8ce42c5</errorID>
      <errorWord>＜</errorWord>
      <group>L1_Format</group>
      <groupName>格式问题</groupName>
      <ability>L2_HalfPunc</ability>
      <abilityName>全半角检查</abilityName>
      <candidateList>
        <item>&lt;</item>
      </candidateList>
      <explain>文本全半角错误。</explain>
      <paraID>3E36CB34</paraID>
      <start>0</start>
      <end>1</end>
      <status>unmodified</status>
      <modifiedWord/>
      <trackRevisions>false</trackRevisions>
    </reviewItem>
    <reviewItem>
      <errorID>8b174101-b891-4176-bb16-cbc71a181c1b</errorID>
      <errorWord>＞</errorWord>
      <group>L1_Format</group>
      <groupName>格式问题</groupName>
      <ability>L2_HalfPunc</ability>
      <abilityName>全半角检查</abilityName>
      <candidateList>
        <item>&gt;</item>
      </candidateList>
      <explain>文本全半角错误。</explain>
      <paraID>28555347</paraID>
      <start>0</start>
      <end>1</end>
      <status>unmodified</status>
      <modifiedWord/>
      <trackRevisions>false</trackRevisions>
    </reviewItem>
    <reviewItem>
      <errorID>87a7ca30-495d-46c5-9021-5bd015800fb5</errorID>
      <errorWord>＞</errorWord>
      <group>L1_Format</group>
      <groupName>格式问题</groupName>
      <ability>L2_HalfPunc</ability>
      <abilityName>全半角检查</abilityName>
      <candidateList>
        <item>&gt;</item>
      </candidateList>
      <explain>文本全半角错误。</explain>
      <paraID>6C689A24</paraID>
      <start>0</start>
      <end>1</end>
      <status>unmodified</status>
      <modifiedWord/>
      <trackRevisions>false</trackRevisions>
    </reviewItem>
    <reviewItem>
      <errorID>950f2e8b-a47f-4738-b99e-9c5057254e17</errorID>
      <errorWord>水份</errorWord>
      <group>L1_Word</group>
      <groupName>字词问题</groupName>
      <ability>L2_Variant</ability>
      <abilityName>异形词</abilityName>
      <candidateList>
        <item>水分</item>
      </candidateList>
      <explain>词汇[水份]的规范词形写作[水分]。</explain>
      <paraID>  4DBD4D</paraID>
      <start>0</start>
      <end>2</end>
      <status>unmodified</status>
      <modifiedWord/>
      <trackRevisions>false</trackRevisions>
    </reviewItem>
    <reviewItem>
      <errorID>869d7c25-f70c-4c54-9701-504822ead679</errorID>
      <errorWord>＜</errorWord>
      <group>L1_Format</group>
      <groupName>格式问题</groupName>
      <ability>L2_HalfPunc</ability>
      <abilityName>全半角检查</abilityName>
      <candidateList>
        <item>&lt;</item>
      </candidateList>
      <explain>文本全半角错误。</explain>
      <paraID>4163E2A1</paraID>
      <start>0</start>
      <end>1</end>
      <status>unmodified</status>
      <modifiedWord/>
      <trackRevisions>false</trackRevisions>
    </reviewItem>
    <reviewItem>
      <errorID>edd1a4a6-170d-4b6d-8c6e-16b4ccb09a87</errorID>
      <errorWord>水份</errorWord>
      <group>L1_Word</group>
      <groupName>字词问题</groupName>
      <ability>L2_Variant</ability>
      <abilityName>异形词</abilityName>
      <candidateList>
        <item>水分</item>
      </candidateList>
      <explain>词汇[水份]的规范词形写作[水分]。</explain>
      <paraID>6446779B</paraID>
      <start>0</start>
      <end>2</end>
      <status>unmodified</status>
      <modifiedWord/>
      <trackRevisions>false</trackRevisions>
    </reviewItem>
    <reviewItem>
      <errorID>cfbd0928-8935-4cd5-9eb1-0d82af277284</errorID>
      <errorWord>水份</errorWord>
      <group>L1_Word</group>
      <groupName>字词问题</groupName>
      <ability>L2_Variant</ability>
      <abilityName>异形词</abilityName>
      <candidateList>
        <item>水分</item>
      </candidateList>
      <explain>词汇[水份]的规范词形写作[水分]。</explain>
      <paraID> F0CD364</paraID>
      <start>0</start>
      <end>2</end>
      <status>unmodified</status>
      <modifiedWord/>
      <trackRevisions>false</trackRevisions>
    </reviewItem>
    <reviewItem>
      <errorID>669b79aa-db3a-4cd8-9314-7e3489332c04</errorID>
      <errorWord>＜</errorWord>
      <group>L1_Format</group>
      <groupName>格式问题</groupName>
      <ability>L2_HalfPunc</ability>
      <abilityName>全半角检查</abilityName>
      <candidateList>
        <item>&lt;</item>
      </candidateList>
      <explain>文本全半角错误。</explain>
      <paraID>406BD17C</paraID>
      <start>0</start>
      <end>1</end>
      <status>unmodified</status>
      <modifiedWord/>
      <trackRevisions>false</trackRevisions>
    </reviewItem>
    <reviewItem>
      <errorID>a9540ab0-dc9e-47ff-a232-95eddb0c0418</errorID>
      <errorWord>渣桨泵</errorWord>
      <group>L1_Word</group>
      <groupName>字词问题</groupName>
      <ability>L2_Typo</ability>
      <abilityName>字词错误</abilityName>
      <candidateList>
        <item>渣浆泵</item>
      </candidateList>
      <explain/>
      <paraID>5C068520</paraID>
      <start>64</start>
      <end>67</end>
      <status>unmodified</status>
      <modifiedWord/>
      <trackRevisions>false</trackRevisions>
    </reviewItem>
    <reviewItem>
      <errorID>e58e06a5-1be5-4a22-99f5-568cbc1f5a90</errorID>
      <errorWord>进</errorWord>
      <group>L1_Word</group>
      <groupName>字词问题</groupName>
      <ability>L2_Typo</ability>
      <abilityName>字词错误</abilityName>
      <candidateList>
        <item>进行</item>
      </candidateList>
      <explain>〈动〉❶从事（某种活动）：～讨论｜～工作｜～教育和批评｜会议正在～。注意“进行”总是用在持续性的和正式、严肃的行为，短暂性的和日常生活中的行为不用“进行”，例如不说“进行午睡”，“进行叫喊”。❷前进：～曲。</explain>
      <paraID> 12DF618</paraID>
      <start>30</start>
      <end>31</end>
      <status>unmodified</status>
      <modifiedWord/>
      <trackRevisions>false</trackRevisions>
    </reviewItem>
    <reviewItem>
      <errorID>1500bdf9-26c8-4090-81d3-c89f1c99d879</errorID>
      <errorWord>在</errorWord>
      <group>L1_Word</group>
      <groupName>字词问题</groupName>
      <ability>L2_Typo</ability>
      <abilityName>字词错误</abilityName>
      <candidateList>
        <item>再</item>
      </candidateList>
      <explain>❶〈副〉a）表示又一次（有时专指第二次）：～版｜～接～厉｜一而～，～而三｜学习，学习，～学习。注意表示已经重复的动作用“又”，表示将要重复的动作用“再”，如：这部书前几天我又读了一遍，以后有时间我还要～读一遍。b）表示更加：高点儿，～高点儿｜～多一点儿就好了。c）表示如果继续下去就会怎样：学习～不努力，就得留级了｜离开车只剩半个钟头了，～不走可赶不上了。d）表示即使继续下去也不会怎样：你～解释，他也不会同意的。e）表示一个动作发生在另一个动作结束之后：咱们看完了这个节目～走｜你把材料整理好～动笔。f）表示另外有所补充：～则｜～不然｜院子里种着迎春、牡丹、海棠、石榴，～就是玫瑰和月季。❷〈书〉再继续；再出现：青春不～｜良机难～。❸（Zài）〈名〉姓。</explain>
      <paraID>6C377E5F</paraID>
      <start>24</start>
      <end>25</end>
      <status>unmodified</status>
      <modifiedWord/>
      <trackRevisions>false</trackRevisions>
    </reviewItem>
    <reviewItem>
      <errorID>81161d58-bb6a-45e3-ba4e-f94ae68ebf8e</errorID>
      <errorWord>在</errorWord>
      <group>L1_Word</group>
      <groupName>字词问题</groupName>
      <ability>L2_Typo</ability>
      <abilityName>字词错误</abilityName>
      <candidateList>
        <item>再</item>
      </candidateList>
      <explain>存在发音相同字词的误用。</explain>
      <paraID>666855D4</paraID>
      <start>65</start>
      <end>66</end>
      <status>unmodified</status>
      <modifiedWord/>
      <trackRevisions>false</trackRevisions>
    </reviewItem>
    <reviewItem>
      <errorID>209844fd-70c7-41e1-a612-715e4e51e44a</errorID>
      <errorWord>加入至</errorWord>
      <group>L1_Word</group>
      <groupName>字词问题</groupName>
      <ability>L2_Typo</ability>
      <abilityName>字词错误</abilityName>
      <candidateList>
        <item>加入</item>
      </candidateList>
      <explain>〈动〉❶加上；掺进去：～食糖少许。❷参加进去：～工会｜～足球队。</explain>
      <paraID>666855D4</paraID>
      <start>105</start>
      <end>108</end>
      <status>unmodified</status>
      <modifiedWord/>
      <trackRevisions>false</trackRevisions>
    </reviewItem>
    <reviewItem>
      <errorID>e4260583-2076-4377-9a21-6805078861cb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666855D4</paraID>
      <start>132</start>
      <end>133</end>
      <status>unmodified</status>
      <modifiedWord/>
      <trackRevisions>false</trackRevisions>
    </reviewItem>
    <reviewItem>
      <errorID>41ffc3a2-8e37-4b41-a850-beee8083a6ed</errorID>
      <errorWord>在</errorWord>
      <group>L1_Word</group>
      <groupName>字词问题</groupName>
      <ability>L2_Typo</ability>
      <abilityName>字词错误</abilityName>
      <candidateList>
        <item>再</item>
      </candidateList>
      <explain>存在发音相同字词的误用。</explain>
      <paraID>74B2089F</paraID>
      <start>54</start>
      <end>55</end>
      <status>unmodified</status>
      <modifiedWord/>
      <trackRevisions>false</trackRevisions>
    </reviewItem>
    <reviewItem>
      <errorID>e6f7f6d6-2586-4854-a57d-90ff364adcaa</errorID>
      <errorWord>树脂</errorWord>
      <group>L1_Word</group>
      <groupName>字词问题</groupName>
      <ability>L2_Typo</ability>
      <abilityName>字词错误</abilityName>
      <candidateList>
        <item>树酯</item>
      </candidateList>
      <explain/>
      <paraID>3B27F44C</paraID>
      <start>51</start>
      <end>53</end>
      <status>unmodified</status>
      <modifiedWord/>
      <trackRevisions>false</trackRevisions>
    </reviewItem>
    <reviewItem>
      <errorID>ae571e86-1cef-4c7e-8540-92fe126d164b</errorID>
      <errorWord>、</errorWord>
      <group>L1_Punc</group>
      <groupName>标点问题</groupName>
      <ability>L2_Punc</ability>
      <abilityName>标点符号检查</abilityName>
      <candidateList>
        <item>.</item>
      </candidateList>
      <explain/>
      <paraID>2AD82D47</paraID>
      <start>1</start>
      <end>2</end>
      <status>unmodified</status>
      <modifiedWord/>
      <trackRevisions>false</trackRevisions>
    </reviewItem>
    <reviewItem>
      <errorID>c0b21f87-540d-4497-a050-3a6d1157eaa5</errorID>
      <errorWord>投入至</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3CF6B021</paraID>
      <start>39</start>
      <end>42</end>
      <status>unmodified</status>
      <modifiedWord/>
      <trackRevisions>false</trackRevisions>
    </reviewItem>
    <reviewItem>
      <errorID>fcfbcd8a-b7f5-452e-b13c-8e4e6a80ea2c</errorID>
      <errorWord>产品的</errorWord>
      <group>L1_Word</group>
      <groupName>字词问题</groupName>
      <ability>L2_Typo</ability>
      <abilityName>字词错误</abilityName>
      <candidateList>
        <item>产品</item>
      </candidateList>
      <explain>〈名〉生产出来的物品：农～｜畜～｜～出厂都要经过检验。</explain>
      <paraID>6E0EE181</paraID>
      <start>24</start>
      <end>27</end>
      <status>unmodified</status>
      <modifiedWord/>
      <trackRevisions>false</trackRevisions>
    </reviewItem>
    <reviewItem>
      <errorID>b1014301-c160-4dbc-9601-be87577cebb1</errorID>
      <errorWord>进</errorWord>
      <group>L1_Word</group>
      <groupName>字词问题</groupName>
      <ability>L2_Typo</ability>
      <abilityName>字词错误</abilityName>
      <candidateList>
        <item>进入</item>
      </candidateList>
      <explain>〈动〉支进到某个范围或某个时期里：～学校｜～新阶段◇～角色。</explain>
      <paraID>6E0EE181</paraID>
      <start>91</start>
      <end>92</end>
      <status>unmodified</status>
      <modifiedWord/>
      <trackRevisions>false</trackRevisions>
    </reviewItem>
    <reviewItem>
      <errorID>e635e00b-9c35-4171-9986-9e4aef4477da</errorID>
      <errorWord>进</errorWord>
      <group>L1_Word</group>
      <groupName>字词问题</groupName>
      <ability>L2_Typo</ability>
      <abilityName>字词错误</abilityName>
      <candidateList>
        <item>进入</item>
      </candidateList>
      <explain>〈动〉支进到某个范围或某个时期里：～学校｜～新阶段◇～角色。</explain>
      <paraID>7A253150</paraID>
      <start>34</start>
      <end>35</end>
      <status>unmodified</status>
      <modifiedWord/>
      <trackRevisions>false</trackRevisions>
    </reviewItem>
    <reviewItem>
      <errorID>70c0f8d6-cc0b-4135-b789-1060cc47156e</errorID>
      <errorWord>、</errorWord>
      <group>L1_Punc</group>
      <groupName>标点问题</groupName>
      <ability>L2_Punc</ability>
      <abilityName>标点符号检查</abilityName>
      <candidateList>
        <item>.</item>
      </candidateList>
      <explain/>
      <paraID>7FE1B881</paraID>
      <start>1</start>
      <end>2</end>
      <status>unmodified</status>
      <modifiedWord/>
      <trackRevisions>false</trackRevisions>
    </reviewItem>
    <reviewItem>
      <errorID>cc3ecece-90bd-4b2c-a7e9-b88ea9b2ba36</errorID>
      <errorWord>投入至</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1170232E</paraID>
      <start>35</start>
      <end>38</end>
      <status>unmodified</status>
      <modifiedWord/>
      <trackRevisions>false</trackRevisions>
    </reviewItem>
    <reviewItem>
      <errorID>ba612011-000a-4459-850b-7fed044b3c4f</errorID>
      <errorWord>投入至</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7090C286</paraID>
      <start>31</start>
      <end>34</end>
      <status>unmodified</status>
      <modifiedWord/>
      <trackRevisions>false</trackRevisions>
    </reviewItem>
    <reviewItem>
      <errorID>b2317b8b-b9fa-4643-bb0b-50222543d657</errorID>
      <errorWord>进</errorWord>
      <group>L1_Word</group>
      <groupName>字词问题</groupName>
      <ability>L2_Typo</ability>
      <abilityName>字词错误</abilityName>
      <candidateList>
        <item>进行</item>
      </candidateList>
      <explain>〈动〉❶从事（某种活动）：～讨论｜～工作｜～教育和批评｜会议正在～。注意“进行”总是用在持续性的和正式、严肃的行为，短暂性的和日常生活中的行为不用“进行”，例如不说“进行午睡”，“进行叫喊”。❷前进：～曲。</explain>
      <paraID>7C83740E</paraID>
      <start>40</start>
      <end>41</end>
      <status>unmodified</status>
      <modifiedWord/>
      <trackRevisions>false</trackRevisions>
    </reviewItem>
    <reviewItem>
      <errorID>f0c41ca6-4263-4415-8c81-6ceca453c0c3</errorID>
      <errorWord>(</errorWord>
      <group>L1_Format</group>
      <groupName>格式问题</groupName>
      <ability>L2_HalfPunc</ability>
      <abilityName>全半角检查</abilityName>
      <candidateList>
        <item>（</item>
      </candidateList>
      <explain>文本全半角错误。</explain>
      <paraID>427B6C0C</paraID>
      <start>2</start>
      <end>3</end>
      <status>unmodified</status>
      <modifiedWord/>
      <trackRevisions>false</trackRevisions>
    </reviewItem>
    <reviewItem>
      <errorID>19fc0e0f-aabe-4c4c-8346-7a608cd7de77</errorID>
      <errorWord>)</errorWord>
      <group>L1_Format</group>
      <groupName>格式问题</groupName>
      <ability>L2_HalfPunc</ability>
      <abilityName>全半角检查</abilityName>
      <candidateList>
        <item>）</item>
      </candidateList>
      <explain>文本全半角错误。</explain>
      <paraID>427B6C0C</paraID>
      <start>4</start>
      <end>5</end>
      <status>unmodified</status>
      <modifiedWord/>
      <trackRevisions>false</trackRevisions>
    </reviewItem>
    <reviewItem>
      <errorID>f24a2561-1dd3-4e67-b4c6-7d6662380f11</errorID>
      <errorWord>(</errorWord>
      <group>L1_Format</group>
      <groupName>格式问题</groupName>
      <ability>L2_HalfPunc</ability>
      <abilityName>全半角检查</abilityName>
      <candidateList>
        <item>（</item>
      </candidateList>
      <explain>文本全半角错误。</explain>
      <paraID>1BAAA183</paraID>
      <start>2</start>
      <end>3</end>
      <status>unmodified</status>
      <modifiedWord/>
      <trackRevisions>false</trackRevisions>
    </reviewItem>
    <reviewItem>
      <errorID>67e007a4-0dbe-4471-8df5-f90249727740</errorID>
      <errorWord>)</errorWord>
      <group>L1_Format</group>
      <groupName>格式问题</groupName>
      <ability>L2_HalfPunc</ability>
      <abilityName>全半角检查</abilityName>
      <candidateList>
        <item>）</item>
      </candidateList>
      <explain>文本全半角错误。</explain>
      <paraID>1BAAA183</paraID>
      <start>4</start>
      <end>5</end>
      <status>unmodified</status>
      <modifiedWord/>
      <trackRevisions>false</trackRevisions>
    </reviewItem>
    <reviewItem>
      <errorID>2fcf03ab-49d7-4dfb-9008-1cd6f055fe1a</errorID>
      <errorWord>,</errorWord>
      <group>L1_Format</group>
      <groupName>格式问题</groupName>
      <ability>L2_HalfPunc</ability>
      <abilityName>全半角检查</abilityName>
      <candidateList>
        <item>，</item>
      </candidateList>
      <explain>文本全半角错误。</explain>
      <paraID>65C78730</paraID>
      <start>2</start>
      <end>3</end>
      <status>unmodified</status>
      <modifiedWord/>
      <trackRevisions>false</trackRevisions>
    </reviewItem>
    <reviewItem>
      <errorID>1e1f3cab-6413-434e-9d4c-689f306dd301</errorID>
      <errorWord>(</errorWord>
      <group>L1_Format</group>
      <groupName>格式问题</groupName>
      <ability>L2_HalfPunc</ability>
      <abilityName>全半角检查</abilityName>
      <candidateList>
        <item>（</item>
      </candidateList>
      <explain>文本全半角错误。</explain>
      <paraID>22AA7943</paraID>
      <start>3</start>
      <end>4</end>
      <status>unmodified</status>
      <modifiedWord/>
      <trackRevisions>false</trackRevisions>
    </reviewItem>
    <reviewItem>
      <errorID>a5df2c39-de10-4ab8-8cfa-332995b47e4b</errorID>
      <errorWord>)</errorWord>
      <group>L1_Format</group>
      <groupName>格式问题</groupName>
      <ability>L2_HalfPunc</ability>
      <abilityName>全半角检查</abilityName>
      <candidateList>
        <item>）</item>
      </candidateList>
      <explain>文本全半角错误。</explain>
      <paraID>22AA7943</paraID>
      <start>7</start>
      <end>8</end>
      <status>unmodified</status>
      <modifiedWord/>
      <trackRevisions>false</trackRevisions>
    </reviewItem>
    <reviewItem>
      <errorID>00c6fcdc-c060-435d-8b54-c8e45a5ae189</errorID>
      <errorWord>(</errorWord>
      <group>L1_Format</group>
      <groupName>格式问题</groupName>
      <ability>L2_HalfPunc</ability>
      <abilityName>全半角检查</abilityName>
      <candidateList>
        <item>（</item>
      </candidateList>
      <explain>文本全半角错误。</explain>
      <paraID>279837B7</paraID>
      <start>4</start>
      <end>5</end>
      <status>unmodified</status>
      <modifiedWord/>
      <trackRevisions>false</trackRevisions>
    </reviewItem>
    <reviewItem>
      <errorID>cf1ab080-caf3-4696-9b21-8d6d14a98ff6</errorID>
      <errorWord>)</errorWord>
      <group>L1_Format</group>
      <groupName>格式问题</groupName>
      <ability>L2_HalfPunc</ability>
      <abilityName>全半角检查</abilityName>
      <candidateList>
        <item>）</item>
      </candidateList>
      <explain>文本全半角错误。</explain>
      <paraID>279837B7</paraID>
      <start>7</start>
      <end>8</end>
      <status>unmodified</status>
      <modifiedWord/>
      <trackRevisions>false</trackRevisions>
    </reviewItem>
    <reviewItem>
      <errorID>d7595ba6-ebbf-41fb-809e-ae33a406419f</errorID>
      <errorWord>(</errorWord>
      <group>L1_Format</group>
      <groupName>格式问题</groupName>
      <ability>L2_HalfPunc</ability>
      <abilityName>全半角检查</abilityName>
      <candidateList>
        <item>（</item>
      </candidateList>
      <explain>文本全半角错误。</explain>
      <paraID>77D795B0</paraID>
      <start>3</start>
      <end>4</end>
      <status>unmodified</status>
      <modifiedWord/>
      <trackRevisions>false</trackRevisions>
    </reviewItem>
    <reviewItem>
      <errorID>401f720c-002f-4ccf-a0ba-ea414473ed1b</errorID>
      <errorWord>)</errorWord>
      <group>L1_Format</group>
      <groupName>格式问题</groupName>
      <ability>L2_HalfPunc</ability>
      <abilityName>全半角检查</abilityName>
      <candidateList>
        <item>）</item>
      </candidateList>
      <explain>文本全半角错误。</explain>
      <paraID>77D795B0</paraID>
      <start>5</start>
      <end>6</end>
      <status>unmodified</status>
      <modifiedWord/>
      <trackRevisions>false</trackRevisions>
    </reviewItem>
    <reviewItem>
      <errorID>d494223c-5603-4586-aae9-455481153878</errorID>
      <errorWord>(</errorWord>
      <group>L1_Format</group>
      <groupName>格式问题</groupName>
      <ability>L2_HalfPunc</ability>
      <abilityName>全半角检查</abilityName>
      <candidateList>
        <item>（</item>
      </candidateList>
      <explain>文本全半角错误。</explain>
      <paraID>3DA6A2A9</paraID>
      <start>4</start>
      <end>5</end>
      <status>unmodified</status>
      <modifiedWord/>
      <trackRevisions>false</trackRevisions>
    </reviewItem>
    <reviewItem>
      <errorID>f4408cc4-05a6-4792-a849-26e24748bcd0</errorID>
      <errorWord>)</errorWord>
      <group>L1_Format</group>
      <groupName>格式问题</groupName>
      <ability>L2_HalfPunc</ability>
      <abilityName>全半角检查</abilityName>
      <candidateList>
        <item>）</item>
      </candidateList>
      <explain>文本全半角错误。</explain>
      <paraID>3DA6A2A9</paraID>
      <start>8</start>
      <end>9</end>
      <status>unmodified</status>
      <modifiedWord/>
      <trackRevisions>false</trackRevisions>
    </reviewItem>
    <reviewItem>
      <errorID>5efd653b-c05c-45fd-b3f1-cba24d9840b1</errorID>
      <errorWord>,</errorWord>
      <group>L1_Format</group>
      <groupName>格式问题</groupName>
      <ability>L2_HalfPunc</ability>
      <abilityName>全半角检查</abilityName>
      <candidateList>
        <item>，</item>
      </candidateList>
      <explain>文本全半角错误。</explain>
      <paraID>7325B7C6</paraID>
      <start>4</start>
      <end>5</end>
      <status>unmodified</status>
      <modifiedWord/>
      <trackRevisions>false</trackRevisions>
    </reviewItem>
    <reviewItem>
      <errorID>8c8af3e3-a44d-4240-b701-f7c055c47c1d</errorID>
      <errorWord>,</errorWord>
      <group>L1_Format</group>
      <groupName>格式问题</groupName>
      <ability>L2_HalfPunc</ability>
      <abilityName>全半角检查</abilityName>
      <candidateList>
        <item>，</item>
      </candidateList>
      <explain>文本全半角错误。</explain>
      <paraID>5CB8E471</paraID>
      <start>6</start>
      <end>7</end>
      <status>unmodified</status>
      <modifiedWord/>
      <trackRevisions>false</trackRevisions>
    </reviewItem>
    <reviewItem>
      <errorID>e868add8-f78b-4cc5-9559-172883a2dcac</errorID>
      <errorWord>(</errorWord>
      <group>L1_Format</group>
      <groupName>格式问题</groupName>
      <ability>L2_HalfPunc</ability>
      <abilityName>全半角检查</abilityName>
      <candidateList>
        <item>（</item>
      </candidateList>
      <explain>文本全半角错误。</explain>
      <paraID>7C72B32B</paraID>
      <start>6</start>
      <end>7</end>
      <status>unmodified</status>
      <modifiedWord/>
      <trackRevisions>false</trackRevisions>
    </reviewItem>
    <reviewItem>
      <errorID>b4ddc7d7-a53a-4b6f-9584-373773d1d12f</errorID>
      <errorWord>)</errorWord>
      <group>L1_Format</group>
      <groupName>格式问题</groupName>
      <ability>L2_HalfPunc</ability>
      <abilityName>全半角检查</abilityName>
      <candidateList>
        <item>）</item>
      </candidateList>
      <explain>文本全半角错误。</explain>
      <paraID>7C72B32B</paraID>
      <start>10</start>
      <end>11</end>
      <status>unmodified</status>
      <modifiedWord/>
      <trackRevisions>false</trackRevisions>
    </reviewItem>
    <reviewItem>
      <errorID>8e90c54e-097a-4c11-9b96-59fa03800db1</errorID>
      <errorWord>(</errorWord>
      <group>L1_Format</group>
      <groupName>格式问题</groupName>
      <ability>L2_HalfPunc</ability>
      <abilityName>全半角检查</abilityName>
      <candidateList>
        <item>（</item>
      </candidateList>
      <explain>文本全半角错误。</explain>
      <paraID>2B5D2FAA</paraID>
      <start>7</start>
      <end>8</end>
      <status>unmodified</status>
      <modifiedWord/>
      <trackRevisions>false</trackRevisions>
    </reviewItem>
    <reviewItem>
      <errorID>b7ddadbb-07c6-4aba-a1cb-651fbba48c92</errorID>
      <errorWord>)</errorWord>
      <group>L1_Format</group>
      <groupName>格式问题</groupName>
      <ability>L2_HalfPunc</ability>
      <abilityName>全半角检查</abilityName>
      <candidateList>
        <item>）</item>
      </candidateList>
      <explain>文本全半角错误。</explain>
      <paraID>2B5D2FAA</paraID>
      <start>11</start>
      <end>12</end>
      <status>unmodified</status>
      <modifiedWord/>
      <trackRevisions>false</trackRevisions>
    </reviewItem>
    <reviewItem>
      <errorID>fa870287-d0b7-4278-8b03-4dbfbd93f253</errorID>
      <errorWord>废气</errorWord>
      <group>L1_Word</group>
      <groupName>字词问题</groupName>
      <ability>L2_Typo</ability>
      <abilityName>字词错误</abilityName>
      <candidateList>
        <item>废弃</item>
      </candidateList>
      <explain/>
      <paraID>64D6BAA8</paraID>
      <start>39</start>
      <end>41</end>
      <status>unmodified</status>
      <modifiedWord/>
      <trackRevisions>false</trackRevisions>
    </reviewItem>
    <reviewItem>
      <errorID>65f08315-2bd1-4577-96a3-ee2cc46484f2</errorID>
      <errorWord>”</errorWord>
      <group>L1_Punc</group>
      <groupName>标点问题</groupName>
      <ability>L2_Punc</ability>
      <abilityName>标点符号检查</abilityName>
      <candidateList/>
      <explain/>
      <paraID> E179B27</paraID>
      <start>22</start>
      <end>23</end>
      <status>unmodified</status>
      <modifiedWord/>
      <trackRevisions>false</trackRevisions>
    </reviewItem>
    <reviewItem>
      <errorID>2579b948-f23c-45e9-9578-6463ccb0023d</errorID>
      <errorWord>(</errorWord>
      <group>L1_Format</group>
      <groupName>格式问题</groupName>
      <ability>L2_HalfPunc</ability>
      <abilityName>全半角检查</abilityName>
      <candidateList>
        <item>（</item>
      </candidateList>
      <explain>文本全半角错误。</explain>
      <paraID>57D17734</paraID>
      <start>6</start>
      <end>7</end>
      <status>unmodified</status>
      <modifiedWord/>
      <trackRevisions>false</trackRevisions>
    </reviewItem>
    <reviewItem>
      <errorID>2612824a-38eb-4112-8629-a9b1fada24fd</errorID>
      <errorWord>)</errorWord>
      <group>L1_Format</group>
      <groupName>格式问题</groupName>
      <ability>L2_HalfPunc</ability>
      <abilityName>全半角检查</abilityName>
      <candidateList>
        <item>）</item>
      </candidateList>
      <explain>文本全半角错误。</explain>
      <paraID>57D17734</paraID>
      <start>8</start>
      <end>9</end>
      <status>unmodified</status>
      <modifiedWord/>
      <trackRevisions>false</trackRevisions>
    </reviewItem>
    <reviewItem>
      <errorID>3b053d63-e741-4bac-a862-19a53b9946b3</errorID>
      <errorWord>(</errorWord>
      <group>L1_Format</group>
      <groupName>格式问题</groupName>
      <ability>L2_HalfPunc</ability>
      <abilityName>全半角检查</abilityName>
      <candidateList>
        <item>（</item>
      </candidateList>
      <explain>文本全半角错误。</explain>
      <paraID>  56A22B</paraID>
      <start>6</start>
      <end>7</end>
      <status>unmodified</status>
      <modifiedWord/>
      <trackRevisions>false</trackRevisions>
    </reviewItem>
    <reviewItem>
      <errorID>c3307be0-aefb-4674-8728-0dc47cd1d1a6</errorID>
      <errorWord>)</errorWord>
      <group>L1_Format</group>
      <groupName>格式问题</groupName>
      <ability>L2_HalfPunc</ability>
      <abilityName>全半角检查</abilityName>
      <candidateList>
        <item>）</item>
      </candidateList>
      <explain>文本全半角错误。</explain>
      <paraID>  56A22B</paraID>
      <start>8</start>
      <end>9</end>
      <status>unmodified</status>
      <modifiedWord/>
      <trackRevisions>false</trackRevisions>
    </reviewItem>
    <reviewItem>
      <errorID>8c8bfa03-8743-44cc-b7b5-41dfc8b831a8</errorID>
      <errorWord>”</errorWord>
      <group>L1_Punc</group>
      <groupName>标点问题</groupName>
      <ability>L2_Punc</ability>
      <abilityName>标点符号检查</abilityName>
      <candidateList/>
      <explain/>
      <paraID>15393AC6</paraID>
      <start>28</start>
      <end>29</end>
      <status>unmodified</status>
      <modifiedWord/>
      <trackRevisions>false</trackRevisions>
    </reviewItem>
    <reviewItem>
      <errorID>3f7ca432-b766-42df-b936-40a0b64532f5</errorID>
      <errorWord>”</errorWord>
      <group>L1_Punc</group>
      <groupName>标点问题</groupName>
      <ability>L2_Punc</ability>
      <abilityName>标点符号检查</abilityName>
      <candidateList/>
      <explain/>
      <paraID>71478E29</paraID>
      <start>22</start>
      <end>23</end>
      <status>unmodified</status>
      <modifiedWord/>
      <trackRevisions>false</trackRevisions>
    </reviewItem>
    <reviewItem>
      <errorID>30f618c9-a798-47c6-a5cf-f29cdbe5e221</errorID>
      <errorWord>(</errorWord>
      <group>L1_Format</group>
      <groupName>格式问题</groupName>
      <ability>L2_HalfPunc</ability>
      <abilityName>全半角检查</abilityName>
      <candidateList>
        <item>（</item>
      </candidateList>
      <explain>文本全半角错误。</explain>
      <paraID>41A9B240</paraID>
      <start>4</start>
      <end>5</end>
      <status>unmodified</status>
      <modifiedWord/>
      <trackRevisions>false</trackRevisions>
    </reviewItem>
    <reviewItem>
      <errorID>ad649c88-29cc-4002-837f-1807cccff43b</errorID>
      <errorWord>)</errorWord>
      <group>L1_Format</group>
      <groupName>格式问题</groupName>
      <ability>L2_HalfPunc</ability>
      <abilityName>全半角检查</abilityName>
      <candidateList>
        <item>）</item>
      </candidateList>
      <explain>文本全半角错误。</explain>
      <paraID>41A9B240</paraID>
      <start>8</start>
      <end>9</end>
      <status>unmodified</status>
      <modifiedWord/>
      <trackRevisions>false</trackRevisions>
    </reviewItem>
    <reviewItem>
      <errorID>9abba82f-b9c8-4a16-8a77-1df2bae72640</errorID>
      <errorWord>(</errorWord>
      <group>L1_Format</group>
      <groupName>格式问题</groupName>
      <ability>L2_HalfPunc</ability>
      <abilityName>全半角检查</abilityName>
      <candidateList>
        <item>（</item>
      </candidateList>
      <explain>文本全半角错误。</explain>
      <paraID>451AFD6D</paraID>
      <start>3</start>
      <end>4</end>
      <status>unmodified</status>
      <modifiedWord/>
      <trackRevisions>false</trackRevisions>
    </reviewItem>
    <reviewItem>
      <errorID>a98a86d8-ec65-4def-a08e-304ccec58571</errorID>
      <errorWord>)</errorWord>
      <group>L1_Format</group>
      <groupName>格式问题</groupName>
      <ability>L2_HalfPunc</ability>
      <abilityName>全半角检查</abilityName>
      <candidateList>
        <item>）</item>
      </candidateList>
      <explain>文本全半角错误。</explain>
      <paraID>451AFD6D</paraID>
      <start>7</start>
      <end>8</end>
      <status>unmodified</status>
      <modifiedWord/>
      <trackRevisions>false</trackRevisions>
    </reviewItem>
    <reviewItem>
      <errorID>c59953d8-3e0b-495e-b7d0-beb273d2fc3f</errorID>
      <errorWord>粉尘由</errorWord>
      <group>L1_Word</group>
      <groupName>字词问题</groupName>
      <ability>L2_Typo</ability>
      <abilityName>字词错误</abilityName>
      <candidateList>
        <item>粉尘</item>
      </candidateList>
      <explain/>
      <paraID>6A80EE79</paraID>
      <start>34</start>
      <end>37</end>
      <status>unmodified</status>
      <modifiedWord/>
      <trackRevisions>false</trackRevisions>
    </reviewItem>
    <reviewItem>
      <errorID>95db3027-85c2-478f-b51e-7d981af8af2d</errorID>
      <errorWord>粉尘由</errorWord>
      <group>L1_Word</group>
      <groupName>字词问题</groupName>
      <ability>L2_Typo</ability>
      <abilityName>字词错误</abilityName>
      <candidateList>
        <item>粉尘</item>
      </candidateList>
      <explain/>
      <paraID>6A80EE79</paraID>
      <start>148</start>
      <end>151</end>
      <status>unmodified</status>
      <modifiedWord/>
      <trackRevisions>false</trackRevisions>
    </reviewItem>
    <reviewItem>
      <errorID>2b0c55f8-1248-4b4f-a21d-d34d16b36159</errorID>
      <errorWord>三本帐</errorWord>
      <group>L1_Word</group>
      <groupName>字词问题</groupName>
      <ability>L2_Alias</ability>
      <abilityName>也作/曾用词</abilityName>
      <candidateList>
        <item>三本账</item>
      </candidateList>
      <explain>词汇[三本帐]为不规范表述或旧称，其规范书面表述为[三本账]。</explain>
      <paraID>16716FEE</paraID>
      <start>19</start>
      <end>22</end>
      <status>unmodified</status>
      <modifiedWord/>
      <trackRevisions>false</trackRevisions>
    </reviewItem>
    <reviewItem>
      <errorID>7e3e64f0-de59-43bc-a266-af7f1222fcbd</errorID>
      <errorWord>(</errorWord>
      <group>L1_Format</group>
      <groupName>格式问题</groupName>
      <ability>L2_HalfPunc</ability>
      <abilityName>全半角检查</abilityName>
      <candidateList>
        <item>（</item>
      </candidateList>
      <explain>文本全半角错误。</explain>
      <paraID>18884665</paraID>
      <start>3</start>
      <end>4</end>
      <status>unmodified</status>
      <modifiedWord/>
      <trackRevisions>false</trackRevisions>
    </reviewItem>
    <reviewItem>
      <errorID>5935c17c-0a39-4c51-9e83-12450d80b595</errorID>
      <errorWord>)</errorWord>
      <group>L1_Format</group>
      <groupName>格式问题</groupName>
      <ability>L2_HalfPunc</ability>
      <abilityName>全半角检查</abilityName>
      <candidateList>
        <item>）</item>
      </candidateList>
      <explain>文本全半角错误。</explain>
      <paraID>18884665</paraID>
      <start>7</start>
      <end>8</end>
      <status>unmodified</status>
      <modifiedWord/>
      <trackRevisions>false</trackRevisions>
    </reviewItem>
    <reviewItem>
      <errorID>536482e5-ac45-4922-b236-5fc474fb3ac1</errorID>
      <errorWord>(</errorWord>
      <group>L1_Format</group>
      <groupName>格式问题</groupName>
      <ability>L2_HalfPunc</ability>
      <abilityName>全半角检查</abilityName>
      <candidateList>
        <item>（</item>
      </candidateList>
      <explain>文本全半角错误。</explain>
      <paraID>3F01496A</paraID>
      <start>3</start>
      <end>4</end>
      <status>unmodified</status>
      <modifiedWord/>
      <trackRevisions>false</trackRevisions>
    </reviewItem>
    <reviewItem>
      <errorID>bf00c760-4df9-4026-b570-a2c5f0156ec1</errorID>
      <errorWord>)</errorWord>
      <group>L1_Format</group>
      <groupName>格式问题</groupName>
      <ability>L2_HalfPunc</ability>
      <abilityName>全半角检查</abilityName>
      <candidateList>
        <item>）</item>
      </candidateList>
      <explain>文本全半角错误。</explain>
      <paraID>3F01496A</paraID>
      <start>7</start>
      <end>8</end>
      <status>unmodified</status>
      <modifiedWord/>
      <trackRevisions>false</trackRevisions>
    </reviewItem>
    <reviewItem>
      <errorID>16891584-5ba8-44bf-b199-91757a51ad0c</errorID>
      <errorWord>(</errorWord>
      <group>L1_Format</group>
      <groupName>格式问题</groupName>
      <ability>L2_HalfPunc</ability>
      <abilityName>全半角检查</abilityName>
      <candidateList>
        <item>（</item>
      </candidateList>
      <explain>文本全半角错误。</explain>
      <paraID>2F6A2E3E</paraID>
      <start>3</start>
      <end>4</end>
      <status>unmodified</status>
      <modifiedWord/>
      <trackRevisions>false</trackRevisions>
    </reviewItem>
    <reviewItem>
      <errorID>a574d06f-6718-4cd7-ab19-193e0fbabdc1</errorID>
      <errorWord>)</errorWord>
      <group>L1_Format</group>
      <groupName>格式问题</groupName>
      <ability>L2_HalfPunc</ability>
      <abilityName>全半角检查</abilityName>
      <candidateList>
        <item>）</item>
      </candidateList>
      <explain>文本全半角错误。</explain>
      <paraID>2F6A2E3E</paraID>
      <start>7</start>
      <end>8</end>
      <status>unmodified</status>
      <modifiedWord/>
      <trackRevisions>false</trackRevisions>
    </reviewItem>
    <reviewItem>
      <errorID>7b2749a2-2885-4922-b36f-d5def118f9e3</errorID>
      <errorWord>(</errorWord>
      <group>L1_Format</group>
      <groupName>格式问题</groupName>
      <ability>L2_HalfPunc</ability>
      <abilityName>全半角检查</abilityName>
      <candidateList>
        <item>（</item>
      </candidateList>
      <explain>文本全半角错误。</explain>
      <paraID>64138E2E</paraID>
      <start>4</start>
      <end>5</end>
      <status>unmodified</status>
      <modifiedWord/>
      <trackRevisions>false</trackRevisions>
    </reviewItem>
    <reviewItem>
      <errorID>67e20b63-047d-49f7-88aa-b5eda802877f</errorID>
      <errorWord>)</errorWord>
      <group>L1_Format</group>
      <groupName>格式问题</groupName>
      <ability>L2_HalfPunc</ability>
      <abilityName>全半角检查</abilityName>
      <candidateList>
        <item>）</item>
      </candidateList>
      <explain>文本全半角错误。</explain>
      <paraID>64138E2E</paraID>
      <start>8</start>
      <end>9</end>
      <status>unmodified</status>
      <modifiedWord/>
      <trackRevisions>false</trackRevisions>
    </reviewItem>
    <reviewItem>
      <errorID>1d183add-ca54-4eee-ad24-da635d71a6ba</errorID>
      <errorWord>废水和</errorWord>
      <group>L1_Word</group>
      <groupName>字词问题</groupName>
      <ability>L2_Typo</ability>
      <abilityName>字词错误</abilityName>
      <candidateList>
        <item>废水</item>
      </candidateList>
      <explain/>
      <paraID>7D52B93A</paraID>
      <start>32</start>
      <end>35</end>
      <status>unmodified</status>
      <modifiedWord/>
      <trackRevisions>false</trackRevisions>
    </reviewItem>
    <reviewItem>
      <errorID>1a6a7377-ce30-4e74-af9b-935b797687d9</errorID>
      <errorWord>,</errorWord>
      <group>L1_Format</group>
      <groupName>格式问题</groupName>
      <ability>L2_HalfPunc</ability>
      <abilityName>全半角检查</abilityName>
      <candidateList>
        <item>，</item>
      </candidateList>
      <explain>文本全半角错误。</explain>
      <paraID>35F2BF7D</paraID>
      <start>122</start>
      <end>123</end>
      <status>unmodified</status>
      <modifiedWord/>
      <trackRevisions>false</trackRevisions>
    </reviewItem>
    <reviewItem>
      <errorID>298516fa-eec7-4c0f-baa0-b4a65af680aa</errorID>
      <errorWord>,</errorWord>
      <group>L1_Format</group>
      <groupName>格式问题</groupName>
      <ability>L2_HalfPunc</ability>
      <abilityName>全半角检查</abilityName>
      <candidateList>
        <item>，</item>
      </candidateList>
      <explain>文本全半角错误。</explain>
      <paraID>35F2BF7D</paraID>
      <start>151</start>
      <end>152</end>
      <status>unmodified</status>
      <modifiedWord/>
      <trackRevisions>false</trackRevisions>
    </reviewItem>
    <reviewItem>
      <errorID>96a0d4c8-ac32-44ad-bfda-e6dca472ec2b</errorID>
      <errorWord>,</errorWord>
      <group>L1_Format</group>
      <groupName>格式问题</groupName>
      <ability>L2_HalfPunc</ability>
      <abilityName>全半角检查</abilityName>
      <candidateList>
        <item>，</item>
      </candidateList>
      <explain>文本全半角错误。</explain>
      <paraID>35F2BF7D</paraID>
      <start>172</start>
      <end>173</end>
      <status>unmodified</status>
      <modifiedWord/>
      <trackRevisions>false</trackRevisions>
    </reviewItem>
    <reviewItem>
      <errorID>c7a07f43-d648-4a91-90c0-d788e8a9f9b4</errorID>
      <errorWord>,</errorWord>
      <group>L1_Format</group>
      <groupName>格式问题</groupName>
      <ability>L2_HalfPunc</ability>
      <abilityName>全半角检查</abilityName>
      <candidateList>
        <item>，</item>
      </candidateList>
      <explain>文本全半角错误。</explain>
      <paraID>35F2BF7D</paraID>
      <start>186</start>
      <end>187</end>
      <status>unmodified</status>
      <modifiedWord/>
      <trackRevisions>false</trackRevisions>
    </reviewItem>
    <reviewItem>
      <errorID>dc34ac2b-6ddb-4dc3-955e-0a1ee2764163</errorID>
      <errorWord>,</errorWord>
      <group>L1_Format</group>
      <groupName>格式问题</groupName>
      <ability>L2_HalfPunc</ability>
      <abilityName>全半角检查</abilityName>
      <candidateList>
        <item>，</item>
      </candidateList>
      <explain>文本全半角错误。</explain>
      <paraID>35F2BF7D</paraID>
      <start>217</start>
      <end>218</end>
      <status>unmodified</status>
      <modifiedWord/>
      <trackRevisions>false</trackRevisions>
    </reviewItem>
    <reviewItem>
      <errorID>3ffcf808-92c4-4c22-899c-133fb3f6a52d</errorID>
      <errorWord>,</errorWord>
      <group>L1_Format</group>
      <groupName>格式问题</groupName>
      <ability>L2_HalfPunc</ability>
      <abilityName>全半角检查</abilityName>
      <candidateList>
        <item>，</item>
      </candidateList>
      <explain>文本全半角错误。</explain>
      <paraID>35F2BF7D</paraID>
      <start>227</start>
      <end>228</end>
      <status>unmodified</status>
      <modifiedWord/>
      <trackRevisions>false</trackRevisions>
    </reviewItem>
    <reviewItem>
      <errorID>61ab6cd4-b0e2-4614-bc02-587da8f694c1</errorID>
      <errorWord>,</errorWord>
      <group>L1_Format</group>
      <groupName>格式问题</groupName>
      <ability>L2_HalfPunc</ability>
      <abilityName>全半角检查</abilityName>
      <candidateList>
        <item>，</item>
      </candidateList>
      <explain>文本全半角错误。</explain>
      <paraID>35F2BF7D</paraID>
      <start>264</start>
      <end>265</end>
      <status>unmodified</status>
      <modifiedWord/>
      <trackRevisions>false</trackRevisions>
    </reviewItem>
    <reviewItem>
      <errorID>60413ab6-5b64-4fb8-acc9-88f64852d365</errorID>
      <errorWord>,</errorWord>
      <group>L1_Format</group>
      <groupName>格式问题</groupName>
      <ability>L2_HalfPunc</ability>
      <abilityName>全半角检查</abilityName>
      <candidateList>
        <item>，</item>
      </candidateList>
      <explain>文本全半角错误。</explain>
      <paraID>35F2BF7D</paraID>
      <start>273</start>
      <end>274</end>
      <status>unmodified</status>
      <modifiedWord/>
      <trackRevisions>false</trackRevisions>
    </reviewItem>
    <reviewItem>
      <errorID>4e058246-d9d3-4e3e-9d86-55165cfafe1b</errorID>
      <errorWord>,</errorWord>
      <group>L1_Format</group>
      <groupName>格式问题</groupName>
      <ability>L2_HalfPunc</ability>
      <abilityName>全半角检查</abilityName>
      <candidateList>
        <item>，</item>
      </candidateList>
      <explain>文本全半角错误。</explain>
      <paraID>35F2BF7D</paraID>
      <start>299</start>
      <end>300</end>
      <status>unmodified</status>
      <modifiedWord/>
      <trackRevisions>false</trackRevisions>
    </reviewItem>
    <reviewItem>
      <errorID>3339a803-cf7d-46f5-97c3-2a4872432b3d</errorID>
      <errorWord>,</errorWord>
      <group>L1_Format</group>
      <groupName>格式问题</groupName>
      <ability>L2_HalfPunc</ability>
      <abilityName>全半角检查</abilityName>
      <candidateList>
        <item>，</item>
      </candidateList>
      <explain>文本全半角错误。</explain>
      <paraID>35F2BF7D</paraID>
      <start>312</start>
      <end>313</end>
      <status>unmodified</status>
      <modifiedWord/>
      <trackRevisions>false</trackRevisions>
    </reviewItem>
    <reviewItem>
      <errorID>b48fbe41-d473-4e7a-bba1-1eb57c2ce2d0</errorID>
      <errorWord>使</errorWord>
      <group>L1_Word</group>
      <groupName>字词问题</groupName>
      <ability>L2_Typo</ability>
      <abilityName>字词错误</abilityName>
      <candidateList>
        <item>是</item>
      </candidateList>
      <explain>存在发音相同字词的误用。</explain>
      <paraID>3CA8FEB2</paraID>
      <start>29</start>
      <end>30</end>
      <status>unmodified</status>
      <modifiedWord/>
      <trackRevisions>false</trackRevisions>
    </reviewItem>
    <reviewItem>
      <errorID>6ac033d4-986a-4009-a9f9-8c8b7709bc9e</errorID>
      <errorWord>除掉</errorWord>
      <group>L1_Word</group>
      <groupName>字词问题</groupName>
      <ability>L2_Typo</ability>
      <abilityName>字词错误</abilityName>
      <candidateList>
        <item>除</item>
      </candidateList>
      <explain/>
      <paraID>3A3FB5CD</paraID>
      <start>119</start>
      <end>121</end>
      <status>unmodified</status>
      <modifiedWord/>
      <trackRevisions>false</trackRevisions>
    </reviewItem>
    <reviewItem>
      <errorID>5cf74e83-939b-4cb2-93b1-66c1ff1d8dea</errorID>
      <errorWord>废气污染治理</errorWord>
      <group>L1_Knowledge</group>
      <groupName>知识性问题</groupName>
      <ability>L2_Term</ability>
      <abilityName>专业术语</abilityName>
      <candidateList>
        <item>大气污染治理</item>
      </candidateList>
      <explain/>
      <paraID>4D655DAE</paraID>
      <start>9</start>
      <end>15</end>
      <status>unmodified</status>
      <modifiedWord/>
      <trackRevisions>false</trackRevisions>
    </reviewItem>
    <reviewItem>
      <errorID>00900b56-a828-4f5a-b96a-2114c4c0bf56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44C7BAFF</paraID>
      <start>0</start>
      <end>2</end>
      <status>unmodified</status>
      <modifiedWord/>
      <trackRevisions>false</trackRevisions>
    </reviewItem>
    <reviewItem>
      <errorID>19c0f847-2c9c-469a-a500-22a906525d01</errorID>
      <errorWord>粉尘由</errorWord>
      <group>L1_Word</group>
      <groupName>字词问题</groupName>
      <ability>L2_Typo</ability>
      <abilityName>字词错误</abilityName>
      <candidateList>
        <item>粉尘</item>
      </candidateList>
      <explain/>
      <paraID>36B19F3D</paraID>
      <start>53</start>
      <end>56</end>
      <status>unmodified</status>
      <modifiedWord/>
      <trackRevisions>false</trackRevisions>
    </reviewItem>
    <reviewItem>
      <errorID>5cd5690e-4f68-4d83-82e2-33070a4d547c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5358E9B5</paraID>
      <start>0</start>
      <end>2</end>
      <status>unmodified</status>
      <modifiedWord/>
      <trackRevisions>false</trackRevisions>
    </reviewItem>
    <reviewItem>
      <errorID>5235a9cd-5844-46e7-b062-6b6321250a94</errorID>
      <errorWord>防治</errorWord>
      <group>L1_Word</group>
      <groupName>字词问题</groupName>
      <ability>L2_Typo</ability>
      <abilityName>字词错误</abilityName>
      <candidateList>
        <item>防止</item>
      </candidateList>
      <explain>〈动〉预先设法制止（坏事发生）：～煤气中毒｜～交通事故。</explain>
      <paraID>2D5F71DD</paraID>
      <start>17</start>
      <end>19</end>
      <status>unmodified</status>
      <modifiedWord/>
      <trackRevisions>false</trackRevisions>
    </reviewItem>
    <reviewItem>
      <errorID>41e560d6-e236-4a19-b7dc-bdf2dd9a49a8</errorID>
      <errorWord>,</errorWord>
      <group>L1_Format</group>
      <groupName>格式问题</groupName>
      <ability>L2_HalfPunc</ability>
      <abilityName>全半角检查</abilityName>
      <candidateList>
        <item>，</item>
      </candidateList>
      <explain>文本全半角错误。</explain>
      <paraID>2773FD84</paraID>
      <start>137</start>
      <end>138</end>
      <status>unmodified</status>
      <modifiedWord/>
      <trackRevisions>false</trackRevisions>
    </reviewItem>
    <reviewItem>
      <errorID>c5c3d411-0401-4a54-b873-82af97a8ea6b</errorID>
      <errorWord>)</errorWord>
      <group>L1_Format</group>
      <groupName>格式问题</groupName>
      <ability>L2_HalfPunc</ability>
      <abilityName>全半角检查</abilityName>
      <candidateList>
        <item>）</item>
      </candidateList>
      <explain>文本全半角错误。</explain>
      <paraID>2773FD84</paraID>
      <start>158</start>
      <end>159</end>
      <status>unmodified</status>
      <modifiedWord/>
      <trackRevisions>false</trackRevisions>
    </reviewItem>
    <reviewItem>
      <errorID>db0eece8-9bde-48b2-8bd8-24b894148b8c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37D321CA</paraID>
      <start>0</start>
      <end>2</end>
      <status>unmodified</status>
      <modifiedWord/>
      <trackRevisions>false</trackRevisions>
    </reviewItem>
    <reviewItem>
      <errorID>93db4b8f-dbe1-4e15-806c-12badc45e1c2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39C419C0</paraID>
      <start>0</start>
      <end>2</end>
      <status>unmodified</status>
      <modifiedWord/>
      <trackRevisions>false</trackRevisions>
    </reviewItem>
    <reviewItem>
      <errorID>3047cc50-429c-46d3-ad8b-614f8d13f103</errorID>
      <errorWord>准北市</errorWord>
      <group>L1_Knowledge</group>
      <groupName>知识性问题</groupName>
      <ability>L2_Knowledge</ability>
      <abilityName>其他知识</abilityName>
      <candidateList>
        <item>淮北市</item>
      </candidateList>
      <explain/>
      <paraID>39C419C0</paraID>
      <start>437</start>
      <end>440</end>
      <status>unmodified</status>
      <modifiedWord/>
      <trackRevisions>false</trackRevisions>
    </reviewItem>
    <reviewItem>
      <errorID>f32e3897-7755-4d2d-83ba-30a65084ba74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331CACA6</paraID>
      <start>0</start>
      <end>2</end>
      <status>unmodified</status>
      <modifiedWord/>
      <trackRevisions>false</trackRevisions>
    </reviewItem>
    <reviewItem>
      <errorID>6346e43b-1457-4886-b5ca-4d28722d808e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6E18243C</paraID>
      <start>0</start>
      <end>2</end>
      <status>unmodified</status>
      <modifiedWord/>
      <trackRevisions>false</trackRevisions>
    </reviewItem>
    <reviewItem>
      <errorID>299ada78-eadb-402a-8c22-c5a74921a860</errorID>
      <errorWord>采取有效地</errorWord>
      <group>L1_Word</group>
      <groupName>字词问题</groupName>
      <ability>L2_Typo</ability>
      <abilityName>字词错误</abilityName>
      <candidateList>
        <item>采取有效</item>
      </candidateList>
      <explain/>
      <paraID>6E18243C</paraID>
      <start>22</start>
      <end>27</end>
      <status>unmodified</status>
      <modifiedWord/>
      <trackRevisions>false</trackRevisions>
    </reviewItem>
    <reviewItem>
      <errorID>b6debc54-eff1-487e-b99a-4421dd618865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2F32FA06</paraID>
      <start>0</start>
      <end>2</end>
      <status>unmodified</status>
      <modifiedWord/>
      <trackRevisions>false</trackRevisions>
    </reviewItem>
    <reviewItem>
      <errorID>3d124076-a8c9-4e9a-9b48-829c6a84a7ef</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51AE8521</paraID>
      <start>0</start>
      <end>2</end>
      <status>unmodified</status>
      <modifiedWord/>
      <trackRevisions>false</trackRevisions>
    </reviewItem>
    <reviewItem>
      <errorID>cb81fb36-d209-49d5-a139-4a91416352e1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2F3631BC</paraID>
      <start>0</start>
      <end>2</end>
      <status>unmodified</status>
      <modifiedWord/>
      <trackRevisions>false</trackRevisions>
    </reviewItem>
    <reviewItem>
      <errorID>59a17f60-e3cd-4d48-a777-6ae9198e9ccb</errorID>
      <errorWord>降低</errorWord>
      <group>L1_Word</group>
      <groupName>字词问题</groupName>
      <ability>L2_Typo</ability>
      <abilityName>字词错误</abilityName>
      <candidateList>
        <item>防止</item>
      </candidateList>
      <explain>“降低～发生”搭配不当，建议修改为“防止～发生”。</explain>
      <paraID>2F3631BC</paraID>
      <start>33</start>
      <end>35</end>
      <status>unmodified</status>
      <modifiedWord/>
      <trackRevisions>false</trackRevisions>
    </reviewItem>
    <reviewItem>
      <errorID>2ad3ae05-8188-4080-84bf-9752bac6339d</errorID>
      <errorWord>几率</errorWord>
      <group>L1_Word</group>
      <groupName>字词问题</groupName>
      <ability>L2_Typo</ability>
      <abilityName>字词错误</abilityName>
      <candidateList>
        <item>概率</item>
      </candidateList>
      <explain/>
      <paraID>2F3631BC</paraID>
      <start>42</start>
      <end>44</end>
      <status>unmodified</status>
      <modifiedWord/>
      <trackRevisions>false</trackRevisions>
    </reviewItem>
    <reviewItem>
      <errorID>ff683780-11b5-4219-9478-6b952cb58a1c</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4D1EBE9B</paraID>
      <start>0</start>
      <end>2</end>
      <status>unmodified</status>
      <modifiedWord/>
      <trackRevisions>false</trackRevisions>
    </reviewItem>
    <reviewItem>
      <errorID>f3a72ed6-f49b-43dd-803a-bad243996594</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2F831AD3</paraID>
      <start>0</start>
      <end>2</end>
      <status>unmodified</status>
      <modifiedWord/>
      <trackRevisions>false</trackRevisions>
    </reviewItem>
    <reviewItem>
      <errorID>739c6503-a58b-4b0c-9c66-4172a1e68a8a</errorID>
      <errorWord>(</errorWord>
      <group>L1_Format</group>
      <groupName>格式问题</groupName>
      <ability>L2_HalfPunc</ability>
      <abilityName>全半角检查</abilityName>
      <candidateList>
        <item>（</item>
      </candidateList>
      <explain>文本全半角错误。</explain>
      <paraID>5C994317</paraID>
      <start>258</start>
      <end>259</end>
      <status>unmodified</status>
      <modifiedWord/>
      <trackRevisions>false</trackRevisions>
    </reviewItem>
    <reviewItem>
      <errorID>9f660c9d-6635-48df-817e-27bd25b5edc6</errorID>
      <errorWord>)</errorWord>
      <group>L1_Format</group>
      <groupName>格式问题</groupName>
      <ability>L2_HalfPunc</ability>
      <abilityName>全半角检查</abilityName>
      <candidateList>
        <item>）</item>
      </candidateList>
      <explain>文本全半角错误。</explain>
      <paraID>5C994317</paraID>
      <start>271</start>
      <end>272</end>
      <status>unmodified</status>
      <modifiedWord/>
      <trackRevisions>false</trackRevisions>
    </reviewItem>
    <reviewItem>
      <errorID>b140bee6-f801-460a-a7ae-035a62fd16be</errorID>
      <errorWord>(</errorWord>
      <group>L1_Format</group>
      <groupName>格式问题</groupName>
      <ability>L2_HalfPunc</ability>
      <abilityName>全半角检查</abilityName>
      <candidateList>
        <item>（</item>
      </candidateList>
      <explain>文本全半角错误。</explain>
      <paraID>5C994317</paraID>
      <start>311</start>
      <end>312</end>
      <status>unmodified</status>
      <modifiedWord/>
      <trackRevisions>false</trackRevisions>
    </reviewItem>
    <reviewItem>
      <errorID>1a94e0dc-5f13-4e3f-b3e2-bab836cfa3fe</errorID>
      <errorWord>)</errorWord>
      <group>L1_Format</group>
      <groupName>格式问题</groupName>
      <ability>L2_HalfPunc</ability>
      <abilityName>全半角检查</abilityName>
      <candidateList>
        <item>）</item>
      </candidateList>
      <explain>文本全半角错误。</explain>
      <paraID>5C994317</paraID>
      <start>325</start>
      <end>326</end>
      <status>unmodified</status>
      <modifiedWord/>
      <trackRevisions>false</trackRevisions>
    </reviewItem>
    <reviewItem>
      <errorID>fcf6baad-2fa8-4fda-887e-3e4b12389b6c</errorID>
      <errorWord>.</errorWord>
      <group>L1_Format</group>
      <groupName>格式问题</groupName>
      <ability>L2_HalfPunc</ability>
      <abilityName>全半角检查</abilityName>
      <candidateList>
        <item>。</item>
      </candidateList>
      <explain>文本全半角错误。</explain>
      <paraID>2829F7B3</paraID>
      <start>28</start>
      <end>29</end>
      <status>unmodified</status>
      <modifiedWord/>
      <trackRevisions>false</trackRevisions>
    </reviewItem>
    <reviewItem>
      <errorID>929e6404-9b60-4e4b-97d7-d83f6ea5c4b7</errorID>
      <errorWord>.</errorWord>
      <group>L1_Format</group>
      <groupName>格式问题</groupName>
      <ability>L2_HalfPunc</ability>
      <abilityName>全半角检查</abilityName>
      <candidateList>
        <item>。</item>
      </candidateList>
      <explain>文本全半角错误。</explain>
      <paraID>2829F7B3</paraID>
      <start>95</start>
      <end>96</end>
      <status>unmodified</status>
      <modifiedWord/>
      <trackRevisions>false</trackRevisions>
    </reviewItem>
    <reviewItem>
      <errorID>a4f8bb59-9939-43dc-90b2-b7c9c5b04556</errorID>
      <errorWord>噪音</errorWord>
      <group>L1_Word</group>
      <groupName>字词问题</groupName>
      <ability>L2_Alias</ability>
      <abilityName>也作/曾用词</abilityName>
      <candidateList>
        <item>噪声</item>
      </candidateList>
      <explain>词汇[噪音]为不规范表述或旧称，其规范书面表述为[噪声]。</explain>
      <paraID>72A8AF61</paraID>
      <start>73</start>
      <end>75</end>
      <status>unmodified</status>
      <modifiedWord/>
      <trackRevisions>false</trackRevisions>
    </reviewItem>
    <reviewItem>
      <errorID>ad3bf692-8daf-4872-b369-bb20d7d3a0f4</errorID>
      <errorWord>）</errorWord>
      <group>L1_Word</group>
      <groupName>字词问题</groupName>
      <ability>L2_Typo</ability>
      <abilityName>字词错误</abilityName>
      <candidateList>
        <item>）第</item>
      </candidateList>
      <explain/>
      <paraID>72A8AF61</paraID>
      <start>143</start>
      <end>144</end>
      <status>unmodified</status>
      <modifiedWord/>
      <trackRevisions>false</trackRevisions>
    </reviewItem>
    <reviewItem>
      <errorID>73e2cedb-4a9d-405d-94e0-189d204754de</errorID>
      <errorWord>地</errorWord>
      <group>L1_Word</group>
      <groupName>字词问题</groupName>
      <ability>L2_DDD</ability>
      <abilityName>的地得用法</abilityName>
      <candidateList>
        <item>的</item>
      </candidateList>
      <explain>“的”常用于连接修饰语与名词性中心语，表示属性、所属或描述。</explain>
      <paraID>62B35E7F</paraID>
      <start>24</start>
      <end>25</end>
      <status>unmodified</status>
      <modifiedWord/>
      <trackRevisions>false</trackRevisions>
    </reviewItem>
    <reviewItem>
      <errorID>a72c1fa1-8b3b-45f6-b77c-a2f5a760bf7c</errorID>
      <errorWord>与水池</errorWord>
      <group>L1_Word</group>
      <groupName>字词问题</groupName>
      <ability>L2_Typo</ability>
      <abilityName>字词错误</abilityName>
      <candidateList>
        <item>蓄水池</item>
      </candidateList>
      <explain/>
      <paraID>4CFC93CD</paraID>
      <start>8</start>
      <end>11</end>
      <status>unmodified</status>
      <modifiedWord/>
      <trackRevisions>false</trackRevisions>
    </reviewItem>
    <reviewItem>
      <errorID>6d42581c-77d5-49b0-ab1f-d26aa5dd4cf4</errorID>
      <errorWord>安徽长淮新材料有限公司安徽长淮新材料有限公司</errorWord>
      <group>L1_Word</group>
      <groupName>字词问题</groupName>
      <ability>L2_Typo</ability>
      <abilityName>字词错误</abilityName>
      <candidateList>
        <item>安徽长淮新材料有限公司</item>
      </candidateList>
      <explain/>
      <paraID>3F8B33DE</paraID>
      <start>37</start>
      <end>59</end>
      <status>unmodified</status>
      <modifiedWord/>
      <trackRevisions>false</trackRevisions>
    </reviewItem>
    <reviewItem>
      <errorID>ac17c735-319a-439f-ad30-10a7af305e4b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6D04CB98</paraID>
      <start>21</start>
      <end>22</end>
      <status>unmodified</status>
      <modifiedWord/>
      <trackRevisions>false</trackRevisions>
    </reviewItem>
    <reviewItem>
      <errorID>8f49256b-c35b-4cd6-96ad-fc15c99e47fb</errorID>
      <errorWord>(</errorWord>
      <group>L1_Format</group>
      <groupName>格式问题</groupName>
      <ability>L2_HalfPunc</ability>
      <abilityName>全半角检查</abilityName>
      <candidateList>
        <item>（</item>
      </candidateList>
      <explain>文本全半角错误。</explain>
      <paraID>51E5365E</paraID>
      <start>2</start>
      <end>3</end>
      <status>unmodified</status>
      <modifiedWord/>
      <trackRevisions>false</trackRevisions>
    </reviewItem>
    <reviewItem>
      <errorID>5e82a5db-26f7-49fd-958c-4905f9c8821a</errorID>
      <errorWord>)</errorWord>
      <group>L1_Format</group>
      <groupName>格式问题</groupName>
      <ability>L2_HalfPunc</ability>
      <abilityName>全半角检查</abilityName>
      <candidateList>
        <item>）</item>
      </candidateList>
      <explain>文本全半角错误。</explain>
      <paraID>51E5365E</paraID>
      <start>7</start>
      <end>8</end>
      <status>unmodified</status>
      <modifiedWord/>
      <trackRevisions>false</trackRevisions>
    </reviewItem>
    <reviewItem>
      <errorID>e2401612-5f56-47ee-8979-7f3039c5e69c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398E350</paraID>
      <start>12</start>
      <end>13</end>
      <status>unmodified</status>
      <modifiedWord/>
      <trackRevisions>false</trackRevisions>
    </reviewItem>
    <reviewItem>
      <errorID>a42497fb-06af-4619-91e4-566fa86662c8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39EDDAC0</paraID>
      <start>42</start>
      <end>43</end>
      <status>unmodified</status>
      <modifiedWord/>
      <trackRevisions>false</trackRevisions>
    </reviewItem>
    <reviewItem>
      <errorID>cfbb070b-86f0-4733-91a3-59f50a62c996</errorID>
      <errorWord>2018年01月16日</errorWord>
      <group>L1_Knowledge</group>
      <groupName>知识性问题</groupName>
      <ability>L2_Time</ability>
      <abilityName>日期时间</abilityName>
      <candidateList>
        <item>2018年1月16日</item>
      </candidateList>
      <explain>根据日常书写习惯，月份一般会省略前导零。</explain>
      <paraID> FD8E8B7</paraID>
      <start>0</start>
      <end>11</end>
      <status>unmodified</status>
      <modifiedWord/>
      <trackRevisions>false</trackRevisions>
    </reviewItem>
    <reviewItem>
      <errorID>68fbd185-0bbd-46c8-883f-b0e6258ab904</errorID>
      <errorWord>2018年01月17日</errorWord>
      <group>L1_Knowledge</group>
      <groupName>知识性问题</groupName>
      <ability>L2_Time</ability>
      <abilityName>日期时间</abilityName>
      <candidateList>
        <item>2018年1月17日</item>
      </candidateList>
      <explain>根据日常书写习惯，月份一般会省略前导零。</explain>
      <paraID> F6464D1</paraID>
      <start>0</start>
      <end>11</end>
      <status>unmodified</status>
      <modifiedWord/>
      <trackRevisions>false</trackRevisions>
    </reviewItem>
    <reviewItem>
      <errorID>aa803fd1-583a-4b98-8210-ed6a3dbe9b49</errorID>
      <errorWord>基本上</errorWord>
      <group>L1_Word</group>
      <groupName>字词问题</groupName>
      <ability>L2_Typo</ability>
      <abilityName>字词错误</abilityName>
      <candidateList>
        <item>基本</item>
      </candidateList>
      <explain>❶〈名〉根本：人民是国家的～。❷〈形〉属性词。根本的：～矛盾｜～原理。❸〈形〉属性词。主要的：～条件｜～群众。❹〈副〉大体上：质量～合格｜大坝工程已经～完成。</explain>
      <paraID>4CC14493</paraID>
      <start>168</start>
      <end>171</end>
      <status>unmodified</status>
      <modifiedWord/>
      <trackRevisions>false</trackRevisions>
    </reviewItem>
    <reviewItem>
      <errorID>2ca4bab1-5c4f-41cf-9a7d-fa5ad2bddc65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2D88760D</paraID>
      <start>0</start>
      <end>2</end>
      <status>unmodified</status>
      <modifiedWord/>
      <trackRevisions>false</trackRevisions>
    </reviewItem>
    <reviewItem>
      <errorID>8aae24b1-3916-4eac-a5b9-a83583e9e8d2</errorID>
      <errorWord>[2018]40号</errorWord>
      <group>L1_Knowledge</group>
      <groupName>知识性问题</groupName>
      <ability>L2_Knowledge</ability>
      <abilityName>其他知识</abilityName>
      <candidateList>
        <item>〔2018〕40号</item>
      </candidateList>
      <explain>发文字号格式错误。</explain>
      <paraID>6725961B</paraID>
      <start>46</start>
      <end>55</end>
      <status>unmodified</status>
      <modifiedWord/>
      <trackRevisions>false</trackRevisions>
    </reviewItem>
    <reviewItem>
      <errorID>7972940f-6396-4415-838d-5f7e8b44a449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1778890F</paraID>
      <start>0</start>
      <end>2</end>
      <status>unmodified</status>
      <modifiedWord/>
      <trackRevisions>false</trackRevisions>
    </reviewItem>
    <reviewItem>
      <errorID>f3b8929b-6a1d-4139-a7ed-d3ae8774a40c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4D4F42DC</paraID>
      <start>0</start>
      <end>2</end>
      <status>unmodified</status>
      <modifiedWord/>
      <trackRevisions>false</trackRevisions>
    </reviewItem>
    <reviewItem>
      <errorID>bf13750f-fd34-4e36-98dd-51d898904898</errorID>
      <errorWord>季报季报</errorWord>
      <group>L1_Word</group>
      <groupName>字词问题</groupName>
      <ability>L2_Typo</ability>
      <abilityName>字词错误</abilityName>
      <candidateList>
        <item>季报</item>
      </candidateList>
      <explain/>
      <paraID>5004059D</paraID>
      <start>86</start>
      <end>90</end>
      <status>unmodified</status>
      <modifiedWord/>
      <trackRevisions>false</trackRevisions>
    </reviewItem>
    <reviewItem>
      <errorID>1565440a-8396-4bcf-b675-5082e1691eae</errorID>
      <errorWord>[2018]40号</errorWord>
      <group>L1_Knowledge</group>
      <groupName>知识性问题</groupName>
      <ability>L2_Knowledge</ability>
      <abilityName>其他知识</abilityName>
      <candidateList>
        <item>〔2018〕40号</item>
      </candidateList>
      <explain>发文字号格式错误。</explain>
      <paraID>5B9F9AC7</paraID>
      <start>93</start>
      <end>102</end>
      <status>unmodified</status>
      <modifiedWord/>
      <trackRevisions>false</trackRevisions>
    </reviewItem>
    <reviewItem>
      <errorID>eae75101-5e1c-46f7-954c-41b0bf092b9f</errorID>
      <errorWord>消音器</errorWord>
      <group>L1_Word</group>
      <groupName>字词问题</groupName>
      <ability>L2_Typo</ability>
      <abilityName>字词错误</abilityName>
      <candidateList>
        <item>消声器</item>
      </candidateList>
      <explain/>
      <paraID>42CAA9BE</paraID>
      <start>14</start>
      <end>17</end>
      <status>unmodified</status>
      <modifiedWord/>
      <trackRevisions>false</trackRevisions>
    </reviewItem>
    <reviewItem>
      <errorID>10ed8b28-a668-4ec3-ad4f-62732d02b38b</errorID>
      <errorWord>消音器</errorWord>
      <group>L1_Word</group>
      <groupName>字词问题</groupName>
      <ability>L2_Typo</ability>
      <abilityName>字词错误</abilityName>
      <candidateList>
        <item>消声器</item>
      </candidateList>
      <explain/>
      <paraID>73DEA846</paraID>
      <start>14</start>
      <end>17</end>
      <status>unmodified</status>
      <modifiedWord/>
      <trackRevisions>false</trackRevisions>
    </reviewItem>
    <reviewItem>
      <errorID>75061251-666d-4b10-a32b-a5d097b11041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113D7912</paraID>
      <start>54</start>
      <end>55</end>
      <status>unmodified</status>
      <modifiedWord/>
      <trackRevisions>false</trackRevisions>
    </reviewItem>
    <reviewItem>
      <errorID>05b6b63a-ebdb-4579-8d61-07460087c159</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113D7912</paraID>
      <start>82</start>
      <end>86</end>
      <status>unmodified</status>
      <modifiedWord/>
      <trackRevisions>false</trackRevisions>
    </reviewItem>
    <reviewItem>
      <errorID>c6091b10-ec0a-4611-8dd4-f5ae10484516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113D7912</paraID>
      <start>96</start>
      <end>97</end>
      <status>unmodified</status>
      <modifiedWord/>
      <trackRevisions>false</trackRevisions>
    </reviewItem>
    <reviewItem>
      <errorID>c1b541b8-c9f1-47a4-ae37-ce887baa4986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113D7912</paraID>
      <start>162</start>
      <end>163</end>
      <status>unmodified</status>
      <modifiedWord/>
      <trackRevisions>false</trackRevisions>
    </reviewItem>
    <reviewItem>
      <errorID>850d69c3-8a63-4319-b6d1-4233d1b30be9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329D3F05</paraID>
      <start>54</start>
      <end>55</end>
      <status>unmodified</status>
      <modifiedWord/>
      <trackRevisions>false</trackRevisions>
    </reviewItem>
    <reviewItem>
      <errorID>3d6580e5-e752-4645-a358-d75d188dbaad</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329D3F05</paraID>
      <start>82</start>
      <end>86</end>
      <status>unmodified</status>
      <modifiedWord/>
      <trackRevisions>false</trackRevisions>
    </reviewItem>
    <reviewItem>
      <errorID>a14be7c9-8d09-4cac-9251-92549bc80863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329D3F05</paraID>
      <start>96</start>
      <end>97</end>
      <status>unmodified</status>
      <modifiedWord/>
      <trackRevisions>false</trackRevisions>
    </reviewItem>
    <reviewItem>
      <errorID>580e5ad3-6fa5-43a8-8be7-2ecc0625f5e2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329D3F05</paraID>
      <start>162</start>
      <end>163</end>
      <status>unmodified</status>
      <modifiedWord/>
      <trackRevisions>false</trackRevisions>
    </reviewItem>
    <reviewItem>
      <errorID>22be33ab-9bd0-4de9-94ce-120d5cc3de48</errorID>
      <errorWord>(</errorWord>
      <group>L1_Format</group>
      <groupName>格式问题</groupName>
      <ability>L2_HalfPunc</ability>
      <abilityName>全半角检查</abilityName>
      <candidateList>
        <item>（</item>
      </candidateList>
      <explain>文本全半角错误。</explain>
      <paraID>1D0B3E54</paraID>
      <start>11</start>
      <end>12</end>
      <status>unmodified</status>
      <modifiedWord/>
      <trackRevisions>false</trackRevisions>
    </reviewItem>
    <reviewItem>
      <errorID>f673acc8-79e0-4a1c-bdaf-32a7004e089e</errorID>
      <errorWord>)</errorWord>
      <group>L1_Format</group>
      <groupName>格式问题</groupName>
      <ability>L2_HalfPunc</ability>
      <abilityName>全半角检查</abilityName>
      <candidateList>
        <item>）</item>
      </candidateList>
      <explain>文本全半角错误。</explain>
      <paraID>1D0B3E54</paraID>
      <start>15</start>
      <end>16</end>
      <status>unmodified</status>
      <modifiedWord/>
      <trackRevisions>false</trackRevisions>
    </reviewItem>
    <reviewItem>
      <errorID>6b6d8891-2a24-498d-8c29-315c726937b7</errorID>
      <errorWord>(</errorWord>
      <group>L1_Format</group>
      <groupName>格式问题</groupName>
      <ability>L2_HalfPunc</ability>
      <abilityName>全半角检查</abilityName>
      <candidateList>
        <item>（</item>
      </candidateList>
      <explain>文本全半角错误。</explain>
      <paraID>5362CCEB</paraID>
      <start>9</start>
      <end>10</end>
      <status>unmodified</status>
      <modifiedWord/>
      <trackRevisions>false</trackRevisions>
    </reviewItem>
    <reviewItem>
      <errorID>d584a381-a2a9-41a9-a208-2ebca2d430f3</errorID>
      <errorWord>)</errorWord>
      <group>L1_Format</group>
      <groupName>格式问题</groupName>
      <ability>L2_HalfPunc</ability>
      <abilityName>全半角检查</abilityName>
      <candidateList>
        <item>）</item>
      </candidateList>
      <explain>文本全半角错误。</explain>
      <paraID>5362CCEB</paraID>
      <start>13</start>
      <end>14</end>
      <status>unmodified</status>
      <modifiedWord/>
      <trackRevisions>false</trackRevisions>
    </reviewItem>
    <reviewItem>
      <errorID>1f2b043e-353e-43b1-a634-c24b67a78d1c</errorID>
      <errorWord>(</errorWord>
      <group>L1_Format</group>
      <groupName>格式问题</groupName>
      <ability>L2_HalfPunc</ability>
      <abilityName>全半角检查</abilityName>
      <candidateList>
        <item>（</item>
      </candidateList>
      <explain>文本全半角错误。</explain>
      <paraID>73C4A99D</paraID>
      <start>2</start>
      <end>3</end>
      <status>unmodified</status>
      <modifiedWord/>
      <trackRevisions>false</trackRevisions>
    </reviewItem>
    <reviewItem>
      <errorID>e0a9ab11-af94-467b-8bde-4dabe0fc177b</errorID>
      <errorWord>)</errorWord>
      <group>L1_Format</group>
      <groupName>格式问题</groupName>
      <ability>L2_HalfPunc</ability>
      <abilityName>全半角检查</abilityName>
      <candidateList>
        <item>）</item>
      </candidateList>
      <explain>文本全半角错误。</explain>
      <paraID>73C4A99D</paraID>
      <start>4</start>
      <end>5</end>
      <status>unmodified</status>
      <modifiedWord/>
      <trackRevisions>false</trackRevisions>
    </reviewItem>
    <reviewItem>
      <errorID>ca6b8bfd-bacc-4279-afdd-3747ba8b7376</errorID>
      <errorWord>(</errorWord>
      <group>L1_Format</group>
      <groupName>格式问题</groupName>
      <ability>L2_HalfPunc</ability>
      <abilityName>全半角检查</abilityName>
      <candidateList>
        <item>（</item>
      </candidateList>
      <explain>文本全半角错误。</explain>
      <paraID>18A5EB1F</paraID>
      <start>2</start>
      <end>3</end>
      <status>unmodified</status>
      <modifiedWord/>
      <trackRevisions>false</trackRevisions>
    </reviewItem>
    <reviewItem>
      <errorID>f5be3e88-b4ed-4188-b014-5bb476803d6f</errorID>
      <errorWord>)</errorWord>
      <group>L1_Format</group>
      <groupName>格式问题</groupName>
      <ability>L2_HalfPunc</ability>
      <abilityName>全半角检查</abilityName>
      <candidateList>
        <item>）</item>
      </candidateList>
      <explain>文本全半角错误。</explain>
      <paraID>18A5EB1F</paraID>
      <start>4</start>
      <end>5</end>
      <status>unmodified</status>
      <modifiedWord/>
      <trackRevisions>false</trackRevisions>
    </reviewItem>
    <reviewItem>
      <errorID>ed25f996-986a-4e84-916a-f621bc7385c7</errorID>
      <errorWord>,</errorWord>
      <group>L1_Format</group>
      <groupName>格式问题</groupName>
      <ability>L2_HalfPunc</ability>
      <abilityName>全半角检查</abilityName>
      <candidateList>
        <item>，</item>
      </candidateList>
      <explain>文本全半角错误。</explain>
      <paraID>455A48F3</paraID>
      <start>2</start>
      <end>3</end>
      <status>unmodified</status>
      <modifiedWord/>
      <trackRevisions>false</trackRevisions>
    </reviewItem>
    <reviewItem>
      <errorID>90d92774-2f0b-4f4d-9c2d-96692d8a5985</errorID>
      <errorWord>(</errorWord>
      <group>L1_Format</group>
      <groupName>格式问题</groupName>
      <ability>L2_HalfPunc</ability>
      <abilityName>全半角检查</abilityName>
      <candidateList>
        <item>（</item>
      </candidateList>
      <explain>文本全半角错误。</explain>
      <paraID> 1FE8CB6</paraID>
      <start>3</start>
      <end>4</end>
      <status>unmodified</status>
      <modifiedWord/>
      <trackRevisions>false</trackRevisions>
    </reviewItem>
    <reviewItem>
      <errorID>5fba1d22-84b4-4509-b0a1-955018e5925f</errorID>
      <errorWord>)</errorWord>
      <group>L1_Format</group>
      <groupName>格式问题</groupName>
      <ability>L2_HalfPunc</ability>
      <abilityName>全半角检查</abilityName>
      <candidateList>
        <item>）</item>
      </candidateList>
      <explain>文本全半角错误。</explain>
      <paraID> 1FE8CB6</paraID>
      <start>7</start>
      <end>8</end>
      <status>unmodified</status>
      <modifiedWord/>
      <trackRevisions>false</trackRevisions>
    </reviewItem>
    <reviewItem>
      <errorID>18d09f3a-e5e5-430b-943e-5c0015320766</errorID>
      <errorWord>(</errorWord>
      <group>L1_Format</group>
      <groupName>格式问题</groupName>
      <ability>L2_HalfPunc</ability>
      <abilityName>全半角检查</abilityName>
      <candidateList>
        <item>（</item>
      </candidateList>
      <explain>文本全半角错误。</explain>
      <paraID>5D7B0016</paraID>
      <start>4</start>
      <end>5</end>
      <status>unmodified</status>
      <modifiedWord/>
      <trackRevisions>false</trackRevisions>
    </reviewItem>
    <reviewItem>
      <errorID>7541b021-fd70-4bdb-84de-bdcf6ab270a3</errorID>
      <errorWord>)</errorWord>
      <group>L1_Format</group>
      <groupName>格式问题</groupName>
      <ability>L2_HalfPunc</ability>
      <abilityName>全半角检查</abilityName>
      <candidateList>
        <item>）</item>
      </candidateList>
      <explain>文本全半角错误。</explain>
      <paraID>5D7B0016</paraID>
      <start>7</start>
      <end>8</end>
      <status>unmodified</status>
      <modifiedWord/>
      <trackRevisions>false</trackRevisions>
    </reviewItem>
    <reviewItem>
      <errorID>4e9fd70c-3439-4ea8-82f5-10bfcb19046f</errorID>
      <errorWord>(</errorWord>
      <group>L1_Format</group>
      <groupName>格式问题</groupName>
      <ability>L2_HalfPunc</ability>
      <abilityName>全半角检查</abilityName>
      <candidateList>
        <item>（</item>
      </candidateList>
      <explain>文本全半角错误。</explain>
      <paraID>7F08CE8C</paraID>
      <start>3</start>
      <end>4</end>
      <status>unmodified</status>
      <modifiedWord/>
      <trackRevisions>false</trackRevisions>
    </reviewItem>
    <reviewItem>
      <errorID>48c7eae4-2d95-43d1-868f-97a93bd96d93</errorID>
      <errorWord>)</errorWord>
      <group>L1_Format</group>
      <groupName>格式问题</groupName>
      <ability>L2_HalfPunc</ability>
      <abilityName>全半角检查</abilityName>
      <candidateList>
        <item>）</item>
      </candidateList>
      <explain>文本全半角错误。</explain>
      <paraID>7F08CE8C</paraID>
      <start>5</start>
      <end>6</end>
      <status>unmodified</status>
      <modifiedWord/>
      <trackRevisions>false</trackRevisions>
    </reviewItem>
    <reviewItem>
      <errorID>4283da2d-18d1-4e26-8859-774531d55131</errorID>
      <errorWord>(</errorWord>
      <group>L1_Format</group>
      <groupName>格式问题</groupName>
      <ability>L2_HalfPunc</ability>
      <abilityName>全半角检查</abilityName>
      <candidateList>
        <item>（</item>
      </candidateList>
      <explain>文本全半角错误。</explain>
      <paraID>2A9D4A82</paraID>
      <start>4</start>
      <end>5</end>
      <status>unmodified</status>
      <modifiedWord/>
      <trackRevisions>false</trackRevisions>
    </reviewItem>
    <reviewItem>
      <errorID>57621452-fd2f-4eb5-ae23-ed5ed1ef8625</errorID>
      <errorWord>)</errorWord>
      <group>L1_Format</group>
      <groupName>格式问题</groupName>
      <ability>L2_HalfPunc</ability>
      <abilityName>全半角检查</abilityName>
      <candidateList>
        <item>）</item>
      </candidateList>
      <explain>文本全半角错误。</explain>
      <paraID>2A9D4A82</paraID>
      <start>8</start>
      <end>9</end>
      <status>unmodified</status>
      <modifiedWord/>
      <trackRevisions>false</trackRevisions>
    </reviewItem>
    <reviewItem>
      <errorID>b7654bec-c6ec-4fd7-8332-b7f5c50229c1</errorID>
      <errorWord>,</errorWord>
      <group>L1_Format</group>
      <groupName>格式问题</groupName>
      <ability>L2_HalfPunc</ability>
      <abilityName>全半角检查</abilityName>
      <candidateList>
        <item>，</item>
      </candidateList>
      <explain>文本全半角错误。</explain>
      <paraID>4B3B9EF8</paraID>
      <start>4</start>
      <end>5</end>
      <status>unmodified</status>
      <modifiedWord/>
      <trackRevisions>false</trackRevisions>
    </reviewItem>
    <reviewItem>
      <errorID>93f671eb-0d36-403c-a96c-e633a5507a3a</errorID>
      <errorWord>,</errorWord>
      <group>L1_Format</group>
      <groupName>格式问题</groupName>
      <ability>L2_HalfPunc</ability>
      <abilityName>全半角检查</abilityName>
      <candidateList>
        <item>，</item>
      </candidateList>
      <explain>文本全半角错误。</explain>
      <paraID> 6689C65</paraID>
      <start>6</start>
      <end>7</end>
      <status>unmodified</status>
      <modifiedWord/>
      <trackRevisions>false</trackRevisions>
    </reviewItem>
    <reviewItem>
      <errorID>d67a17b8-31d8-47d4-8799-983257e378ba</errorID>
      <errorWord>(</errorWord>
      <group>L1_Format</group>
      <groupName>格式问题</groupName>
      <ability>L2_HalfPunc</ability>
      <abilityName>全半角检查</abilityName>
      <candidateList>
        <item>（</item>
      </candidateList>
      <explain>文本全半角错误。</explain>
      <paraID>49BD6B4E</paraID>
      <start>11</start>
      <end>12</end>
      <status>unmodified</status>
      <modifiedWord/>
      <trackRevisions>false</trackRevisions>
    </reviewItem>
    <reviewItem>
      <errorID>8099d67e-d51e-422a-8010-a730c415b13e</errorID>
      <errorWord>)</errorWord>
      <group>L1_Format</group>
      <groupName>格式问题</groupName>
      <ability>L2_HalfPunc</ability>
      <abilityName>全半角检查</abilityName>
      <candidateList>
        <item>）</item>
      </candidateList>
      <explain>文本全半角错误。</explain>
      <paraID>49BD6B4E</paraID>
      <start>15</start>
      <end>16</end>
      <status>unmodified</status>
      <modifiedWord/>
      <trackRevisions>false</trackRevisions>
    </reviewItem>
    <reviewItem>
      <errorID>21778767-1031-4016-b42d-39538e3881b2</errorID>
      <errorWord>(</errorWord>
      <group>L1_Format</group>
      <groupName>格式问题</groupName>
      <ability>L2_HalfPunc</ability>
      <abilityName>全半角检查</abilityName>
      <candidateList>
        <item>（</item>
      </candidateList>
      <explain>文本全半角错误。</explain>
      <paraID> 2CA7205</paraID>
      <start>9</start>
      <end>10</end>
      <status>unmodified</status>
      <modifiedWord/>
      <trackRevisions>false</trackRevisions>
    </reviewItem>
    <reviewItem>
      <errorID>6801d803-b621-480a-91cb-b4c5420475ab</errorID>
      <errorWord>)</errorWord>
      <group>L1_Format</group>
      <groupName>格式问题</groupName>
      <ability>L2_HalfPunc</ability>
      <abilityName>全半角检查</abilityName>
      <candidateList>
        <item>）</item>
      </candidateList>
      <explain>文本全半角错误。</explain>
      <paraID> 2CA7205</paraID>
      <start>13</start>
      <end>14</end>
      <status>unmodified</status>
      <modifiedWord/>
      <trackRevisions>false</trackRevisions>
    </reviewItem>
    <reviewItem>
      <errorID>474cb443-f461-4283-a73c-95274f474765</errorID>
      <errorWord>作为</errorWord>
      <group>L1_Word</group>
      <groupName>字词问题</groupName>
      <ability>L2_Typo</ability>
      <abilityName>字词错误</abilityName>
      <candidateList>
        <item>为</item>
      </candidateList>
      <explain>（爲、為）wèi❶〈书〉帮助；卫护：～吕氏者右袒，～刘氏者左袒。❷〈介〉表示行为的对象；替：～你庆幸｜～人民服务｜～这本书写一篇序。❸〈介〉表示原因、目的：大家都～这件事高兴｜～建设伟大祖国而奋斗。❹〈书〉〈介〉对；向：不足～外人道。</explain>
      <paraID>4D092DC5</paraID>
      <start>78</start>
      <end>80</end>
      <status>unmodified</status>
      <modifiedWord/>
      <trackRevisions>false</trackRevisions>
    </reviewItem>
    <reviewItem>
      <errorID>a76541c4-c51d-4250-b569-4e4598a84145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28F72BCA</paraID>
      <start>0</start>
      <end>2</end>
      <status>unmodified</status>
      <modifiedWord/>
      <trackRevisions>false</trackRevisions>
    </reviewItem>
    <reviewItem>
      <errorID>f098e286-6b92-42b1-8199-ff0961d10d34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E9995BE</paraID>
      <start>0</start>
      <end>2</end>
      <status>unmodified</status>
      <modifiedWord/>
      <trackRevisions>false</trackRevisions>
    </reviewItem>
    <reviewItem>
      <errorID>58d399a3-69d4-4109-86df-f8d1313ef901</errorID>
      <errorWord>加入至</errorWord>
      <group>L1_Word</group>
      <groupName>字词问题</groupName>
      <ability>L2_Typo</ability>
      <abilityName>字词错误</abilityName>
      <candidateList>
        <item>加入</item>
      </candidateList>
      <explain>〈动〉❶加上；掺进去：～食糖少许。❷参加进去：～工会｜～足球队。</explain>
      <paraID>211F9F4C</paraID>
      <start>117</start>
      <end>120</end>
      <status>unmodified</status>
      <modifiedWord/>
      <trackRevisions>false</trackRevisions>
    </reviewItem>
    <reviewItem>
      <errorID>fe56b706-4e26-4246-9e24-2d9711d013d2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211F9F4C</paraID>
      <start>136</start>
      <end>137</end>
      <status>unmodified</status>
      <modifiedWord/>
      <trackRevisions>false</trackRevisions>
    </reviewItem>
    <reviewItem>
      <errorID>e2dcc29d-0027-4482-b693-8628e4db8a49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1A450B84</paraID>
      <start>0</start>
      <end>2</end>
      <status>unmodified</status>
      <modifiedWord/>
      <trackRevisions>false</trackRevisions>
    </reviewItem>
    <reviewItem>
      <errorID>53eacd91-808b-4d7d-ac9c-742d88137c13</errorID>
      <errorWord>由由</errorWord>
      <group>L1_Word</group>
      <groupName>字词问题</groupName>
      <ability>L2_Typo</ability>
      <abilityName>字词错误</abilityName>
      <candidateList>
        <item>由</item>
      </candidateList>
      <explain>❶缘由：因～｜事～｜理～。❷〈介〉由于▲：咎～自取｜～感冒引起了肺炎。❸经过：必～之路。❹〈介〉表示经由：～南门入场。❺〈动〉顺随；听从：事不～己｜～着性子。❻〈介〉归（某人去做）：准备工作～我负责｜队长～你担任。❼〈介〉表示凭借：～此可知｜人体是～各种细胞组成的。❽〈介〉表示起点：～表及里｜～北京出发。❾（Yóu）〈名〉姓。</explain>
      <paraID> B8D859E</paraID>
      <start>308</start>
      <end>310</end>
      <status>unmodified</status>
      <modifiedWord/>
      <trackRevisions>false</trackRevisions>
    </reviewItem>
    <reviewItem>
      <errorID>95c5bd8b-4645-45c6-a9e8-1fa0950b7817</errorID>
      <errorWord>监测</errorWord>
      <group>L1_Word</group>
      <groupName>字词问题</groupName>
      <ability>L2_Typo</ability>
      <abilityName>字词错误</abilityName>
      <candidateList>
        <item>检测</item>
      </candidateList>
      <explain/>
      <paraID>70721793</paraID>
      <start>89</start>
      <end>91</end>
      <status>unmodified</status>
      <modifiedWord/>
      <trackRevisions>false</trackRevisions>
    </reviewItem>
    <reviewItem>
      <errorID>a46cb63e-90d2-4512-ba1c-c7bea1e1d173</errorID>
      <errorWord>(</errorWord>
      <group>L1_Format</group>
      <groupName>格式问题</groupName>
      <ability>L2_HalfPunc</ability>
      <abilityName>全半角检查</abilityName>
      <candidateList>
        <item>（</item>
      </candidateList>
      <explain>文本全半角错误。</explain>
      <paraID>78B25D84</paraID>
      <start>2</start>
      <end>3</end>
      <status>unmodified</status>
      <modifiedWord/>
      <trackRevisions>false</trackRevisions>
    </reviewItem>
    <reviewItem>
      <errorID>c6a3f6c3-6a51-4a1c-83a4-c2eedc344adf</errorID>
      <errorWord>)</errorWord>
      <group>L1_Format</group>
      <groupName>格式问题</groupName>
      <ability>L2_HalfPunc</ability>
      <abilityName>全半角检查</abilityName>
      <candidateList>
        <item>）</item>
      </candidateList>
      <explain>文本全半角错误。</explain>
      <paraID>78B25D84</paraID>
      <start>6</start>
      <end>7</end>
      <status>unmodified</status>
      <modifiedWord/>
      <trackRevisions>false</trackRevisions>
    </reviewItem>
    <reviewItem>
      <errorID>b589a0b7-ae3c-4759-a496-e77f0f77ef3a</errorID>
      <errorWord>(</errorWord>
      <group>L1_Format</group>
      <groupName>格式问题</groupName>
      <ability>L2_HalfPunc</ability>
      <abilityName>全半角检查</abilityName>
      <candidateList>
        <item>（</item>
      </candidateList>
      <explain>文本全半角错误。</explain>
      <paraID>16381D10</paraID>
      <start>3</start>
      <end>4</end>
      <status>unmodified</status>
      <modifiedWord/>
      <trackRevisions>false</trackRevisions>
    </reviewItem>
    <reviewItem>
      <errorID>b74d22ed-fc05-4743-a90f-f40087b3ec6f</errorID>
      <errorWord>)</errorWord>
      <group>L1_Format</group>
      <groupName>格式问题</groupName>
      <ability>L2_HalfPunc</ability>
      <abilityName>全半角检查</abilityName>
      <candidateList>
        <item>）</item>
      </candidateList>
      <explain>文本全半角错误。</explain>
      <paraID>16381D10</paraID>
      <start>8</start>
      <end>9</end>
      <status>unmodified</status>
      <modifiedWord/>
      <trackRevisions>false</trackRevisions>
    </reviewItem>
    <reviewItem>
      <errorID>c563c8a3-9d6f-4486-9641-08013f63d276</errorID>
      <errorWord>(</errorWord>
      <group>L1_Format</group>
      <groupName>格式问题</groupName>
      <ability>L2_HalfPunc</ability>
      <abilityName>全半角检查</abilityName>
      <candidateList>
        <item>（</item>
      </candidateList>
      <explain>文本全半角错误。</explain>
      <paraID>19D8F546</paraID>
      <start>7</start>
      <end>8</end>
      <status>unmodified</status>
      <modifiedWord/>
      <trackRevisions>false</trackRevisions>
    </reviewItem>
    <reviewItem>
      <errorID>19968228-9d76-43a9-843a-7634db2d3862</errorID>
      <errorWord>)</errorWord>
      <group>L1_Format</group>
      <groupName>格式问题</groupName>
      <ability>L2_HalfPunc</ability>
      <abilityName>全半角检查</abilityName>
      <candidateList>
        <item>）</item>
      </candidateList>
      <explain>文本全半角错误。</explain>
      <paraID>19D8F546</paraID>
      <start>12</start>
      <end>13</end>
      <status>unmodified</status>
      <modifiedWord/>
      <trackRevisions>false</trackRevisions>
    </reviewItem>
    <reviewItem>
      <errorID>110ff3f1-34ea-44ab-866f-99be6bf137f9</errorID>
      <errorWord>(</errorWord>
      <group>L1_Format</group>
      <groupName>格式问题</groupName>
      <ability>L2_HalfPunc</ability>
      <abilityName>全半角检查</abilityName>
      <candidateList>
        <item>（</item>
      </candidateList>
      <explain>文本全半角错误。</explain>
      <paraID>4464E11C</paraID>
      <start>5</start>
      <end>6</end>
      <status>unmodified</status>
      <modifiedWord/>
      <trackRevisions>false</trackRevisions>
    </reviewItem>
    <reviewItem>
      <errorID>6a983b2a-9f35-4d91-973b-27f479082cbc</errorID>
      <errorWord>)</errorWord>
      <group>L1_Format</group>
      <groupName>格式问题</groupName>
      <ability>L2_HalfPunc</ability>
      <abilityName>全半角检查</abilityName>
      <candidateList>
        <item>）</item>
      </candidateList>
      <explain>文本全半角错误。</explain>
      <paraID>4464E11C</paraID>
      <start>10</start>
      <end>11</end>
      <status>unmodified</status>
      <modifiedWord/>
      <trackRevisions>false</trackRevisions>
    </reviewItem>
    <reviewItem>
      <errorID>4757bd7d-0367-42e7-b9f2-5172965bd5b6</errorID>
      <errorWord>(</errorWord>
      <group>L1_Format</group>
      <groupName>格式问题</groupName>
      <ability>L2_HalfPunc</ability>
      <abilityName>全半角检查</abilityName>
      <candidateList>
        <item>（</item>
      </candidateList>
      <explain>文本全半角错误。</explain>
      <paraID>6C447C09</paraID>
      <start>2</start>
      <end>3</end>
      <status>unmodified</status>
      <modifiedWord/>
      <trackRevisions>false</trackRevisions>
    </reviewItem>
    <reviewItem>
      <errorID>cc8df66e-2ba3-40ad-8d22-386325d8cca9</errorID>
      <errorWord>)</errorWord>
      <group>L1_Format</group>
      <groupName>格式问题</groupName>
      <ability>L2_HalfPunc</ability>
      <abilityName>全半角检查</abilityName>
      <candidateList>
        <item>）</item>
      </candidateList>
      <explain>文本全半角错误。</explain>
      <paraID>6C447C09</paraID>
      <start>7</start>
      <end>8</end>
      <status>unmodified</status>
      <modifiedWord/>
      <trackRevisions>false</trackRevisions>
    </reviewItem>
    <reviewItem>
      <errorID>466d040b-5152-475f-acc0-00269ce2243d</errorID>
      <errorWord>(</errorWord>
      <group>L1_Format</group>
      <groupName>格式问题</groupName>
      <ability>L2_HalfPunc</ability>
      <abilityName>全半角检查</abilityName>
      <candidateList>
        <item>（</item>
      </candidateList>
      <explain>文本全半角错误。</explain>
      <paraID>1BDB7778</paraID>
      <start>2</start>
      <end>3</end>
      <status>unmodified</status>
      <modifiedWord/>
      <trackRevisions>false</trackRevisions>
    </reviewItem>
    <reviewItem>
      <errorID>373526a0-1cb1-4b9d-81e3-0ad8a46910fa</errorID>
      <errorWord>)</errorWord>
      <group>L1_Format</group>
      <groupName>格式问题</groupName>
      <ability>L2_HalfPunc</ability>
      <abilityName>全半角检查</abilityName>
      <candidateList>
        <item>）</item>
      </candidateList>
      <explain>文本全半角错误。</explain>
      <paraID>1BDB7778</paraID>
      <start>7</start>
      <end>8</end>
      <status>unmodified</status>
      <modifiedWord/>
      <trackRevisions>false</trackRevisions>
    </reviewItem>
    <reviewItem>
      <errorID>d50a5798-fd62-44a7-9992-b4294ea8d529</errorID>
      <errorWord>(</errorWord>
      <group>L1_Format</group>
      <groupName>格式问题</groupName>
      <ability>L2_HalfPunc</ability>
      <abilityName>全半角检查</abilityName>
      <candidateList>
        <item>（</item>
      </candidateList>
      <explain>文本全半角错误。</explain>
      <paraID>775A18C0</paraID>
      <start>2</start>
      <end>3</end>
      <status>unmodified</status>
      <modifiedWord/>
      <trackRevisions>false</trackRevisions>
    </reviewItem>
    <reviewItem>
      <errorID>71c13da6-936f-447e-96a8-c27ba4b15511</errorID>
      <errorWord>)</errorWord>
      <group>L1_Format</group>
      <groupName>格式问题</groupName>
      <ability>L2_HalfPunc</ability>
      <abilityName>全半角检查</abilityName>
      <candidateList>
        <item>）</item>
      </candidateList>
      <explain>文本全半角错误。</explain>
      <paraID>775A18C0</paraID>
      <start>7</start>
      <end>8</end>
      <status>unmodified</status>
      <modifiedWord/>
      <trackRevisions>false</trackRevisions>
    </reviewItem>
    <reviewItem>
      <errorID>4b4d76a6-7634-4f47-a83e-fac1b0a9bb6c</errorID>
      <errorWord>产噪</errorWord>
      <group>L1_Word</group>
      <groupName>字词问题</groupName>
      <ability>L2_Typo</ability>
      <abilityName>字词错误</abilityName>
      <candidateList>
        <item>降噪</item>
      </candidateList>
      <explain/>
      <paraID>5F8E462A</paraID>
      <start>2</start>
      <end>4</end>
      <status>unmodified</status>
      <modifiedWord/>
      <trackRevisions>false</trackRevisions>
    </reviewItem>
    <reviewItem>
      <errorID>4ef363f3-b079-4158-9f3a-e6db537a7356</errorID>
      <errorWord>监测</errorWord>
      <group>L1_Word</group>
      <groupName>字词问题</groupName>
      <ability>L2_Typo</ability>
      <abilityName>字词错误</abilityName>
      <candidateList>
        <item>检测</item>
      </candidateList>
      <explain/>
      <paraID>5F8E462A</paraID>
      <start>78</start>
      <end>80</end>
      <status>unmodified</status>
      <modifiedWord/>
      <trackRevisions>false</trackRevisions>
    </reviewItem>
    <reviewItem>
      <errorID>d391d650-a6c8-409a-a4b5-2607286435bc</errorID>
      <errorWord>过冲</errorWord>
      <group>L1_Word</group>
      <groupName>字词问题</groupName>
      <ability>L2_Typo</ability>
      <abilityName>字词错误</abilityName>
      <candidateList>
        <item>过程</item>
      </candidateList>
      <explain/>
      <paraID>7269EEEF</paraID>
      <start>5</start>
      <end>7</end>
      <status>unmodified</status>
      <modifiedWord/>
      <trackRevisions>false</trackRevisions>
    </reviewItem>
    <reviewItem>
      <errorID>227fa90c-94ea-4a9c-8fb8-74bec6f94d1b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4BD5972</paraID>
      <start>0</start>
      <end>2</end>
      <status>unmodified</status>
      <modifiedWord/>
      <trackRevisions>false</trackRevisions>
    </reviewItem>
    <reviewItem>
      <errorID>4e1ff5ac-f183-43c7-9b59-1826cb50ab17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72781C3F</paraID>
      <start>68</start>
      <end>69</end>
      <status>unmodified</status>
      <modifiedWord/>
      <trackRevisions>false</trackRevisions>
    </reviewItem>
    <reviewItem>
      <errorID>ac34eded-7432-4a84-bc11-1932d462274f</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72781C3F</paraID>
      <start>96</start>
      <end>100</end>
      <status>unmodified</status>
      <modifiedWord/>
      <trackRevisions>false</trackRevisions>
    </reviewItem>
    <reviewItem>
      <errorID>7968a43f-d0c2-478a-a3a3-31b4945638c8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72781C3F</paraID>
      <start>110</start>
      <end>111</end>
      <status>unmodified</status>
      <modifiedWord/>
      <trackRevisions>false</trackRevisions>
    </reviewItem>
    <reviewItem>
      <errorID>6f95ece7-e499-4a78-bd28-a6b72846f8a0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72781C3F</paraID>
      <start>176</start>
      <end>177</end>
      <status>unmodified</status>
      <modifiedWord/>
      <trackRevisions>false</trackRevisions>
    </reviewItem>
    <reviewItem>
      <errorID>f390cb3d-a44e-48ee-a701-debcedbea0fc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42FC0554</paraID>
      <start>0</start>
      <end>2</end>
      <status>unmodified</status>
      <modifiedWord/>
      <trackRevisions>false</trackRevisions>
    </reviewItem>
    <reviewItem>
      <errorID>a64fea7e-28de-4e17-a507-e8af5c1e1b85</errorID>
      <errorWord>(</errorWord>
      <group>L1_Format</group>
      <groupName>格式问题</groupName>
      <ability>L2_HalfPunc</ability>
      <abilityName>全半角检查</abilityName>
      <candidateList>
        <item>（</item>
      </candidateList>
      <explain>文本全半角错误。</explain>
      <paraID>1375F3A7</paraID>
      <start>40</start>
      <end>41</end>
      <status>unmodified</status>
      <modifiedWord/>
      <trackRevisions>false</trackRevisions>
    </reviewItem>
    <reviewItem>
      <errorID>d8a412e5-74d6-4bc8-8735-9cefb2347350</errorID>
      <errorWord>)</errorWord>
      <group>L1_Format</group>
      <groupName>格式问题</groupName>
      <ability>L2_HalfPunc</ability>
      <abilityName>全半角检查</abilityName>
      <candidateList>
        <item>）</item>
      </candidateList>
      <explain>文本全半角错误。</explain>
      <paraID>1375F3A7</paraID>
      <start>47</start>
      <end>48</end>
      <status>unmodified</status>
      <modifiedWord/>
      <trackRevisions>false</trackRevisions>
    </reviewItem>
    <reviewItem>
      <errorID>a0a06e5a-0fb3-4dd4-9969-c3636869d460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B7582</paraID>
      <start>0</start>
      <end>2</end>
      <status>unmodified</status>
      <modifiedWord/>
      <trackRevisions>false</trackRevisions>
    </reviewItem>
    <reviewItem>
      <errorID>3df6bb03-65bf-4ebf-a488-e522c3ce0f13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601D19CC</paraID>
      <start>139</start>
      <end>140</end>
      <status>unmodified</status>
      <modifiedWord/>
      <trackRevisions>false</trackRevisions>
    </reviewItem>
    <reviewItem>
      <errorID>4536b13b-5ac9-42d0-93dc-24887df567b5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601D19CC</paraID>
      <start>156</start>
      <end>157</end>
      <status>unmodified</status>
      <modifiedWord/>
      <trackRevisions>false</trackRevisions>
    </reviewItem>
    <reviewItem>
      <errorID>a5d5ad71-d284-4fb5-a7d3-a510d927175e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601D19CC</paraID>
      <start>238</start>
      <end>239</end>
      <status>unmodified</status>
      <modifiedWord/>
      <trackRevisions>false</trackRevisions>
    </reviewItem>
    <reviewItem>
      <errorID>80f26417-c862-4cd8-b7e9-ef811c9470bb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4DF2FC77</paraID>
      <start>15</start>
      <end>16</end>
      <status>unmodified</status>
      <modifiedWord/>
      <trackRevisions>false</trackRevisions>
    </reviewItem>
    <reviewItem>
      <errorID>6b80a190-cb82-4238-aa58-5dc4462e7e1e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4DF2FC77</paraID>
      <start>32</start>
      <end>33</end>
      <status>unmodified</status>
      <modifiedWord/>
      <trackRevisions>false</trackRevisions>
    </reviewItem>
    <reviewItem>
      <errorID>22ab9682-69f3-4451-841d-7147789a42a2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3ED12F8F</paraID>
      <start>33</start>
      <end>34</end>
      <status>unmodified</status>
      <modifiedWord/>
      <trackRevisions>false</trackRevisions>
    </reviewItem>
    <reviewItem>
      <errorID>99d4c2e9-3ed1-4dd7-9f03-62f0c61ddedf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3ED12F8F</paraID>
      <start>79</start>
      <end>80</end>
      <status>unmodified</status>
      <modifiedWord/>
      <trackRevisions>false</trackRevisions>
    </reviewItem>
    <reviewItem>
      <errorID>778ea222-dc3f-4357-93a1-b93811e19671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7A1A5A8F</paraID>
      <start>0</start>
      <end>2</end>
      <status>unmodified</status>
      <modifiedWord/>
      <trackRevisions>false</trackRevisions>
    </reviewItem>
    <reviewItem>
      <errorID>8e24b596-6556-46a0-a0b2-47010a732082</errorID>
      <errorWord>区内水文</errorWord>
      <group>L1_Knowledge</group>
      <groupName>知识性问题</groupName>
      <ability>L2_Term</ability>
      <abilityName>专业术语</abilityName>
      <candidateList>
        <item>区域水文</item>
      </candidateList>
      <explain/>
      <paraID>60112971</paraID>
      <start>7</start>
      <end>11</end>
      <status>unmodified</status>
      <modifiedWord/>
      <trackRevisions>false</trackRevisions>
    </reviewItem>
    <reviewItem>
      <errorID>c7a07a8a-022d-4386-8e98-12fb5f41ac9a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5A4634F8</paraID>
      <start>0</start>
      <end>2</end>
      <status>unmodified</status>
      <modifiedWord/>
      <trackRevisions>false</trackRevisions>
    </reviewItem>
    <reviewItem>
      <errorID>e8a5dd06-aba3-452e-a895-01b160e87efa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6E0DC26E</paraID>
      <start>0</start>
      <end>2</end>
      <status>unmodified</status>
      <modifiedWord/>
      <trackRevisions>false</trackRevisions>
    </reviewItem>
    <reviewItem>
      <errorID>cfffa589-50a2-4201-8df2-0bc1f8481506</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1FB7CEF1</paraID>
      <start>0</start>
      <end>2</end>
      <status>unmodified</status>
      <modifiedWord/>
      <trackRevisions>false</trackRevisions>
    </reviewItem>
    <reviewItem>
      <errorID>edbe39c3-17f6-4248-a041-5c37bb2f9cb0</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9AC0CE5</paraID>
      <start>0</start>
      <end>2</end>
      <status>unmodified</status>
      <modifiedWord/>
      <trackRevisions>false</trackRevisions>
    </reviewItem>
    <reviewItem>
      <errorID>e3bdd6a3-e5ba-4005-9c13-01b22e973513</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C508FEA</paraID>
      <start>0</start>
      <end>2</end>
      <status>unmodified</status>
      <modifiedWord/>
      <trackRevisions>false</trackRevisions>
    </reviewItem>
    <reviewItem>
      <errorID>c5f26d38-08e5-4b39-ab2d-d19b9083ec51</errorID>
      <errorWord>IV类</errorWord>
      <group>L1_Knowledge</group>
      <groupName>知识性问题</groupName>
      <ability>L2_Knowledge</ability>
      <abilityName>其他知识</abilityName>
      <candidateList>
        <item>Ⅳ类</item>
      </candidateList>
      <explain/>
      <paraID>66345AEF</paraID>
      <start>38</start>
      <end>41</end>
      <status>unmodified</status>
      <modifiedWord/>
      <trackRevisions>false</trackRevisions>
    </reviewItem>
    <reviewItem>
      <errorID>ae13b89d-3272-4f58-b50f-8f055a2be808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46009D4D</paraID>
      <start>0</start>
      <end>2</end>
      <status>unmodified</status>
      <modifiedWord/>
      <trackRevisions>false</trackRevisions>
    </reviewItem>
    <reviewItem>
      <errorID>c6daadeb-9653-44dc-bea7-b11839bf6d0c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36A30A91</paraID>
      <start>0</start>
      <end>2</end>
      <status>unmodified</status>
      <modifiedWord/>
      <trackRevisions>false</trackRevisions>
    </reviewItem>
    <reviewItem>
      <errorID>f797f40d-968e-40aa-958c-c54ba8bbd37c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51BCE6C1</paraID>
      <start>0</start>
      <end>2</end>
      <status>unmodified</status>
      <modifiedWord/>
      <trackRevisions>false</trackRevisions>
    </reviewItem>
    <reviewItem>
      <errorID>24f82847-2731-4d57-bd92-a44641ce377a</errorID>
      <errorWord>)</errorWord>
      <group>L1_Format</group>
      <groupName>格式问题</groupName>
      <ability>L2_HalfPunc</ability>
      <abilityName>全半角检查</abilityName>
      <candidateList>
        <item>）</item>
      </candidateList>
      <explain>文本全半角错误。</explain>
      <paraID>56ED694E</paraID>
      <start>48</start>
      <end>49</end>
      <status>unmodified</status>
      <modifiedWord/>
      <trackRevisions>false</trackRevisions>
    </reviewItem>
    <reviewItem>
      <errorID>c0b609d3-2e36-4014-91bd-9401525ad4fb</errorID>
      <errorWord>)</errorWord>
      <group>L1_Format</group>
      <groupName>格式问题</groupName>
      <ability>L2_HalfPunc</ability>
      <abilityName>全半角检查</abilityName>
      <candidateList>
        <item>）</item>
      </candidateList>
      <explain>文本全半角错误。</explain>
      <paraID>56ED694E</paraID>
      <start>58</start>
      <end>59</end>
      <status>unmodified</status>
      <modifiedWord/>
      <trackRevisions>false</trackRevisions>
    </reviewItem>
    <reviewItem>
      <errorID>8606dec1-6028-4dfb-9df1-a01932e56c4d</errorID>
      <errorWord>)</errorWord>
      <group>L1_Format</group>
      <groupName>格式问题</groupName>
      <ability>L2_HalfPunc</ability>
      <abilityName>全半角检查</abilityName>
      <candidateList>
        <item>）</item>
      </candidateList>
      <explain>文本全半角错误。</explain>
      <paraID>56ED694E</paraID>
      <start>123</start>
      <end>124</end>
      <status>unmodified</status>
      <modifiedWord/>
      <trackRevisions>false</trackRevisions>
    </reviewItem>
    <reviewItem>
      <errorID>0225483d-1fa7-435b-aa8a-1153d9ce6051</errorID>
      <errorWord>（</errorWord>
      <group>L1_Punc</group>
      <groupName>标点问题</groupName>
      <ability>L2_Punc</ability>
      <abilityName>标点符号检查</abilityName>
      <candidateList/>
      <explain/>
      <paraID>56ED694E</paraID>
      <start>135</start>
      <end>136</end>
      <status>unmodified</status>
      <modifiedWord/>
      <trackRevisions>false</trackRevisions>
    </reviewItem>
    <reviewItem>
      <errorID>f06ea3b0-d87d-4d2a-b143-ad2d559f671d</errorID>
      <errorWord>氣</errorWord>
      <group>L1_Word</group>
      <groupName>字词问题</groupName>
      <ability>L2_Fanti</ability>
      <abilityName>繁转简</abilityName>
      <candidateList>
        <item>气</item>
      </candidateList>
      <explain/>
      <paraID>56ED694E</paraID>
      <start>150</start>
      <end>151</end>
      <status>unmodified</status>
      <modifiedWord/>
      <trackRevisions>false</trackRevisions>
    </reviewItem>
    <reviewItem>
      <errorID>31b3bca7-d2a7-49c9-974c-a7451e6489f2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78967E4A</paraID>
      <start>0</start>
      <end>2</end>
      <status>unmodified</status>
      <modifiedWord/>
      <trackRevisions>false</trackRevisions>
    </reviewItem>
    <reviewItem>
      <errorID>9fb79b3f-152d-4d90-ab91-70bdb4f01ec1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4E7288E1</paraID>
      <start>0</start>
      <end>2</end>
      <status>unmodified</status>
      <modifiedWord/>
      <trackRevisions>false</trackRevisions>
    </reviewItem>
    <reviewItem>
      <errorID>9f8e6c01-d982-44af-873b-84bb74c03983</errorID>
      <errorWord>(</errorWord>
      <group>L1_Format</group>
      <groupName>格式问题</groupName>
      <ability>L2_HalfPunc</ability>
      <abilityName>全半角检查</abilityName>
      <candidateList>
        <item>（</item>
      </candidateList>
      <explain>文本全半角错误。</explain>
      <paraID>60C2FDEF</paraID>
      <start>3</start>
      <end>4</end>
      <status>unmodified</status>
      <modifiedWord/>
      <trackRevisions>false</trackRevisions>
    </reviewItem>
    <reviewItem>
      <errorID>4d10ea77-5e89-4fd1-b60d-3bf36d91cc24</errorID>
      <errorWord>)</errorWord>
      <group>L1_Format</group>
      <groupName>格式问题</groupName>
      <ability>L2_HalfPunc</ability>
      <abilityName>全半角检查</abilityName>
      <candidateList>
        <item>）</item>
      </candidateList>
      <explain>文本全半角错误。</explain>
      <paraID>60C2FDEF</paraID>
      <start>7</start>
      <end>8</end>
      <status>unmodified</status>
      <modifiedWord/>
      <trackRevisions>false</trackRevisions>
    </reviewItem>
    <reviewItem>
      <errorID>4fb1605f-7e68-48c1-a9fb-6e2275973551</errorID>
      <errorWord>(</errorWord>
      <group>L1_Format</group>
      <groupName>格式问题</groupName>
      <ability>L2_HalfPunc</ability>
      <abilityName>全半角检查</abilityName>
      <candidateList>
        <item>（</item>
      </candidateList>
      <explain>文本全半角错误。</explain>
      <paraID>23B0205F</paraID>
      <start>3</start>
      <end>4</end>
      <status>unmodified</status>
      <modifiedWord/>
      <trackRevisions>false</trackRevisions>
    </reviewItem>
    <reviewItem>
      <errorID>18e28c86-942b-4b10-8d5c-1870244f4ad8</errorID>
      <errorWord>)</errorWord>
      <group>L1_Format</group>
      <groupName>格式问题</groupName>
      <ability>L2_HalfPunc</ability>
      <abilityName>全半角检查</abilityName>
      <candidateList>
        <item>）</item>
      </candidateList>
      <explain>文本全半角错误。</explain>
      <paraID>23B0205F</paraID>
      <start>8</start>
      <end>9</end>
      <status>unmodified</status>
      <modifiedWord/>
      <trackRevisions>false</trackRevisions>
    </reviewItem>
    <reviewItem>
      <errorID>f5d0886d-f83b-45f1-b53a-4753273c41f1</errorID>
      <errorWord>(</errorWord>
      <group>L1_Format</group>
      <groupName>格式问题</groupName>
      <ability>L2_HalfPunc</ability>
      <abilityName>全半角检查</abilityName>
      <candidateList>
        <item>（</item>
      </candidateList>
      <explain>文本全半角错误。</explain>
      <paraID>431AB438</paraID>
      <start>6</start>
      <end>7</end>
      <status>unmodified</status>
      <modifiedWord/>
      <trackRevisions>false</trackRevisions>
    </reviewItem>
    <reviewItem>
      <errorID>0ce82ecd-c1cd-4dc0-9850-7efd35b149e7</errorID>
      <errorWord>)</errorWord>
      <group>L1_Format</group>
      <groupName>格式问题</groupName>
      <ability>L2_HalfPunc</ability>
      <abilityName>全半角检查</abilityName>
      <candidateList>
        <item>）</item>
      </candidateList>
      <explain>文本全半角错误。</explain>
      <paraID>431AB438</paraID>
      <start>11</start>
      <end>12</end>
      <status>unmodified</status>
      <modifiedWord/>
      <trackRevisions>false</trackRevisions>
    </reviewItem>
    <reviewItem>
      <errorID>87d43729-69eb-40cf-9a30-768f71849b0f</errorID>
      <errorWord>(</errorWord>
      <group>L1_Format</group>
      <groupName>格式问题</groupName>
      <ability>L2_HalfPunc</ability>
      <abilityName>全半角检查</abilityName>
      <candidateList>
        <item>（</item>
      </candidateList>
      <explain>文本全半角错误。</explain>
      <paraID>11C34E94</paraID>
      <start>5</start>
      <end>6</end>
      <status>unmodified</status>
      <modifiedWord/>
      <trackRevisions>false</trackRevisions>
    </reviewItem>
    <reviewItem>
      <errorID>ab9450a3-8435-41cb-a86b-e0242509d37a</errorID>
      <errorWord>)</errorWord>
      <group>L1_Format</group>
      <groupName>格式问题</groupName>
      <ability>L2_HalfPunc</ability>
      <abilityName>全半角检查</abilityName>
      <candidateList>
        <item>）</item>
      </candidateList>
      <explain>文本全半角错误。</explain>
      <paraID>11C34E94</paraID>
      <start>15</start>
      <end>16</end>
      <status>unmodified</status>
      <modifiedWord/>
      <trackRevisions>false</trackRevisions>
    </reviewItem>
    <reviewItem>
      <errorID>9afd9273-9b7d-434f-bb62-78bf600138a7</errorID>
      <errorWord>(</errorWord>
      <group>L1_Format</group>
      <groupName>格式问题</groupName>
      <ability>L2_HalfPunc</ability>
      <abilityName>全半角检查</abilityName>
      <candidateList>
        <item>（</item>
      </candidateList>
      <explain>文本全半角错误。</explain>
      <paraID>232FC5C6</paraID>
      <start>3</start>
      <end>4</end>
      <status>unmodified</status>
      <modifiedWord/>
      <trackRevisions>false</trackRevisions>
    </reviewItem>
    <reviewItem>
      <errorID>4e58d815-2922-42b6-8a49-36da59680f58</errorID>
      <errorWord>)</errorWord>
      <group>L1_Format</group>
      <groupName>格式问题</groupName>
      <ability>L2_HalfPunc</ability>
      <abilityName>全半角检查</abilityName>
      <candidateList>
        <item>）</item>
      </candidateList>
      <explain>文本全半角错误。</explain>
      <paraID>232FC5C6</paraID>
      <start>8</start>
      <end>9</end>
      <status>unmodified</status>
      <modifiedWord/>
      <trackRevisions>false</trackRevisions>
    </reviewItem>
    <reviewItem>
      <errorID>490a25a3-8da5-4be2-8091-ad1f037d0c66</errorID>
      <errorWord>(</errorWord>
      <group>L1_Format</group>
      <groupName>格式问题</groupName>
      <ability>L2_HalfPunc</ability>
      <abilityName>全半角检查</abilityName>
      <candidateList>
        <item>（</item>
      </candidateList>
      <explain>文本全半角错误。</explain>
      <paraID>6A902BC7</paraID>
      <start>2</start>
      <end>3</end>
      <status>unmodified</status>
      <modifiedWord/>
      <trackRevisions>false</trackRevisions>
    </reviewItem>
    <reviewItem>
      <errorID>0e014349-725a-4d44-8d1a-489ab24f7e11</errorID>
      <errorWord>)</errorWord>
      <group>L1_Format</group>
      <groupName>格式问题</groupName>
      <ability>L2_HalfPunc</ability>
      <abilityName>全半角检查</abilityName>
      <candidateList>
        <item>）</item>
      </candidateList>
      <explain>文本全半角错误。</explain>
      <paraID>6A902BC7</paraID>
      <start>7</start>
      <end>8</end>
      <status>unmodified</status>
      <modifiedWord/>
      <trackRevisions>false</trackRevisions>
    </reviewItem>
    <reviewItem>
      <errorID>a90bd7e1-218d-4296-af09-597b93bb77f4</errorID>
      <errorWord>(</errorWord>
      <group>L1_Format</group>
      <groupName>格式问题</groupName>
      <ability>L2_HalfPunc</ability>
      <abilityName>全半角检查</abilityName>
      <candidateList>
        <item>（</item>
      </candidateList>
      <explain>文本全半角错误。</explain>
      <paraID>59E55EC8</paraID>
      <start>5</start>
      <end>6</end>
      <status>unmodified</status>
      <modifiedWord/>
      <trackRevisions>false</trackRevisions>
    </reviewItem>
    <reviewItem>
      <errorID>d4d78862-ab2c-42e0-95ce-dae9278f3fdd</errorID>
      <errorWord>)</errorWord>
      <group>L1_Format</group>
      <groupName>格式问题</groupName>
      <ability>L2_HalfPunc</ability>
      <abilityName>全半角检查</abilityName>
      <candidateList>
        <item>）</item>
      </candidateList>
      <explain>文本全半角错误。</explain>
      <paraID>59E55EC8</paraID>
      <start>10</start>
      <end>11</end>
      <status>unmodified</status>
      <modifiedWord/>
      <trackRevisions>false</trackRevisions>
    </reviewItem>
    <reviewItem>
      <errorID>5f4b9e74-ad0b-4b38-8176-b1e11909fa00</errorID>
      <errorWord>(</errorWord>
      <group>L1_Format</group>
      <groupName>格式问题</groupName>
      <ability>L2_HalfPunc</ability>
      <abilityName>全半角检查</abilityName>
      <candidateList>
        <item>（</item>
      </candidateList>
      <explain>文本全半角错误。</explain>
      <paraID> EA836F1</paraID>
      <start>3</start>
      <end>4</end>
      <status>unmodified</status>
      <modifiedWord/>
      <trackRevisions>false</trackRevisions>
    </reviewItem>
    <reviewItem>
      <errorID>dea0a3fd-4438-4f56-b6f1-2bc7af7e9d5b</errorID>
      <errorWord>)</errorWord>
      <group>L1_Format</group>
      <groupName>格式问题</groupName>
      <ability>L2_HalfPunc</ability>
      <abilityName>全半角检查</abilityName>
      <candidateList>
        <item>）</item>
      </candidateList>
      <explain>文本全半角错误。</explain>
      <paraID> EA836F1</paraID>
      <start>7</start>
      <end>8</end>
      <status>unmodified</status>
      <modifiedWord/>
      <trackRevisions>false</trackRevisions>
    </reviewItem>
    <reviewItem>
      <errorID>f2f557f6-7c43-4304-be4e-71dad60e8987</errorID>
      <errorWord>(</errorWord>
      <group>L1_Format</group>
      <groupName>格式问题</groupName>
      <ability>L2_HalfPunc</ability>
      <abilityName>全半角检查</abilityName>
      <candidateList>
        <item>（</item>
      </candidateList>
      <explain>文本全半角错误。</explain>
      <paraID> 49EAABE</paraID>
      <start>3</start>
      <end>4</end>
      <status>unmodified</status>
      <modifiedWord/>
      <trackRevisions>false</trackRevisions>
    </reviewItem>
    <reviewItem>
      <errorID>c8720e71-669d-4a14-ae6a-92b1afb7c9fe</errorID>
      <errorWord>)</errorWord>
      <group>L1_Format</group>
      <groupName>格式问题</groupName>
      <ability>L2_HalfPunc</ability>
      <abilityName>全半角检查</abilityName>
      <candidateList>
        <item>）</item>
      </candidateList>
      <explain>文本全半角错误。</explain>
      <paraID> 49EAABE</paraID>
      <start>8</start>
      <end>9</end>
      <status>unmodified</status>
      <modifiedWord/>
      <trackRevisions>false</trackRevisions>
    </reviewItem>
    <reviewItem>
      <errorID>66482734-897a-4c1f-8fa1-b34848ff5037</errorID>
      <errorWord>(</errorWord>
      <group>L1_Format</group>
      <groupName>格式问题</groupName>
      <ability>L2_HalfPunc</ability>
      <abilityName>全半角检查</abilityName>
      <candidateList>
        <item>（</item>
      </candidateList>
      <explain>文本全半角错误。</explain>
      <paraID>26329028</paraID>
      <start>3</start>
      <end>4</end>
      <status>unmodified</status>
      <modifiedWord/>
      <trackRevisions>false</trackRevisions>
    </reviewItem>
    <reviewItem>
      <errorID>db4fbc89-433b-47b2-98d3-b4ebe8c5e350</errorID>
      <errorWord>)</errorWord>
      <group>L1_Format</group>
      <groupName>格式问题</groupName>
      <ability>L2_HalfPunc</ability>
      <abilityName>全半角检查</abilityName>
      <candidateList>
        <item>）</item>
      </candidateList>
      <explain>文本全半角错误。</explain>
      <paraID>26329028</paraID>
      <start>8</start>
      <end>9</end>
      <status>unmodified</status>
      <modifiedWord/>
      <trackRevisions>false</trackRevisions>
    </reviewItem>
    <reviewItem>
      <errorID>12020259-297b-4e7c-af27-02b06d2b1604</errorID>
      <errorWord>(</errorWord>
      <group>L1_Format</group>
      <groupName>格式问题</groupName>
      <ability>L2_HalfPunc</ability>
      <abilityName>全半角检查</abilityName>
      <candidateList>
        <item>（</item>
      </candidateList>
      <explain>文本全半角错误。</explain>
      <paraID>19F858A7</paraID>
      <start>3</start>
      <end>4</end>
      <status>unmodified</status>
      <modifiedWord/>
      <trackRevisions>false</trackRevisions>
    </reviewItem>
    <reviewItem>
      <errorID>af1950c7-39c8-43b1-baec-e9d8ec96ae25</errorID>
      <errorWord>)</errorWord>
      <group>L1_Format</group>
      <groupName>格式问题</groupName>
      <ability>L2_HalfPunc</ability>
      <abilityName>全半角检查</abilityName>
      <candidateList>
        <item>）</item>
      </candidateList>
      <explain>文本全半角错误。</explain>
      <paraID>19F858A7</paraID>
      <start>8</start>
      <end>9</end>
      <status>unmodified</status>
      <modifiedWord/>
      <trackRevisions>false</trackRevisions>
    </reviewItem>
    <reviewItem>
      <errorID>d71d7f3b-dd01-401a-81f6-5fcdde54920d</errorID>
      <errorWord>(</errorWord>
      <group>L1_Format</group>
      <groupName>格式问题</groupName>
      <ability>L2_HalfPunc</ability>
      <abilityName>全半角检查</abilityName>
      <candidateList>
        <item>（</item>
      </candidateList>
      <explain>文本全半角错误。</explain>
      <paraID> 55BC6A1</paraID>
      <start>3</start>
      <end>4</end>
      <status>unmodified</status>
      <modifiedWord/>
      <trackRevisions>false</trackRevisions>
    </reviewItem>
    <reviewItem>
      <errorID>9f33b806-dd79-4206-8e41-41163085a239</errorID>
      <errorWord>)</errorWord>
      <group>L1_Format</group>
      <groupName>格式问题</groupName>
      <ability>L2_HalfPunc</ability>
      <abilityName>全半角检查</abilityName>
      <candidateList>
        <item>）</item>
      </candidateList>
      <explain>文本全半角错误。</explain>
      <paraID> 55BC6A1</paraID>
      <start>8</start>
      <end>9</end>
      <status>unmodified</status>
      <modifiedWord/>
      <trackRevisions>false</trackRevisions>
    </reviewItem>
    <reviewItem>
      <errorID>b889b432-a0d2-4d72-a2e1-e066448e4144</errorID>
      <errorWord>(</errorWord>
      <group>L1_Format</group>
      <groupName>格式问题</groupName>
      <ability>L2_HalfPunc</ability>
      <abilityName>全半角检查</abilityName>
      <candidateList>
        <item>（</item>
      </candidateList>
      <explain>文本全半角错误。</explain>
      <paraID>185879BA</paraID>
      <start>4</start>
      <end>5</end>
      <status>unmodified</status>
      <modifiedWord/>
      <trackRevisions>false</trackRevisions>
    </reviewItem>
    <reviewItem>
      <errorID>8882b83f-c766-4131-9adc-941a2682203e</errorID>
      <errorWord>)</errorWord>
      <group>L1_Format</group>
      <groupName>格式问题</groupName>
      <ability>L2_HalfPunc</ability>
      <abilityName>全半角检查</abilityName>
      <candidateList>
        <item>）</item>
      </candidateList>
      <explain>文本全半角错误。</explain>
      <paraID>185879BA</paraID>
      <start>8</start>
      <end>9</end>
      <status>unmodified</status>
      <modifiedWord/>
      <trackRevisions>false</trackRevisions>
    </reviewItem>
    <reviewItem>
      <errorID>f47d19a0-0cc2-493e-b6e8-d434fec358e9</errorID>
      <errorWord>(</errorWord>
      <group>L1_Format</group>
      <groupName>格式问题</groupName>
      <ability>L2_HalfPunc</ability>
      <abilityName>全半角检查</abilityName>
      <candidateList>
        <item>（</item>
      </candidateList>
      <explain>文本全半角错误。</explain>
      <paraID> 4FDE513</paraID>
      <start>3</start>
      <end>4</end>
      <status>unmodified</status>
      <modifiedWord/>
      <trackRevisions>false</trackRevisions>
    </reviewItem>
    <reviewItem>
      <errorID>8b0eb169-24f9-4aa4-8879-35e538b3e239</errorID>
      <errorWord>)</errorWord>
      <group>L1_Format</group>
      <groupName>格式问题</groupName>
      <ability>L2_HalfPunc</ability>
      <abilityName>全半角检查</abilityName>
      <candidateList>
        <item>）</item>
      </candidateList>
      <explain>文本全半角错误。</explain>
      <paraID> 4FDE513</paraID>
      <start>7</start>
      <end>8</end>
      <status>unmodified</status>
      <modifiedWord/>
      <trackRevisions>false</trackRevisions>
    </reviewItem>
    <reviewItem>
      <errorID>f7d38e14-d5e5-484b-908c-31b894842e76</errorID>
      <errorWord>(</errorWord>
      <group>L1_Format</group>
      <groupName>格式问题</groupName>
      <ability>L2_HalfPunc</ability>
      <abilityName>全半角检查</abilityName>
      <candidateList>
        <item>（</item>
      </candidateList>
      <explain>文本全半角错误。</explain>
      <paraID> 1E1C523</paraID>
      <start>3</start>
      <end>4</end>
      <status>unmodified</status>
      <modifiedWord/>
      <trackRevisions>false</trackRevisions>
    </reviewItem>
    <reviewItem>
      <errorID>c745c967-3d00-4374-bee7-91f8af5b2c47</errorID>
      <errorWord>)</errorWord>
      <group>L1_Format</group>
      <groupName>格式问题</groupName>
      <ability>L2_HalfPunc</ability>
      <abilityName>全半角检查</abilityName>
      <candidateList>
        <item>）</item>
      </candidateList>
      <explain>文本全半角错误。</explain>
      <paraID> 1E1C523</paraID>
      <start>8</start>
      <end>9</end>
      <status>unmodified</status>
      <modifiedWord/>
      <trackRevisions>false</trackRevisions>
    </reviewItem>
    <reviewItem>
      <errorID>c72cfa2e-fed1-4a57-8925-8f130c3c3e68</errorID>
      <errorWord>(</errorWord>
      <group>L1_Format</group>
      <groupName>格式问题</groupName>
      <ability>L2_HalfPunc</ability>
      <abilityName>全半角检查</abilityName>
      <candidateList>
        <item>（</item>
      </candidateList>
      <explain>文本全半角错误。</explain>
      <paraID>64BCDDA4</paraID>
      <start>3</start>
      <end>4</end>
      <status>unmodified</status>
      <modifiedWord/>
      <trackRevisions>false</trackRevisions>
    </reviewItem>
    <reviewItem>
      <errorID>75a63b70-e2ea-4211-b8a1-1d7db2cdf01c</errorID>
      <errorWord>)</errorWord>
      <group>L1_Format</group>
      <groupName>格式问题</groupName>
      <ability>L2_HalfPunc</ability>
      <abilityName>全半角检查</abilityName>
      <candidateList>
        <item>）</item>
      </candidateList>
      <explain>文本全半角错误。</explain>
      <paraID>64BCDDA4</paraID>
      <start>8</start>
      <end>9</end>
      <status>unmodified</status>
      <modifiedWord/>
      <trackRevisions>false</trackRevisions>
    </reviewItem>
    <reviewItem>
      <errorID>6da804b5-329b-4046-8157-0f4f6bfba29c</errorID>
      <errorWord>(</errorWord>
      <group>L1_Format</group>
      <groupName>格式问题</groupName>
      <ability>L2_HalfPunc</ability>
      <abilityName>全半角检查</abilityName>
      <candidateList>
        <item>（</item>
      </candidateList>
      <explain>文本全半角错误。</explain>
      <paraID>5A5DA63C</paraID>
      <start>3</start>
      <end>4</end>
      <status>unmodified</status>
      <modifiedWord/>
      <trackRevisions>false</trackRevisions>
    </reviewItem>
    <reviewItem>
      <errorID>6d9db209-b030-4320-bd83-7c0679c5f2d9</errorID>
      <errorWord>)</errorWord>
      <group>L1_Format</group>
      <groupName>格式问题</groupName>
      <ability>L2_HalfPunc</ability>
      <abilityName>全半角检查</abilityName>
      <candidateList>
        <item>）</item>
      </candidateList>
      <explain>文本全半角错误。</explain>
      <paraID>5A5DA63C</paraID>
      <start>8</start>
      <end>9</end>
      <status>unmodified</status>
      <modifiedWord/>
      <trackRevisions>false</trackRevisions>
    </reviewItem>
    <reviewItem>
      <errorID>97b99f25-c6ea-44b4-8a10-411c0cce6291</errorID>
      <errorWord>(</errorWord>
      <group>L1_Format</group>
      <groupName>格式问题</groupName>
      <ability>L2_HalfPunc</ability>
      <abilityName>全半角检查</abilityName>
      <candidateList>
        <item>（</item>
      </candidateList>
      <explain>文本全半角错误。</explain>
      <paraID>628ED57A</paraID>
      <start>2</start>
      <end>3</end>
      <status>unmodified</status>
      <modifiedWord/>
      <trackRevisions>false</trackRevisions>
    </reviewItem>
    <reviewItem>
      <errorID>0ef6a1b3-b243-4174-9fe4-b8fa33678536</errorID>
      <errorWord>)</errorWord>
      <group>L1_Format</group>
      <groupName>格式问题</groupName>
      <ability>L2_HalfPunc</ability>
      <abilityName>全半角检查</abilityName>
      <candidateList>
        <item>）</item>
      </candidateList>
      <explain>文本全半角错误。</explain>
      <paraID>628ED57A</paraID>
      <start>6</start>
      <end>7</end>
      <status>unmodified</status>
      <modifiedWord/>
      <trackRevisions>false</trackRevisions>
    </reviewItem>
    <reviewItem>
      <errorID>5ea1d27c-5604-4ec1-abad-bb0f91dcfb45</errorID>
      <errorWord>(</errorWord>
      <group>L1_Format</group>
      <groupName>格式问题</groupName>
      <ability>L2_HalfPunc</ability>
      <abilityName>全半角检查</abilityName>
      <candidateList>
        <item>（</item>
      </candidateList>
      <explain>文本全半角错误。</explain>
      <paraID>2B48D78D</paraID>
      <start>3</start>
      <end>4</end>
      <status>unmodified</status>
      <modifiedWord/>
      <trackRevisions>false</trackRevisions>
    </reviewItem>
    <reviewItem>
      <errorID>6fdceb39-8c65-422a-90a7-5909d51f7be2</errorID>
      <errorWord>)</errorWord>
      <group>L1_Format</group>
      <groupName>格式问题</groupName>
      <ability>L2_HalfPunc</ability>
      <abilityName>全半角检查</abilityName>
      <candidateList>
        <item>）</item>
      </candidateList>
      <explain>文本全半角错误。</explain>
      <paraID>2B48D78D</paraID>
      <start>15</start>
      <end>16</end>
      <status>unmodified</status>
      <modifiedWord/>
      <trackRevisions>false</trackRevisions>
    </reviewItem>
    <reviewItem>
      <errorID>fce2d192-ebf4-4ae1-bea4-b6eba16ac2c0</errorID>
      <errorWord>(</errorWord>
      <group>L1_Format</group>
      <groupName>格式问题</groupName>
      <ability>L2_HalfPunc</ability>
      <abilityName>全半角检查</abilityName>
      <candidateList>
        <item>（</item>
      </candidateList>
      <explain>文本全半角错误。</explain>
      <paraID> F7DE9DC</paraID>
      <start>3</start>
      <end>4</end>
      <status>unmodified</status>
      <modifiedWord/>
      <trackRevisions>false</trackRevisions>
    </reviewItem>
    <reviewItem>
      <errorID>737d9c70-3e0d-4224-b4ea-f45046131929</errorID>
      <errorWord>)</errorWord>
      <group>L1_Format</group>
      <groupName>格式问题</groupName>
      <ability>L2_HalfPunc</ability>
      <abilityName>全半角检查</abilityName>
      <candidateList>
        <item>）</item>
      </candidateList>
      <explain>文本全半角错误。</explain>
      <paraID> F7DE9DC</paraID>
      <start>8</start>
      <end>9</end>
      <status>unmodified</status>
      <modifiedWord/>
      <trackRevisions>false</trackRevisions>
    </reviewItem>
    <reviewItem>
      <errorID>6c143399-c6cd-4983-a120-f9477fbc9b73</errorID>
      <errorWord>(</errorWord>
      <group>L1_Format</group>
      <groupName>格式问题</groupName>
      <ability>L2_HalfPunc</ability>
      <abilityName>全半角检查</abilityName>
      <candidateList>
        <item>（</item>
      </candidateList>
      <explain>文本全半角错误。</explain>
      <paraID>17EAB5D1</paraID>
      <start>3</start>
      <end>4</end>
      <status>unmodified</status>
      <modifiedWord/>
      <trackRevisions>false</trackRevisions>
    </reviewItem>
    <reviewItem>
      <errorID>616534d2-59d4-41d2-b0e0-4d755313d4fb</errorID>
      <errorWord>)</errorWord>
      <group>L1_Format</group>
      <groupName>格式问题</groupName>
      <ability>L2_HalfPunc</ability>
      <abilityName>全半角检查</abilityName>
      <candidateList>
        <item>）</item>
      </candidateList>
      <explain>文本全半角错误。</explain>
      <paraID>17EAB5D1</paraID>
      <start>8</start>
      <end>9</end>
      <status>unmodified</status>
      <modifiedWord/>
      <trackRevisions>false</trackRevisions>
    </reviewItem>
    <reviewItem>
      <errorID>6370955f-0af8-4e22-a115-1e96bfbe7757</errorID>
      <errorWord>(</errorWord>
      <group>L1_Format</group>
      <groupName>格式问题</groupName>
      <ability>L2_HalfPunc</ability>
      <abilityName>全半角检查</abilityName>
      <candidateList>
        <item>（</item>
      </candidateList>
      <explain>文本全半角错误。</explain>
      <paraID>52F0EE60</paraID>
      <start>1</start>
      <end>2</end>
      <status>unmodified</status>
      <modifiedWord/>
      <trackRevisions>false</trackRevisions>
    </reviewItem>
    <reviewItem>
      <errorID>e2e491e7-c654-48ad-8d91-5a77c5cc22dc</errorID>
      <errorWord>)</errorWord>
      <group>L1_Format</group>
      <groupName>格式问题</groupName>
      <ability>L2_HalfPunc</ability>
      <abilityName>全半角检查</abilityName>
      <candidateList>
        <item>）</item>
      </candidateList>
      <explain>文本全半角错误。</explain>
      <paraID>52F0EE60</paraID>
      <start>6</start>
      <end>7</end>
      <status>unmodified</status>
      <modifiedWord/>
      <trackRevisions>false</trackRevisions>
    </reviewItem>
    <reviewItem>
      <errorID>d6b6c6fb-2e5f-4483-8a45-07ba80db69a0</errorID>
      <errorWord>(</errorWord>
      <group>L1_Format</group>
      <groupName>格式问题</groupName>
      <ability>L2_HalfPunc</ability>
      <abilityName>全半角检查</abilityName>
      <candidateList>
        <item>（</item>
      </candidateList>
      <explain>文本全半角错误。</explain>
      <paraID>11262673</paraID>
      <start>1</start>
      <end>2</end>
      <status>unmodified</status>
      <modifiedWord/>
      <trackRevisions>false</trackRevisions>
    </reviewItem>
    <reviewItem>
      <errorID>2cebc683-9936-44d5-8678-46260b681301</errorID>
      <errorWord>)</errorWord>
      <group>L1_Format</group>
      <groupName>格式问题</groupName>
      <ability>L2_HalfPunc</ability>
      <abilityName>全半角检查</abilityName>
      <candidateList>
        <item>）</item>
      </candidateList>
      <explain>文本全半角错误。</explain>
      <paraID>11262673</paraID>
      <start>6</start>
      <end>7</end>
      <status>unmodified</status>
      <modifiedWord/>
      <trackRevisions>false</trackRevisions>
    </reviewItem>
    <reviewItem>
      <errorID>ad2b006b-c9ba-4b07-b1ea-4ceb0490159c</errorID>
      <errorWord>(</errorWord>
      <group>L1_Format</group>
      <groupName>格式问题</groupName>
      <ability>L2_HalfPunc</ability>
      <abilityName>全半角检查</abilityName>
      <candidateList>
        <item>（</item>
      </candidateList>
      <explain>文本全半角错误。</explain>
      <paraID>4EB528EE</paraID>
      <start>1</start>
      <end>2</end>
      <status>unmodified</status>
      <modifiedWord/>
      <trackRevisions>false</trackRevisions>
    </reviewItem>
    <reviewItem>
      <errorID>f11bc8a0-f0cc-4740-b2cc-c0126ae1ad5c</errorID>
      <errorWord>)</errorWord>
      <group>L1_Format</group>
      <groupName>格式问题</groupName>
      <ability>L2_HalfPunc</ability>
      <abilityName>全半角检查</abilityName>
      <candidateList>
        <item>）</item>
      </candidateList>
      <explain>文本全半角错误。</explain>
      <paraID>4EB528EE</paraID>
      <start>6</start>
      <end>7</end>
      <status>unmodified</status>
      <modifiedWord/>
      <trackRevisions>false</trackRevisions>
    </reviewItem>
    <reviewItem>
      <errorID>c988a749-bd6a-401f-8cd7-4f18fbea3ba8</errorID>
      <errorWord>(</errorWord>
      <group>L1_Format</group>
      <groupName>格式问题</groupName>
      <ability>L2_HalfPunc</ability>
      <abilityName>全半角检查</abilityName>
      <candidateList>
        <item>（</item>
      </candidateList>
      <explain>文本全半角错误。</explain>
      <paraID>1F21E1EB</paraID>
      <start>1</start>
      <end>2</end>
      <status>unmodified</status>
      <modifiedWord/>
      <trackRevisions>false</trackRevisions>
    </reviewItem>
    <reviewItem>
      <errorID>065d2341-be55-4486-8891-112fe4ed8c0e</errorID>
      <errorWord>)</errorWord>
      <group>L1_Format</group>
      <groupName>格式问题</groupName>
      <ability>L2_HalfPunc</ability>
      <abilityName>全半角检查</abilityName>
      <candidateList>
        <item>）</item>
      </candidateList>
      <explain>文本全半角错误。</explain>
      <paraID>1F21E1EB</paraID>
      <start>6</start>
      <end>7</end>
      <status>unmodified</status>
      <modifiedWord/>
      <trackRevisions>false</trackRevisions>
    </reviewItem>
    <reviewItem>
      <errorID>fb655e9d-71e8-498b-bccb-34ad12d01f35</errorID>
      <errorWord>(</errorWord>
      <group>L1_Format</group>
      <groupName>格式问题</groupName>
      <ability>L2_HalfPunc</ability>
      <abilityName>全半角检查</abilityName>
      <candidateList>
        <item>（</item>
      </candidateList>
      <explain>文本全半角错误。</explain>
      <paraID>7731663A</paraID>
      <start>1</start>
      <end>2</end>
      <status>unmodified</status>
      <modifiedWord/>
      <trackRevisions>false</trackRevisions>
    </reviewItem>
    <reviewItem>
      <errorID>259e320c-ae81-4fc9-b4dd-36975cdad34a</errorID>
      <errorWord>)</errorWord>
      <group>L1_Format</group>
      <groupName>格式问题</groupName>
      <ability>L2_HalfPunc</ability>
      <abilityName>全半角检查</abilityName>
      <candidateList>
        <item>）</item>
      </candidateList>
      <explain>文本全半角错误。</explain>
      <paraID>7731663A</paraID>
      <start>6</start>
      <end>7</end>
      <status>unmodified</status>
      <modifiedWord/>
      <trackRevisions>false</trackRevisions>
    </reviewItem>
    <reviewItem>
      <errorID>e279b311-7f1b-46b7-b38f-55347fc835be</errorID>
      <errorWord>(</errorWord>
      <group>L1_Format</group>
      <groupName>格式问题</groupName>
      <ability>L2_HalfPunc</ability>
      <abilityName>全半角检查</abilityName>
      <candidateList>
        <item>（</item>
      </candidateList>
      <explain>文本全半角错误。</explain>
      <paraID>434BF7B6</paraID>
      <start>3</start>
      <end>4</end>
      <status>unmodified</status>
      <modifiedWord/>
      <trackRevisions>false</trackRevisions>
    </reviewItem>
    <reviewItem>
      <errorID>a3f76905-d2bc-406c-a67a-d9e86649bbf2</errorID>
      <errorWord>)</errorWord>
      <group>L1_Format</group>
      <groupName>格式问题</groupName>
      <ability>L2_HalfPunc</ability>
      <abilityName>全半角检查</abilityName>
      <candidateList>
        <item>）</item>
      </candidateList>
      <explain>文本全半角错误。</explain>
      <paraID>434BF7B6</paraID>
      <start>8</start>
      <end>9</end>
      <status>unmodified</status>
      <modifiedWord/>
      <trackRevisions>false</trackRevisions>
    </reviewItem>
    <reviewItem>
      <errorID>f78ade7a-68f6-4e9c-b44c-3bd075ec6f46</errorID>
      <errorWord>(</errorWord>
      <group>L1_Format</group>
      <groupName>格式问题</groupName>
      <ability>L2_HalfPunc</ability>
      <abilityName>全半角检查</abilityName>
      <candidateList>
        <item>（</item>
      </candidateList>
      <explain>文本全半角错误。</explain>
      <paraID>7A53D2EB</paraID>
      <start>8</start>
      <end>9</end>
      <status>unmodified</status>
      <modifiedWord/>
      <trackRevisions>false</trackRevisions>
    </reviewItem>
    <reviewItem>
      <errorID>153bc059-ebda-4eb9-8a1b-7929f89913a2</errorID>
      <errorWord>)</errorWord>
      <group>L1_Format</group>
      <groupName>格式问题</groupName>
      <ability>L2_HalfPunc</ability>
      <abilityName>全半角检查</abilityName>
      <candidateList>
        <item>）</item>
      </candidateList>
      <explain>文本全半角错误。</explain>
      <paraID>7A53D2EB</paraID>
      <start>13</start>
      <end>14</end>
      <status>unmodified</status>
      <modifiedWord/>
      <trackRevisions>false</trackRevisions>
    </reviewItem>
    <reviewItem>
      <errorID>95b45483-838f-4fdd-80cb-3d5e6522b2f8</errorID>
      <errorWord>(</errorWord>
      <group>L1_Format</group>
      <groupName>格式问题</groupName>
      <ability>L2_HalfPunc</ability>
      <abilityName>全半角检查</abilityName>
      <candidateList>
        <item>（</item>
      </candidateList>
      <explain>文本全半角错误。</explain>
      <paraID>72315A11</paraID>
      <start>3</start>
      <end>4</end>
      <status>unmodified</status>
      <modifiedWord/>
      <trackRevisions>false</trackRevisions>
    </reviewItem>
    <reviewItem>
      <errorID>715bec2d-4a7b-427f-964a-c856d253dca4</errorID>
      <errorWord>)</errorWord>
      <group>L1_Format</group>
      <groupName>格式问题</groupName>
      <ability>L2_HalfPunc</ability>
      <abilityName>全半角检查</abilityName>
      <candidateList>
        <item>）</item>
      </candidateList>
      <explain>文本全半角错误。</explain>
      <paraID>72315A11</paraID>
      <start>8</start>
      <end>9</end>
      <status>unmodified</status>
      <modifiedWord/>
      <trackRevisions>false</trackRevisions>
    </reviewItem>
    <reviewItem>
      <errorID>ac85391a-1e5f-4f1e-893c-1a6d015e052d</errorID>
      <errorWord>(</errorWord>
      <group>L1_Format</group>
      <groupName>格式问题</groupName>
      <ability>L2_HalfPunc</ability>
      <abilityName>全半角检查</abilityName>
      <candidateList>
        <item>（</item>
      </candidateList>
      <explain>文本全半角错误。</explain>
      <paraID>6B3DB3F2</paraID>
      <start>1</start>
      <end>2</end>
      <status>unmodified</status>
      <modifiedWord/>
      <trackRevisions>false</trackRevisions>
    </reviewItem>
    <reviewItem>
      <errorID>ff4f6ea9-1531-4dd1-841f-ec6e163f0687</errorID>
      <errorWord>)</errorWord>
      <group>L1_Format</group>
      <groupName>格式问题</groupName>
      <ability>L2_HalfPunc</ability>
      <abilityName>全半角检查</abilityName>
      <candidateList>
        <item>）</item>
      </candidateList>
      <explain>文本全半角错误。</explain>
      <paraID>6B3DB3F2</paraID>
      <start>6</start>
      <end>7</end>
      <status>unmodified</status>
      <modifiedWord/>
      <trackRevisions>false</trackRevisions>
    </reviewItem>
    <reviewItem>
      <errorID>47bce40e-822d-4886-9e05-dfa2e4d0b90f</errorID>
      <errorWord>(</errorWord>
      <group>L1_Format</group>
      <groupName>格式问题</groupName>
      <ability>L2_HalfPunc</ability>
      <abilityName>全半角检查</abilityName>
      <candidateList>
        <item>（</item>
      </candidateList>
      <explain>文本全半角错误。</explain>
      <paraID>775FB6E9</paraID>
      <start>1</start>
      <end>2</end>
      <status>unmodified</status>
      <modifiedWord/>
      <trackRevisions>false</trackRevisions>
    </reviewItem>
    <reviewItem>
      <errorID>70d53080-e6ce-461d-a0f0-48cf1ead7591</errorID>
      <errorWord>)</errorWord>
      <group>L1_Format</group>
      <groupName>格式问题</groupName>
      <ability>L2_HalfPunc</ability>
      <abilityName>全半角检查</abilityName>
      <candidateList>
        <item>）</item>
      </candidateList>
      <explain>文本全半角错误。</explain>
      <paraID>775FB6E9</paraID>
      <start>6</start>
      <end>7</end>
      <status>unmodified</status>
      <modifiedWord/>
      <trackRevisions>false</trackRevisions>
    </reviewItem>
    <reviewItem>
      <errorID>f75e0c0c-3f7a-4db9-9038-037a3b9daa35</errorID>
      <errorWord>(</errorWord>
      <group>L1_Format</group>
      <groupName>格式问题</groupName>
      <ability>L2_HalfPunc</ability>
      <abilityName>全半角检查</abilityName>
      <candidateList>
        <item>（</item>
      </candidateList>
      <explain>文本全半角错误。</explain>
      <paraID>5A7C0266</paraID>
      <start>1</start>
      <end>2</end>
      <status>unmodified</status>
      <modifiedWord/>
      <trackRevisions>false</trackRevisions>
    </reviewItem>
    <reviewItem>
      <errorID>22d1812e-fef6-49df-8a06-84157ebee2b3</errorID>
      <errorWord>)</errorWord>
      <group>L1_Format</group>
      <groupName>格式问题</groupName>
      <ability>L2_HalfPunc</ability>
      <abilityName>全半角检查</abilityName>
      <candidateList>
        <item>）</item>
      </candidateList>
      <explain>文本全半角错误。</explain>
      <paraID>5A7C0266</paraID>
      <start>6</start>
      <end>7</end>
      <status>unmodified</status>
      <modifiedWord/>
      <trackRevisions>false</trackRevisions>
    </reviewItem>
    <reviewItem>
      <errorID>1d26f06c-4e62-48b9-9add-a8b950ea9a0d</errorID>
      <errorWord>(</errorWord>
      <group>L1_Format</group>
      <groupName>格式问题</groupName>
      <ability>L2_HalfPunc</ability>
      <abilityName>全半角检查</abilityName>
      <candidateList>
        <item>（</item>
      </candidateList>
      <explain>文本全半角错误。</explain>
      <paraID>4F0B3281</paraID>
      <start>1</start>
      <end>2</end>
      <status>unmodified</status>
      <modifiedWord/>
      <trackRevisions>false</trackRevisions>
    </reviewItem>
    <reviewItem>
      <errorID>37bd2375-b5da-4af5-b1a4-82ade48cb52c</errorID>
      <errorWord>)</errorWord>
      <group>L1_Format</group>
      <groupName>格式问题</groupName>
      <ability>L2_HalfPunc</ability>
      <abilityName>全半角检查</abilityName>
      <candidateList>
        <item>）</item>
      </candidateList>
      <explain>文本全半角错误。</explain>
      <paraID>4F0B3281</paraID>
      <start>6</start>
      <end>7</end>
      <status>unmodified</status>
      <modifiedWord/>
      <trackRevisions>false</trackRevisions>
    </reviewItem>
    <reviewItem>
      <errorID>fa620583-b3ba-48b9-9340-8d4fe1d49c21</errorID>
      <errorWord>(</errorWord>
      <group>L1_Format</group>
      <groupName>格式问题</groupName>
      <ability>L2_HalfPunc</ability>
      <abilityName>全半角检查</abilityName>
      <candidateList>
        <item>（</item>
      </candidateList>
      <explain>文本全半角错误。</explain>
      <paraID>42398674</paraID>
      <start>1</start>
      <end>2</end>
      <status>unmodified</status>
      <modifiedWord/>
      <trackRevisions>false</trackRevisions>
    </reviewItem>
    <reviewItem>
      <errorID>64dfab56-cbe5-4e5b-b269-7d8cb747c377</errorID>
      <errorWord>)</errorWord>
      <group>L1_Format</group>
      <groupName>格式问题</groupName>
      <ability>L2_HalfPunc</ability>
      <abilityName>全半角检查</abilityName>
      <candidateList>
        <item>）</item>
      </candidateList>
      <explain>文本全半角错误。</explain>
      <paraID>42398674</paraID>
      <start>6</start>
      <end>7</end>
      <status>unmodified</status>
      <modifiedWord/>
      <trackRevisions>false</trackRevisions>
    </reviewItem>
    <reviewItem>
      <errorID>9e1f32ae-e727-4433-a38b-cb912a17a48a</errorID>
      <errorWord>(</errorWord>
      <group>L1_Format</group>
      <groupName>格式问题</groupName>
      <ability>L2_HalfPunc</ability>
      <abilityName>全半角检查</abilityName>
      <candidateList>
        <item>（</item>
      </candidateList>
      <explain>文本全半角错误。</explain>
      <paraID>48C8B002</paraID>
      <start>1</start>
      <end>2</end>
      <status>unmodified</status>
      <modifiedWord/>
      <trackRevisions>false</trackRevisions>
    </reviewItem>
    <reviewItem>
      <errorID>b3304783-c9ed-455f-a121-80312c1b858a</errorID>
      <errorWord>)</errorWord>
      <group>L1_Format</group>
      <groupName>格式问题</groupName>
      <ability>L2_HalfPunc</ability>
      <abilityName>全半角检查</abilityName>
      <candidateList>
        <item>）</item>
      </candidateList>
      <explain>文本全半角错误。</explain>
      <paraID>48C8B002</paraID>
      <start>6</start>
      <end>7</end>
      <status>unmodified</status>
      <modifiedWord/>
      <trackRevisions>false</trackRevisions>
    </reviewItem>
    <reviewItem>
      <errorID>d119ae1d-fb37-4cf5-966b-00dff78d4b95</errorID>
      <errorWord>(</errorWord>
      <group>L1_Format</group>
      <groupName>格式问题</groupName>
      <ability>L2_HalfPunc</ability>
      <abilityName>全半角检查</abilityName>
      <candidateList>
        <item>（</item>
      </candidateList>
      <explain>文本全半角错误。</explain>
      <paraID>492D3A26</paraID>
      <start>1</start>
      <end>2</end>
      <status>unmodified</status>
      <modifiedWord/>
      <trackRevisions>false</trackRevisions>
    </reviewItem>
    <reviewItem>
      <errorID>a8796121-cf49-4554-b23e-5f681a930164</errorID>
      <errorWord>)</errorWord>
      <group>L1_Format</group>
      <groupName>格式问题</groupName>
      <ability>L2_HalfPunc</ability>
      <abilityName>全半角检查</abilityName>
      <candidateList>
        <item>）</item>
      </candidateList>
      <explain>文本全半角错误。</explain>
      <paraID>492D3A26</paraID>
      <start>4</start>
      <end>5</end>
      <status>unmodified</status>
      <modifiedWord/>
      <trackRevisions>false</trackRevisions>
    </reviewItem>
    <reviewItem>
      <errorID>bcbc021a-a1af-4098-894d-9ef9d2c77d05</errorID>
      <errorWord>(</errorWord>
      <group>L1_Format</group>
      <groupName>格式问题</groupName>
      <ability>L2_HalfPunc</ability>
      <abilityName>全半角检查</abilityName>
      <candidateList>
        <item>（</item>
      </candidateList>
      <explain>文本全半角错误。</explain>
      <paraID>768569FF</paraID>
      <start>3</start>
      <end>4</end>
      <status>unmodified</status>
      <modifiedWord/>
      <trackRevisions>false</trackRevisions>
    </reviewItem>
    <reviewItem>
      <errorID>90701b19-b105-4ae2-9058-e15c517fa195</errorID>
      <errorWord>)</errorWord>
      <group>L1_Format</group>
      <groupName>格式问题</groupName>
      <ability>L2_HalfPunc</ability>
      <abilityName>全半角检查</abilityName>
      <candidateList>
        <item>）</item>
      </candidateList>
      <explain>文本全半角错误。</explain>
      <paraID>768569FF</paraID>
      <start>11</start>
      <end>12</end>
      <status>unmodified</status>
      <modifiedWord/>
      <trackRevisions>false</trackRevisions>
    </reviewItem>
    <reviewItem>
      <errorID>d049637c-3ff4-4be3-8555-1464df748d6c</errorID>
      <errorWord>(</errorWord>
      <group>L1_Format</group>
      <groupName>格式问题</groupName>
      <ability>L2_HalfPunc</ability>
      <abilityName>全半角检查</abilityName>
      <candidateList>
        <item>（</item>
      </candidateList>
      <explain>文本全半角错误。</explain>
      <paraID> DE1A829</paraID>
      <start>6</start>
      <end>7</end>
      <status>unmodified</status>
      <modifiedWord/>
      <trackRevisions>false</trackRevisions>
    </reviewItem>
    <reviewItem>
      <errorID>010daf2e-971b-4dc6-9979-67a2aa537dbe</errorID>
      <errorWord>)</errorWord>
      <group>L1_Format</group>
      <groupName>格式问题</groupName>
      <ability>L2_HalfPunc</ability>
      <abilityName>全半角检查</abilityName>
      <candidateList>
        <item>）</item>
      </candidateList>
      <explain>文本全半角错误。</explain>
      <paraID> DE1A829</paraID>
      <start>10</start>
      <end>11</end>
      <status>unmodified</status>
      <modifiedWord/>
      <trackRevisions>false</trackRevisions>
    </reviewItem>
    <reviewItem>
      <errorID>d591e315-e0ac-4f0a-afc0-15a24b4af2c3</errorID>
      <errorWord>(</errorWord>
      <group>L1_Format</group>
      <groupName>格式问题</groupName>
      <ability>L2_HalfPunc</ability>
      <abilityName>全半角检查</abilityName>
      <candidateList>
        <item>（</item>
      </candidateList>
      <explain>文本全半角错误。</explain>
      <paraID>65B21BEC</paraID>
      <start>1</start>
      <end>2</end>
      <status>unmodified</status>
      <modifiedWord/>
      <trackRevisions>false</trackRevisions>
    </reviewItem>
    <reviewItem>
      <errorID>cae37ef4-5413-4744-8062-3abda2a34b41</errorID>
      <errorWord>)</errorWord>
      <group>L1_Format</group>
      <groupName>格式问题</groupName>
      <ability>L2_HalfPunc</ability>
      <abilityName>全半角检查</abilityName>
      <candidateList>
        <item>）</item>
      </candidateList>
      <explain>文本全半角错误。</explain>
      <paraID>65B21BEC</paraID>
      <start>6</start>
      <end>7</end>
      <status>unmodified</status>
      <modifiedWord/>
      <trackRevisions>false</trackRevisions>
    </reviewItem>
    <reviewItem>
      <errorID>1fb7ba2d-0fc1-4f03-9d4e-7fc14fc08421</errorID>
      <errorWord>(</errorWord>
      <group>L1_Format</group>
      <groupName>格式问题</groupName>
      <ability>L2_HalfPunc</ability>
      <abilityName>全半角检查</abilityName>
      <candidateList>
        <item>（</item>
      </candidateList>
      <explain>文本全半角错误。</explain>
      <paraID> A8E06B0</paraID>
      <start>2</start>
      <end>3</end>
      <status>unmodified</status>
      <modifiedWord/>
      <trackRevisions>false</trackRevisions>
    </reviewItem>
    <reviewItem>
      <errorID>c3cc5638-9e80-4e56-b7b3-2e84e968a313</errorID>
      <errorWord>)</errorWord>
      <group>L1_Format</group>
      <groupName>格式问题</groupName>
      <ability>L2_HalfPunc</ability>
      <abilityName>全半角检查</abilityName>
      <candidateList>
        <item>）</item>
      </candidateList>
      <explain>文本全半角错误。</explain>
      <paraID> A8E06B0</paraID>
      <start>7</start>
      <end>8</end>
      <status>unmodified</status>
      <modifiedWord/>
      <trackRevisions>false</trackRevisions>
    </reviewItem>
    <reviewItem>
      <errorID>7a63191b-c593-4848-aec2-c467db46ad0f</errorID>
      <errorWord>(</errorWord>
      <group>L1_Format</group>
      <groupName>格式问题</groupName>
      <ability>L2_HalfPunc</ability>
      <abilityName>全半角检查</abilityName>
      <candidateList>
        <item>（</item>
      </candidateList>
      <explain>文本全半角错误。</explain>
      <paraID>6D07937B</paraID>
      <start>4</start>
      <end>5</end>
      <status>unmodified</status>
      <modifiedWord/>
      <trackRevisions>false</trackRevisions>
    </reviewItem>
    <reviewItem>
      <errorID>c90d52da-7c9a-4dbb-97ae-011362fc3c4e</errorID>
      <errorWord>)</errorWord>
      <group>L1_Format</group>
      <groupName>格式问题</groupName>
      <ability>L2_HalfPunc</ability>
      <abilityName>全半角检查</abilityName>
      <candidateList>
        <item>）</item>
      </candidateList>
      <explain>文本全半角错误。</explain>
      <paraID>6D07937B</paraID>
      <start>9</start>
      <end>10</end>
      <status>unmodified</status>
      <modifiedWord/>
      <trackRevisions>false</trackRevisions>
    </reviewItem>
    <reviewItem>
      <errorID>b9a85f1a-5a9b-43c8-96d3-646e65a11e6e</errorID>
      <errorWord>(</errorWord>
      <group>L1_Format</group>
      <groupName>格式问题</groupName>
      <ability>L2_HalfPunc</ability>
      <abilityName>全半角检查</abilityName>
      <candidateList>
        <item>（</item>
      </candidateList>
      <explain>文本全半角错误。</explain>
      <paraID>7B095ED5</paraID>
      <start>4</start>
      <end>5</end>
      <status>unmodified</status>
      <modifiedWord/>
      <trackRevisions>false</trackRevisions>
    </reviewItem>
    <reviewItem>
      <errorID>d2f2fdca-8721-4468-8a71-9958f6e3ab5d</errorID>
      <errorWord>)</errorWord>
      <group>L1_Format</group>
      <groupName>格式问题</groupName>
      <ability>L2_HalfPunc</ability>
      <abilityName>全半角检查</abilityName>
      <candidateList>
        <item>）</item>
      </candidateList>
      <explain>文本全半角错误。</explain>
      <paraID>7B095ED5</paraID>
      <start>8</start>
      <end>9</end>
      <status>unmodified</status>
      <modifiedWord/>
      <trackRevisions>false</trackRevisions>
    </reviewItem>
    <reviewItem>
      <errorID>89332291-af3a-4928-8d41-6a9bafc6a18d</errorID>
      <errorWord>(</errorWord>
      <group>L1_Format</group>
      <groupName>格式问题</groupName>
      <ability>L2_HalfPunc</ability>
      <abilityName>全半角检查</abilityName>
      <candidateList>
        <item>（</item>
      </candidateList>
      <explain>文本全半角错误。</explain>
      <paraID>49E50D9D</paraID>
      <start>5</start>
      <end>6</end>
      <status>unmodified</status>
      <modifiedWord/>
      <trackRevisions>false</trackRevisions>
    </reviewItem>
    <reviewItem>
      <errorID>7f978303-7431-48b8-ae6a-a9fc2c1aa525</errorID>
      <errorWord>)</errorWord>
      <group>L1_Format</group>
      <groupName>格式问题</groupName>
      <ability>L2_HalfPunc</ability>
      <abilityName>全半角检查</abilityName>
      <candidateList>
        <item>）</item>
      </candidateList>
      <explain>文本全半角错误。</explain>
      <paraID>49E50D9D</paraID>
      <start>15</start>
      <end>16</end>
      <status>unmodified</status>
      <modifiedWord/>
      <trackRevisions>false</trackRevisions>
    </reviewItem>
    <reviewItem>
      <errorID>ad0bd060-0b18-4240-8ed6-c2294bf88997</errorID>
      <errorWord>(</errorWord>
      <group>L1_Format</group>
      <groupName>格式问题</groupName>
      <ability>L2_HalfPunc</ability>
      <abilityName>全半角检查</abilityName>
      <candidateList>
        <item>（</item>
      </candidateList>
      <explain>文本全半角错误。</explain>
      <paraID>2F327BA6</paraID>
      <start>4</start>
      <end>5</end>
      <status>unmodified</status>
      <modifiedWord/>
      <trackRevisions>false</trackRevisions>
    </reviewItem>
    <reviewItem>
      <errorID>33b9d283-cad7-4873-949b-2574e850d258</errorID>
      <errorWord>)</errorWord>
      <group>L1_Format</group>
      <groupName>格式问题</groupName>
      <ability>L2_HalfPunc</ability>
      <abilityName>全半角检查</abilityName>
      <candidateList>
        <item>）</item>
      </candidateList>
      <explain>文本全半角错误。</explain>
      <paraID>2F327BA6</paraID>
      <start>11</start>
      <end>12</end>
      <status>unmodified</status>
      <modifiedWord/>
      <trackRevisions>false</trackRevisions>
    </reviewItem>
    <reviewItem>
      <errorID>853e6257-4b5d-4726-bf8c-b2bad4e3494e</errorID>
      <errorWord>(</errorWord>
      <group>L1_Format</group>
      <groupName>格式问题</groupName>
      <ability>L2_HalfPunc</ability>
      <abilityName>全半角检查</abilityName>
      <candidateList>
        <item>（</item>
      </candidateList>
      <explain>文本全半角错误。</explain>
      <paraID> EB4FF14</paraID>
      <start>2</start>
      <end>3</end>
      <status>unmodified</status>
      <modifiedWord/>
      <trackRevisions>false</trackRevisions>
    </reviewItem>
    <reviewItem>
      <errorID>03ce9c38-ba17-46ff-8f50-40013d10c2df</errorID>
      <errorWord>)</errorWord>
      <group>L1_Format</group>
      <groupName>格式问题</groupName>
      <ability>L2_HalfPunc</ability>
      <abilityName>全半角检查</abilityName>
      <candidateList>
        <item>）</item>
      </candidateList>
      <explain>文本全半角错误。</explain>
      <paraID> EB4FF14</paraID>
      <start>7</start>
      <end>8</end>
      <status>unmodified</status>
      <modifiedWord/>
      <trackRevisions>false</trackRevisions>
    </reviewItem>
    <reviewItem>
      <errorID>fbb4aede-a477-4a90-8129-e3ee7d168b89</errorID>
      <errorWord>(</errorWord>
      <group>L1_Format</group>
      <groupName>格式问题</groupName>
      <ability>L2_HalfPunc</ability>
      <abilityName>全半角检查</abilityName>
      <candidateList>
        <item>（</item>
      </candidateList>
      <explain>文本全半角错误。</explain>
      <paraID>5DFE6D5C</paraID>
      <start>3</start>
      <end>4</end>
      <status>unmodified</status>
      <modifiedWord/>
      <trackRevisions>false</trackRevisions>
    </reviewItem>
    <reviewItem>
      <errorID>cc1bc994-c679-460f-9519-a037957ef66d</errorID>
      <errorWord>)</errorWord>
      <group>L1_Format</group>
      <groupName>格式问题</groupName>
      <ability>L2_HalfPunc</ability>
      <abilityName>全半角检查</abilityName>
      <candidateList>
        <item>）</item>
      </candidateList>
      <explain>文本全半角错误。</explain>
      <paraID>5DFE6D5C</paraID>
      <start>8</start>
      <end>9</end>
      <status>unmodified</status>
      <modifiedWord/>
      <trackRevisions>false</trackRevisions>
    </reviewItem>
    <reviewItem>
      <errorID>ee141a74-37f9-424c-9895-77510f30f19b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742A4498</paraID>
      <start>0</start>
      <end>2</end>
      <status>unmodified</status>
      <modifiedWord/>
      <trackRevisions>false</trackRevisions>
    </reviewItem>
    <reviewItem>
      <errorID>98a6c16b-68d6-44fc-9055-5399b438e77d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6A1B4639</paraID>
      <start>0</start>
      <end>2</end>
      <status>unmodified</status>
      <modifiedWord/>
      <trackRevisions>false</trackRevisions>
    </reviewItem>
    <reviewItem>
      <errorID>d4fdabf1-4f2f-45ad-a12e-da82d6e24013</errorID>
      <errorWord>监测方法</errorWord>
      <group>L1_Word</group>
      <groupName>字词问题</groupName>
      <ability>L2_Typo</ability>
      <abilityName>字词错误</abilityName>
      <candidateList>
        <item>检测方法</item>
      </candidateList>
      <explain/>
      <paraID>6A1B4639</paraID>
      <start>2</start>
      <end>6</end>
      <status>unmodified</status>
      <modifiedWord/>
      <trackRevisions>false</trackRevisions>
    </reviewItem>
    <reviewItem>
      <errorID>2f7523e4-5213-4980-9ff8-d9008e82f8bf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4E8E8BB9</paraID>
      <start>0</start>
      <end>2</end>
      <status>unmodified</status>
      <modifiedWord/>
      <trackRevisions>false</trackRevisions>
    </reviewItem>
    <reviewItem>
      <errorID>ccef0b67-bba8-4989-9888-25930039f178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20A36B74</paraID>
      <start>0</start>
      <end>2</end>
      <status>unmodified</status>
      <modifiedWord/>
      <trackRevisions>false</trackRevisions>
    </reviewItem>
    <reviewItem>
      <errorID>f27134ff-75f2-4369-9056-70fe986c0486</errorID>
      <errorWord>本次后</errorWord>
      <group>L1_Word</group>
      <groupName>字词问题</groupName>
      <ability>L2_Typo</ability>
      <abilityName>字词错误</abilityName>
      <candidateList>
        <item>本次</item>
      </candidateList>
      <explain/>
      <paraID> 5DD594C</paraID>
      <start>0</start>
      <end>3</end>
      <status>unmodified</status>
      <modifiedWord/>
      <trackRevisions>false</trackRevisions>
    </reviewItem>
    <reviewItem>
      <errorID>3fb041dc-6784-4d09-872d-e37c4299a025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17B7717C</paraID>
      <start>0</start>
      <end>2</end>
      <status>unmodified</status>
      <modifiedWord/>
      <trackRevisions>false</trackRevisions>
    </reviewItem>
    <reviewItem>
      <errorID>5468104f-878f-431c-8fb0-1a2ecbf424a3</errorID>
      <errorWord>采用</errorWord>
      <group>L1_Word</group>
      <groupName>字词问题</groupName>
      <ability>L2_Typo</ability>
      <abilityName>字词错误</abilityName>
      <candidateList>
        <item>采样</item>
      </candidateList>
      <explain>〈动〉采集样品；取样：食品～检查。</explain>
      <paraID>7389505A</paraID>
      <start>38</start>
      <end>40</end>
      <status>unmodified</status>
      <modifiedWord/>
      <trackRevisions>false</trackRevisions>
    </reviewItem>
    <reviewItem>
      <errorID>7e936fc7-e021-484f-a9e8-e5ddbf63f6db</errorID>
      <errorWord>样作</errorWord>
      <group>L1_Word</group>
      <groupName>字词问题</groupName>
      <ability>L2_Typo</ability>
      <abilityName>字词错误</abilityName>
      <candidateList>
        <item>样</item>
      </candidateList>
      <explain/>
      <paraID>7389505A</paraID>
      <start>112</start>
      <end>114</end>
      <status>unmodified</status>
      <modifiedWord/>
      <trackRevisions>false</trackRevisions>
    </reviewItem>
    <reviewItem>
      <errorID>46e1e898-1f7f-4431-848c-525789b89e3a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75DC7046</paraID>
      <start>0</start>
      <end>2</end>
      <status>unmodified</status>
      <modifiedWord/>
      <trackRevisions>false</trackRevisions>
    </reviewItem>
    <reviewItem>
      <errorID>7bdb8348-8f47-4da2-9572-053fd999b80b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448FD92C</paraID>
      <start>0</start>
      <end>2</end>
      <status>unmodified</status>
      <modifiedWord/>
      <trackRevisions>false</trackRevisions>
    </reviewItem>
    <reviewItem>
      <errorID>ed9da147-e562-48ca-9af4-f358cbc4459c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1DAC9F40</paraID>
      <start>0</start>
      <end>2</end>
      <status>unmodified</status>
      <modifiedWord/>
      <trackRevisions>false</trackRevisions>
    </reviewItem>
    <reviewItem>
      <errorID>4ecfbcb7-a1ec-470d-a196-cfdbc991973a</errorID>
      <errorWord>~</errorWord>
      <group>L1_Format</group>
      <groupName>格式问题</groupName>
      <ability>L2_HalfPunc</ability>
      <abilityName>全半角检查</abilityName>
      <candidateList>
        <item>～</item>
      </candidateList>
      <explain>文本全半角错误。</explain>
      <paraID>41F99407</paraID>
      <start>3</start>
      <end>4</end>
      <status>unmodified</status>
      <modifiedWord/>
      <trackRevisions>false</trackRevisions>
    </reviewItem>
    <reviewItem>
      <errorID>84974d22-98fe-490a-b207-cad5a1885b47</errorID>
      <errorWord>~</errorWord>
      <group>L1_Format</group>
      <groupName>格式问题</groupName>
      <ability>L2_HalfPunc</ability>
      <abilityName>全半角检查</abilityName>
      <candidateList>
        <item>～</item>
      </candidateList>
      <explain>文本全半角错误。</explain>
      <paraID>1EB0B4CD</paraID>
      <start>3</start>
      <end>4</end>
      <status>unmodified</status>
      <modifiedWord/>
      <trackRevisions>false</trackRevisions>
    </reviewItem>
    <reviewItem>
      <errorID>c0d9e947-f44b-4329-9afd-5b2d6bd873ba</errorID>
      <errorWord>~</errorWord>
      <group>L1_Format</group>
      <groupName>格式问题</groupName>
      <ability>L2_HalfPunc</ability>
      <abilityName>全半角检查</abilityName>
      <candidateList>
        <item>～</item>
      </candidateList>
      <explain>文本全半角错误。</explain>
      <paraID>45AE2C9F</paraID>
      <start>3</start>
      <end>4</end>
      <status>unmodified</status>
      <modifiedWord/>
      <trackRevisions>false</trackRevisions>
    </reviewItem>
    <reviewItem>
      <errorID>1e615456-cb9f-46af-9530-a73c068a5eb3</errorID>
      <errorWord>~</errorWord>
      <group>L1_Format</group>
      <groupName>格式问题</groupName>
      <ability>L2_HalfPunc</ability>
      <abilityName>全半角检查</abilityName>
      <candidateList>
        <item>～</item>
      </candidateList>
      <explain>文本全半角错误。</explain>
      <paraID>45F2ABB3</paraID>
      <start>3</start>
      <end>4</end>
      <status>unmodified</status>
      <modifiedWord/>
      <trackRevisions>false</trackRevisions>
    </reviewItem>
    <reviewItem>
      <errorID>b698f2ba-b845-4444-b5d8-fb16adcffc5b</errorID>
      <errorWord>~</errorWord>
      <group>L1_Format</group>
      <groupName>格式问题</groupName>
      <ability>L2_HalfPunc</ability>
      <abilityName>全半角检查</abilityName>
      <candidateList>
        <item>～</item>
      </candidateList>
      <explain>文本全半角错误。</explain>
      <paraID> 42BFDBB</paraID>
      <start>3</start>
      <end>4</end>
      <status>unmodified</status>
      <modifiedWord/>
      <trackRevisions>false</trackRevisions>
    </reviewItem>
    <reviewItem>
      <errorID>a24cc51e-5493-4d77-96e8-995ba0cf8161</errorID>
      <errorWord>~</errorWord>
      <group>L1_Format</group>
      <groupName>格式问题</groupName>
      <ability>L2_HalfPunc</ability>
      <abilityName>全半角检查</abilityName>
      <candidateList>
        <item>～</item>
      </candidateList>
      <explain>文本全半角错误。</explain>
      <paraID>26B1A14A</paraID>
      <start>3</start>
      <end>4</end>
      <status>unmodified</status>
      <modifiedWord/>
      <trackRevisions>false</trackRevisions>
    </reviewItem>
    <reviewItem>
      <errorID>80baa54f-5fc2-4fc6-952e-a17e185d326f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14069122</paraID>
      <start>0</start>
      <end>2</end>
      <status>unmodified</status>
      <modifiedWord/>
      <trackRevisions>false</trackRevisions>
    </reviewItem>
    <reviewItem>
      <errorID>5a6e0e34-a01f-45ed-b075-15171c3ec98a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F136082</paraID>
      <start>0</start>
      <end>2</end>
      <status>unmodified</status>
      <modifiedWord/>
      <trackRevisions>false</trackRevisions>
    </reviewItem>
    <reviewItem>
      <errorID>bf4c52a0-bd86-442b-8b8d-52ff76bf78b1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19A48BB5</paraID>
      <start>0</start>
      <end>2</end>
      <status>unmodified</status>
      <modifiedWord/>
      <trackRevisions>false</trackRevisions>
    </reviewItem>
    <reviewItem>
      <errorID>f2275b17-5e7b-4532-aedd-72263b3db15c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70BC6D61</paraID>
      <start>0</start>
      <end>2</end>
      <status>unmodified</status>
      <modifiedWord/>
      <trackRevisions>false</trackRevisions>
    </reviewItem>
    <reviewItem>
      <errorID>86df264f-c9da-48b3-b9ce-e52439824869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28B35F81</paraID>
      <start>0</start>
      <end>2</end>
      <status>unmodified</status>
      <modifiedWord/>
      <trackRevisions>false</trackRevisions>
    </reviewItem>
    <reviewItem>
      <errorID>724230f4-e061-4827-b8e1-2c7ec45f7460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7335DE03</paraID>
      <start>0</start>
      <end>2</end>
      <status>unmodified</status>
      <modifiedWord/>
      <trackRevisions>false</trackRevisions>
    </reviewItem>
    <reviewItem>
      <errorID>f2a8b70f-41ea-4ea9-9f47-f1d1885d380a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1D30351B</paraID>
      <start>0</start>
      <end>2</end>
      <status>unmodified</status>
      <modifiedWord/>
      <trackRevisions>false</trackRevisions>
    </reviewItem>
    <reviewItem>
      <errorID>43c5b636-e6b3-488d-b07b-64f9b2461c2f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15D2FF0</paraID>
      <start>0</start>
      <end>2</end>
      <status>unmodified</status>
      <modifiedWord/>
      <trackRevisions>false</trackRevisions>
    </reviewItem>
    <reviewItem>
      <errorID>c21e2cbf-b3b3-42c9-a097-1760ddebfd21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1B7190D9</paraID>
      <start>0</start>
      <end>2</end>
      <status>unmodified</status>
      <modifiedWord/>
      <trackRevisions>false</trackRevisions>
    </reviewItem>
    <reviewItem>
      <errorID>b039ecf7-6bf1-4956-bb83-81389894e938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454B71D6</paraID>
      <start>0</start>
      <end>2</end>
      <status>unmodified</status>
      <modifiedWord/>
      <trackRevisions>false</trackRevisions>
    </reviewItem>
    <reviewItem>
      <errorID>3a11e8ee-1ab8-4acb-8e16-e4f75c8e8e42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62402AFE</paraID>
      <start>0</start>
      <end>2</end>
      <status>unmodified</status>
      <modifiedWord/>
      <trackRevisions>false</trackRevisions>
    </reviewItem>
    <reviewItem>
      <errorID>ee131bc1-2196-4c35-be6c-78cf1578ef4a</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2BF78B92</paraID>
      <start>0</start>
      <end>2</end>
      <status>unmodified</status>
      <modifiedWord/>
      <trackRevisions>false</trackRevisions>
    </reviewItem>
    <reviewItem>
      <errorID>bff85e73-e44e-496f-9046-c699e243aaee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7FB0C382</paraID>
      <start>0</start>
      <end>2</end>
      <status>unmodified</status>
      <modifiedWord/>
      <trackRevisions>false</trackRevisions>
    </reviewItem>
    <reviewItem>
      <errorID>65a38c9e-2cee-40e9-8e1e-e14d9423020a</errorID>
      <errorWord>其它</errorWord>
      <group>L1_Word</group>
      <groupName>字词问题</groupName>
      <ability>L2_Alias</ability>
      <abilityName>也作/曾用词</abilityName>
      <candidateList>
        <item>其他</item>
      </candidateList>
      <explain>词汇[其它]为不规范表述或旧称，其规范书面表述为[其他]。</explain>
      <paraID>76393115</paraID>
      <start>53</start>
      <end>55</end>
      <status>unmodified</status>
      <modifiedWord/>
      <trackRevisions>false</trackRevisions>
    </reviewItem>
    <reviewItem>
      <errorID>726e39f5-a347-489d-b0e3-c246efe1b10d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6AAF1753</paraID>
      <start>78</start>
      <end>79</end>
      <status>unmodified</status>
      <modifiedWord/>
      <trackRevisions>false</trackRevisions>
    </reviewItem>
    <reviewItem>
      <errorID>1fe2feda-8a18-41cb-9d66-a3741e1b62dd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6AAF1753</paraID>
      <start>227</start>
      <end>228</end>
      <status>unmodified</status>
      <modifiedWord/>
      <trackRevisions>false</trackRevisions>
    </reviewItem>
    <reviewItem>
      <errorID>d81ca30d-4c59-4b17-8188-708d154bffe1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6AAF1753</paraID>
      <start>237</start>
      <end>238</end>
      <status>unmodified</status>
      <modifiedWord/>
      <trackRevisions>false</trackRevisions>
    </reviewItem>
    <reviewItem>
      <errorID>07d8af67-8773-45c6-a129-ba2c538f9fc3</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1D61C699</paraID>
      <start>64</start>
      <end>67</end>
      <status>unmodified</status>
      <modifiedWord/>
      <trackRevisions>false</trackRevisions>
    </reviewItem>
    <reviewItem>
      <errorID>0c881a24-7f90-4638-a721-ca5a8000981b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3331DF54</paraID>
      <start>58</start>
      <end>59</end>
      <status>unmodified</status>
      <modifiedWord/>
      <trackRevisions>false</trackRevisions>
    </reviewItem>
    <reviewItem>
      <errorID>e9ff4bfa-94db-4191-93dd-c947a24774f1</errorID>
      <errorWord>检测点</errorWord>
      <group>L1_Word</group>
      <groupName>字词问题</groupName>
      <ability>L2_Typo</ability>
      <abilityName>字词错误</abilityName>
      <candidateList>
        <item>监测点</item>
      </candidateList>
      <explain/>
      <paraID>4D24927A</paraID>
      <start>0</start>
      <end>3</end>
      <status>unmodified</status>
      <modifiedWord/>
      <trackRevisions>false</trackRevisions>
    </reviewItem>
    <reviewItem>
      <errorID>05d76ac5-a722-4e32-9788-5042e2da5f10</errorID>
      <errorWord>01月16日</errorWord>
      <group>L1_Knowledge</group>
      <groupName>知识性问题</groupName>
      <ability>L2_Time</ability>
      <abilityName>日期时间</abilityName>
      <candidateList>
        <item>1月16日</item>
      </candidateList>
      <explain>根据日常书写习惯，月份一般会省略前导零。</explain>
      <paraID> 232770E</paraID>
      <start>0</start>
      <end>6</end>
      <status>unmodified</status>
      <modifiedWord/>
      <trackRevisions>false</trackRevisions>
    </reviewItem>
    <reviewItem>
      <errorID>28099d2b-2d4e-4b29-acc2-e10f7d0aa5c1</errorID>
      <errorWord>01月17日</errorWord>
      <group>L1_Knowledge</group>
      <groupName>知识性问题</groupName>
      <ability>L2_Time</ability>
      <abilityName>日期时间</abilityName>
      <candidateList>
        <item>1月17日</item>
      </candidateList>
      <explain>根据日常书写习惯，月份一般会省略前导零。</explain>
      <paraID> C9DEB53</paraID>
      <start>0</start>
      <end>6</end>
      <status>unmodified</status>
      <modifiedWord/>
      <trackRevisions>false</trackRevisions>
    </reviewItem>
    <reviewItem>
      <errorID>8ec78e2f-1937-4bd0-b310-fc8684989d44</errorID>
      <errorWord>01月16日</errorWord>
      <group>L1_Knowledge</group>
      <groupName>知识性问题</groupName>
      <ability>L2_Time</ability>
      <abilityName>日期时间</abilityName>
      <candidateList>
        <item>1月16日</item>
      </candidateList>
      <explain>根据日常书写习惯，月份一般会省略前导零。</explain>
      <paraID>3A662E55</paraID>
      <start>0</start>
      <end>6</end>
      <status>unmodified</status>
      <modifiedWord/>
      <trackRevisions>false</trackRevisions>
    </reviewItem>
    <reviewItem>
      <errorID>35bf6031-1d8b-48f5-b720-554713bc0eef</errorID>
      <errorWord>01月17日</errorWord>
      <group>L1_Knowledge</group>
      <groupName>知识性问题</groupName>
      <ability>L2_Time</ability>
      <abilityName>日期时间</abilityName>
      <candidateList>
        <item>1月17日</item>
      </candidateList>
      <explain>根据日常书写习惯，月份一般会省略前导零。</explain>
      <paraID>24938E8C</paraID>
      <start>0</start>
      <end>6</end>
      <status>unmodified</status>
      <modifiedWord/>
      <trackRevisions>false</trackRevisions>
    </reviewItem>
    <reviewItem>
      <errorID>4cac244f-5d55-4f21-877d-ef01c34e4647</errorID>
      <errorWord>01月16日</errorWord>
      <group>L1_Knowledge</group>
      <groupName>知识性问题</groupName>
      <ability>L2_Time</ability>
      <abilityName>日期时间</abilityName>
      <candidateList>
        <item>1月16日</item>
      </candidateList>
      <explain>根据日常书写习惯，月份一般会省略前导零。</explain>
      <paraID>5A24BC29</paraID>
      <start>0</start>
      <end>6</end>
      <status>unmodified</status>
      <modifiedWord/>
      <trackRevisions>false</trackRevisions>
    </reviewItem>
    <reviewItem>
      <errorID>ae939c07-476f-47aa-aef3-c32d5b953902</errorID>
      <errorWord>01月17日</errorWord>
      <group>L1_Knowledge</group>
      <groupName>知识性问题</groupName>
      <ability>L2_Time</ability>
      <abilityName>日期时间</abilityName>
      <candidateList>
        <item>1月17日</item>
      </candidateList>
      <explain>根据日常书写习惯，月份一般会省略前导零。</explain>
      <paraID>712630E1</paraID>
      <start>0</start>
      <end>6</end>
      <status>unmodified</status>
      <modifiedWord/>
      <trackRevisions>false</trackRevisions>
    </reviewItem>
    <reviewItem>
      <errorID>18cc1678-a85b-4da4-a1f0-7bbea3844c6c</errorID>
      <errorWord>01月16日</errorWord>
      <group>L1_Knowledge</group>
      <groupName>知识性问题</groupName>
      <ability>L2_Time</ability>
      <abilityName>日期时间</abilityName>
      <candidateList>
        <item>1月16日</item>
      </candidateList>
      <explain>根据日常书写习惯，月份一般会省略前导零。</explain>
      <paraID>  FA03B7</paraID>
      <start>0</start>
      <end>6</end>
      <status>unmodified</status>
      <modifiedWord/>
      <trackRevisions>false</trackRevisions>
    </reviewItem>
    <reviewItem>
      <errorID>b4d4747e-be7f-4084-9670-8cf0610c8c4b</errorID>
      <errorWord>01月17日</errorWord>
      <group>L1_Knowledge</group>
      <groupName>知识性问题</groupName>
      <ability>L2_Time</ability>
      <abilityName>日期时间</abilityName>
      <candidateList>
        <item>1月17日</item>
      </candidateList>
      <explain>根据日常书写习惯，月份一般会省略前导零。</explain>
      <paraID>4D4A9C58</paraID>
      <start>0</start>
      <end>6</end>
      <status>unmodified</status>
      <modifiedWord/>
      <trackRevisions>false</trackRevisions>
    </reviewItem>
    <reviewItem>
      <errorID>3f3159bf-ea20-467f-9bac-2bccb3442c65</errorID>
      <errorWord>(</errorWord>
      <group>L1_Format</group>
      <groupName>格式问题</groupName>
      <ability>L2_HalfPunc</ability>
      <abilityName>全半角检查</abilityName>
      <candidateList>
        <item>（</item>
      </candidateList>
      <explain>文本全半角错误。</explain>
      <paraID>119047E8</paraID>
      <start>3</start>
      <end>4</end>
      <status>unmodified</status>
      <modifiedWord/>
      <trackRevisions>false</trackRevisions>
    </reviewItem>
    <reviewItem>
      <errorID>2276ee96-ae12-431f-9de2-3aa064323078</errorID>
      <errorWord>)</errorWord>
      <group>L1_Format</group>
      <groupName>格式问题</groupName>
      <ability>L2_HalfPunc</ability>
      <abilityName>全半角检查</abilityName>
      <candidateList>
        <item>）</item>
      </candidateList>
      <explain>文本全半角错误。</explain>
      <paraID>119047E8</paraID>
      <start>9</start>
      <end>10</end>
      <status>unmodified</status>
      <modifiedWord/>
      <trackRevisions>false</trackRevisions>
    </reviewItem>
    <reviewItem>
      <errorID>c24bffbc-8fc2-43d1-89a1-178905753f9e</errorID>
      <errorWord>01月16日</errorWord>
      <group>L1_Knowledge</group>
      <groupName>知识性问题</groupName>
      <ability>L2_Time</ability>
      <abilityName>日期时间</abilityName>
      <candidateList>
        <item>1月16日</item>
      </candidateList>
      <explain>根据日常书写习惯，月份一般会省略前导零。</explain>
      <paraID>64BC2215</paraID>
      <start>0</start>
      <end>6</end>
      <status>unmodified</status>
      <modifiedWord/>
      <trackRevisions>false</trackRevisions>
    </reviewItem>
    <reviewItem>
      <errorID>2f2b6bf5-d606-4d0a-bef8-71e6ff3d4c4e</errorID>
      <errorWord>01月17日</errorWord>
      <group>L1_Knowledge</group>
      <groupName>知识性问题</groupName>
      <ability>L2_Time</ability>
      <abilityName>日期时间</abilityName>
      <candidateList>
        <item>1月17日</item>
      </candidateList>
      <explain>根据日常书写习惯，月份一般会省略前导零。</explain>
      <paraID>67B21671</paraID>
      <start>0</start>
      <end>6</end>
      <status>unmodified</status>
      <modifiedWord/>
      <trackRevisions>false</trackRevisions>
    </reviewItem>
    <reviewItem>
      <errorID>beb8c44a-f65e-4661-b9a8-d000f08ae7fd</errorID>
      <errorWord>01月16日</errorWord>
      <group>L1_Knowledge</group>
      <groupName>知识性问题</groupName>
      <ability>L2_Time</ability>
      <abilityName>日期时间</abilityName>
      <candidateList>
        <item>1月16日</item>
      </candidateList>
      <explain>根据日常书写习惯，月份一般会省略前导零。</explain>
      <paraID>7315E927</paraID>
      <start>0</start>
      <end>6</end>
      <status>unmodified</status>
      <modifiedWord/>
      <trackRevisions>false</trackRevisions>
    </reviewItem>
    <reviewItem>
      <errorID>ab89ff38-c397-4a33-bca5-ccaedabb1664</errorID>
      <errorWord>01月17日</errorWord>
      <group>L1_Knowledge</group>
      <groupName>知识性问题</groupName>
      <ability>L2_Time</ability>
      <abilityName>日期时间</abilityName>
      <candidateList>
        <item>1月17日</item>
      </candidateList>
      <explain>根据日常书写习惯，月份一般会省略前导零。</explain>
      <paraID>400CE779</paraID>
      <start>0</start>
      <end>6</end>
      <status>unmodified</status>
      <modifiedWord/>
      <trackRevisions>false</trackRevisions>
    </reviewItem>
    <reviewItem>
      <errorID>3ae7308f-db74-4b94-aeb9-81551fb26edf</errorID>
      <errorWord>01月16日</errorWord>
      <group>L1_Knowledge</group>
      <groupName>知识性问题</groupName>
      <ability>L2_Time</ability>
      <abilityName>日期时间</abilityName>
      <candidateList>
        <item>1月16日</item>
      </candidateList>
      <explain>根据日常书写习惯，月份一般会省略前导零。</explain>
      <paraID>540710A2</paraID>
      <start>0</start>
      <end>6</end>
      <status>unmodified</status>
      <modifiedWord/>
      <trackRevisions>false</trackRevisions>
    </reviewItem>
    <reviewItem>
      <errorID>6ae22c0e-7aba-4b0d-9195-7de7e6e7fca7</errorID>
      <errorWord>01月17日</errorWord>
      <group>L1_Knowledge</group>
      <groupName>知识性问题</groupName>
      <ability>L2_Time</ability>
      <abilityName>日期时间</abilityName>
      <candidateList>
        <item>1月17日</item>
      </candidateList>
      <explain>根据日常书写习惯，月份一般会省略前导零。</explain>
      <paraID>2A7F7FEA</paraID>
      <start>0</start>
      <end>6</end>
      <status>unmodified</status>
      <modifiedWord/>
      <trackRevisions>false</trackRevisions>
    </reviewItem>
    <reviewItem>
      <errorID>43e18810-5a12-4535-8116-be76baaf90f2</errorID>
      <errorWord>01月16日</errorWord>
      <group>L1_Knowledge</group>
      <groupName>知识性问题</groupName>
      <ability>L2_Time</ability>
      <abilityName>日期时间</abilityName>
      <candidateList>
        <item>1月16日</item>
      </candidateList>
      <explain>根据日常书写习惯，月份一般会省略前导零。</explain>
      <paraID>522861F1</paraID>
      <start>0</start>
      <end>6</end>
      <status>unmodified</status>
      <modifiedWord/>
      <trackRevisions>false</trackRevisions>
    </reviewItem>
    <reviewItem>
      <errorID>abfb815e-faea-49a0-850f-90eeb4a74019</errorID>
      <errorWord>01月17日</errorWord>
      <group>L1_Knowledge</group>
      <groupName>知识性问题</groupName>
      <ability>L2_Time</ability>
      <abilityName>日期时间</abilityName>
      <candidateList>
        <item>1月17日</item>
      </candidateList>
      <explain>根据日常书写习惯，月份一般会省略前导零。</explain>
      <paraID> 278A2DF</paraID>
      <start>0</start>
      <end>6</end>
      <status>unmodified</status>
      <modifiedWord/>
      <trackRevisions>false</trackRevisions>
    </reviewItem>
    <reviewItem>
      <errorID>da9d0f8b-9dd3-47b2-a626-700c074a9f69</errorID>
      <errorWord>01月16日</errorWord>
      <group>L1_Knowledge</group>
      <groupName>知识性问题</groupName>
      <ability>L2_Time</ability>
      <abilityName>日期时间</abilityName>
      <candidateList>
        <item>1月16日</item>
      </candidateList>
      <explain>根据日常书写习惯，月份一般会省略前导零。</explain>
      <paraID>5798EABD</paraID>
      <start>0</start>
      <end>6</end>
      <status>unmodified</status>
      <modifiedWord/>
      <trackRevisions>false</trackRevisions>
    </reviewItem>
    <reviewItem>
      <errorID>90791ac2-c5cf-430c-9241-87b7093f44c2</errorID>
      <errorWord>01月17日</errorWord>
      <group>L1_Knowledge</group>
      <groupName>知识性问题</groupName>
      <ability>L2_Time</ability>
      <abilityName>日期时间</abilityName>
      <candidateList>
        <item>1月17日</item>
      </candidateList>
      <explain>根据日常书写习惯，月份一般会省略前导零。</explain>
      <paraID>23FF23ED</paraID>
      <start>0</start>
      <end>6</end>
      <status>unmodified</status>
      <modifiedWord/>
      <trackRevisions>false</trackRevisions>
    </reviewItem>
    <reviewItem>
      <errorID>49716d7d-136c-4a41-9b5c-ab22dac56abe</errorID>
      <errorWord>01月16日</errorWord>
      <group>L1_Knowledge</group>
      <groupName>知识性问题</groupName>
      <ability>L2_Time</ability>
      <abilityName>日期时间</abilityName>
      <candidateList>
        <item>1月16日</item>
      </candidateList>
      <explain>根据日常书写习惯，月份一般会省略前导零。</explain>
      <paraID> F5E230B</paraID>
      <start>0</start>
      <end>6</end>
      <status>unmodified</status>
      <modifiedWord/>
      <trackRevisions>false</trackRevisions>
    </reviewItem>
    <reviewItem>
      <errorID>552021d6-4b4d-40c5-a62a-40770a51bf5f</errorID>
      <errorWord>01月17日</errorWord>
      <group>L1_Knowledge</group>
      <groupName>知识性问题</groupName>
      <ability>L2_Time</ability>
      <abilityName>日期时间</abilityName>
      <candidateList>
        <item>1月17日</item>
      </candidateList>
      <explain>根据日常书写习惯，月份一般会省略前导零。</explain>
      <paraID>12B1EFEB</paraID>
      <start>0</start>
      <end>6</end>
      <status>unmodified</status>
      <modifiedWord/>
      <trackRevisions>false</trackRevisions>
    </reviewItem>
    <reviewItem>
      <errorID>6503f43c-d08a-4d77-9cc0-d69b06740abb</errorID>
      <errorWord>01月16日</errorWord>
      <group>L1_Knowledge</group>
      <groupName>知识性问题</groupName>
      <ability>L2_Time</ability>
      <abilityName>日期时间</abilityName>
      <candidateList>
        <item>1月16日</item>
      </candidateList>
      <explain>根据日常书写习惯，月份一般会省略前导零。</explain>
      <paraID>7BD07053</paraID>
      <start>0</start>
      <end>6</end>
      <status>unmodified</status>
      <modifiedWord/>
      <trackRevisions>false</trackRevisions>
    </reviewItem>
    <reviewItem>
      <errorID>ecb7b11d-b135-47e1-b2a0-08c44bd93d1a</errorID>
      <errorWord>01月17日</errorWord>
      <group>L1_Knowledge</group>
      <groupName>知识性问题</groupName>
      <ability>L2_Time</ability>
      <abilityName>日期时间</abilityName>
      <candidateList>
        <item>1月17日</item>
      </candidateList>
      <explain>根据日常书写习惯，月份一般会省略前导零。</explain>
      <paraID> 464F8A4</paraID>
      <start>0</start>
      <end>6</end>
      <status>unmodified</status>
      <modifiedWord/>
      <trackRevisions>false</trackRevisions>
    </reviewItem>
    <reviewItem>
      <errorID>3dae6215-f870-48c0-9bbc-7204c7daa0f6</errorID>
      <errorWord>01月16日</errorWord>
      <group>L1_Knowledge</group>
      <groupName>知识性问题</groupName>
      <ability>L2_Time</ability>
      <abilityName>日期时间</abilityName>
      <candidateList>
        <item>1月16日</item>
      </candidateList>
      <explain>根据日常书写习惯，月份一般会省略前导零。</explain>
      <paraID>27992044</paraID>
      <start>0</start>
      <end>6</end>
      <status>unmodified</status>
      <modifiedWord/>
      <trackRevisions>false</trackRevisions>
    </reviewItem>
    <reviewItem>
      <errorID>a2cc83c5-94f0-4adb-9223-d02bf5d0561a</errorID>
      <errorWord>01月17日</errorWord>
      <group>L1_Knowledge</group>
      <groupName>知识性问题</groupName>
      <ability>L2_Time</ability>
      <abilityName>日期时间</abilityName>
      <candidateList>
        <item>1月17日</item>
      </candidateList>
      <explain>根据日常书写习惯，月份一般会省略前导零。</explain>
      <paraID>3F53E6B4</paraID>
      <start>0</start>
      <end>6</end>
      <status>unmodified</status>
      <modifiedWord/>
      <trackRevisions>false</trackRevisions>
    </reviewItem>
    <reviewItem>
      <errorID>f4994983-8546-44a0-99f6-304f4d7a961f</errorID>
      <errorWord>01月16日</errorWord>
      <group>L1_Knowledge</group>
      <groupName>知识性问题</groupName>
      <ability>L2_Time</ability>
      <abilityName>日期时间</abilityName>
      <candidateList>
        <item>1月16日</item>
      </candidateList>
      <explain>根据日常书写习惯，月份一般会省略前导零。</explain>
      <paraID> 5C861C8</paraID>
      <start>0</start>
      <end>6</end>
      <status>unmodified</status>
      <modifiedWord/>
      <trackRevisions>false</trackRevisions>
    </reviewItem>
    <reviewItem>
      <errorID>3ef29932-f19e-4d54-bd96-c64a2bf691a8</errorID>
      <errorWord>01月17日</errorWord>
      <group>L1_Knowledge</group>
      <groupName>知识性问题</groupName>
      <ability>L2_Time</ability>
      <abilityName>日期时间</abilityName>
      <candidateList>
        <item>1月17日</item>
      </candidateList>
      <explain>根据日常书写习惯，月份一般会省略前导零。</explain>
      <paraID>1C7F20FA</paraID>
      <start>0</start>
      <end>6</end>
      <status>unmodified</status>
      <modifiedWord/>
      <trackRevisions>false</trackRevisions>
    </reviewItem>
    <reviewItem>
      <errorID>d3b09974-9757-4060-97b4-756240ba3d0c</errorID>
      <errorWord>(</errorWord>
      <group>L1_Format</group>
      <groupName>格式问题</groupName>
      <ability>L2_HalfPunc</ability>
      <abilityName>全半角检查</abilityName>
      <candidateList>
        <item>（</item>
      </candidateList>
      <explain>文本全半角错误。</explain>
      <paraID>70DB77CA</paraID>
      <start>2</start>
      <end>3</end>
      <status>unmodified</status>
      <modifiedWord/>
      <trackRevisions>false</trackRevisions>
    </reviewItem>
    <reviewItem>
      <errorID>d09d33d4-6c8c-4710-a90b-6ab4adf113b7</errorID>
      <errorWord>)</errorWord>
      <group>L1_Format</group>
      <groupName>格式问题</groupName>
      <ability>L2_HalfPunc</ability>
      <abilityName>全半角检查</abilityName>
      <candidateList>
        <item>）</item>
      </candidateList>
      <explain>文本全半角错误。</explain>
      <paraID>70DB77CA</paraID>
      <start>4</start>
      <end>5</end>
      <status>unmodified</status>
      <modifiedWord/>
      <trackRevisions>false</trackRevisions>
    </reviewItem>
    <reviewItem>
      <errorID>1c3d7dd6-5544-4fad-a0b8-ffb1871bf048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3FE7CD36</paraID>
      <start>56</start>
      <end>57</end>
      <status>unmodified</status>
      <modifiedWord/>
      <trackRevisions>false</trackRevisions>
    </reviewItem>
    <reviewItem>
      <errorID>0a5538f2-8e64-4511-93db-ab9fbd6f149f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3FE7CD36</paraID>
      <start>88</start>
      <end>89</end>
      <status>unmodified</status>
      <modifiedWord/>
      <trackRevisions>false</trackRevisions>
    </reviewItem>
    <reviewItem>
      <errorID>3529e0be-9aa8-4118-b790-e18c26ab2850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3FE7CD36</paraID>
      <start>119</start>
      <end>120</end>
      <status>unmodified</status>
      <modifiedWord/>
      <trackRevisions>false</trackRevisions>
    </reviewItem>
    <reviewItem>
      <errorID>87c24a6f-a443-4ab4-a3c7-7f217f593576</errorID>
      <errorWord>(</errorWord>
      <group>L1_Format</group>
      <groupName>格式问题</groupName>
      <ability>L2_HalfPunc</ability>
      <abilityName>全半角检查</abilityName>
      <candidateList>
        <item>（</item>
      </candidateList>
      <explain>文本全半角错误。</explain>
      <paraID>63E24551</paraID>
      <start>3</start>
      <end>4</end>
      <status>unmodified</status>
      <modifiedWord/>
      <trackRevisions>false</trackRevisions>
    </reviewItem>
    <reviewItem>
      <errorID>0fd808de-2224-4714-b851-c621e7b9737e</errorID>
      <errorWord>)</errorWord>
      <group>L1_Format</group>
      <groupName>格式问题</groupName>
      <ability>L2_HalfPunc</ability>
      <abilityName>全半角检查</abilityName>
      <candidateList>
        <item>）</item>
      </candidateList>
      <explain>文本全半角错误。</explain>
      <paraID>63E24551</paraID>
      <start>7</start>
      <end>8</end>
      <status>unmodified</status>
      <modifiedWord/>
      <trackRevisions>false</trackRevisions>
    </reviewItem>
    <reviewItem>
      <errorID>4a48fe4b-59b3-4ee1-97dd-cebe6d8ca92c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722EB4DC</paraID>
      <start>22</start>
      <end>23</end>
      <status>unmodified</status>
      <modifiedWord/>
      <trackRevisions>false</trackRevisions>
    </reviewItem>
    <reviewItem>
      <errorID>831164e2-34d3-445e-9724-fe39a3b181aa</errorID>
      <errorWord>IV类</errorWord>
      <group>L1_Knowledge</group>
      <groupName>知识性问题</groupName>
      <ability>L2_Knowledge</ability>
      <abilityName>其他知识</abilityName>
      <candidateList>
        <item>Ⅳ类</item>
      </candidateList>
      <explain/>
      <paraID>16C1C86B</paraID>
      <start>105</start>
      <end>108</end>
      <status>unmodified</status>
      <modifiedWord/>
      <trackRevisions>false</trackRevisions>
    </reviewItem>
    <reviewItem>
      <errorID>e5cee8ea-9dde-42de-8434-b7f85f0067cd</errorID>
      <errorWord>附件</errorWord>
      <group>L1_Word</group>
      <groupName>字词问题</groupName>
      <ability>L2_Typo</ability>
      <abilityName>字词错误</abilityName>
      <candidateList>
        <item>附近</item>
      </candidateList>
      <explain>存在发音相近字词的误用。</explain>
      <paraID>3A279CF7</paraID>
      <start>3</start>
      <end>5</end>
      <status>unmodified</status>
      <modifiedWord/>
      <trackRevisions>false</trackRevisions>
    </reviewItem>
    <reviewItem>
      <errorID>e5894d63-7fd7-4dcb-bb43-49f30d3cff23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42F21445</paraID>
      <start>0</start>
      <end>2</end>
      <status>unmodified</status>
      <modifiedWord/>
      <trackRevisions>false</trackRevisions>
    </reviewItem>
    <reviewItem>
      <errorID>c8eab1f5-d4b4-4937-b4ee-48b851cede65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1512544A</paraID>
      <start>0</start>
      <end>2</end>
      <status>unmodified</status>
      <modifiedWord/>
      <trackRevisions>false</trackRevisions>
    </reviewItem>
    <reviewItem>
      <errorID>a56e2859-6f46-4c1c-8bdc-47d655cc0c60</errorID>
      <errorWord>(</errorWord>
      <group>L1_Format</group>
      <groupName>格式问题</groupName>
      <ability>L2_HalfPunc</ability>
      <abilityName>全半角检查</abilityName>
      <candidateList>
        <item>（</item>
      </candidateList>
      <explain>文本全半角错误。</explain>
      <paraID> B6DABC8</paraID>
      <start>2</start>
      <end>3</end>
      <status>unmodified</status>
      <modifiedWord/>
      <trackRevisions>false</trackRevisions>
    </reviewItem>
    <reviewItem>
      <errorID>aa277955-e621-4631-ace4-f54bd0f0daac</errorID>
      <errorWord>)</errorWord>
      <group>L1_Format</group>
      <groupName>格式问题</groupName>
      <ability>L2_HalfPunc</ability>
      <abilityName>全半角检查</abilityName>
      <candidateList>
        <item>）</item>
      </candidateList>
      <explain>文本全半角错误。</explain>
      <paraID> B6DABC8</paraID>
      <start>6</start>
      <end>7</end>
      <status>unmodified</status>
      <modifiedWord/>
      <trackRevisions>false</trackRevisions>
    </reviewItem>
    <reviewItem>
      <errorID>2dca8376-d165-4e46-8d96-d003100d27e2</errorID>
      <errorWord>(</errorWord>
      <group>L1_Format</group>
      <groupName>格式问题</groupName>
      <ability>L2_HalfPunc</ability>
      <abilityName>全半角检查</abilityName>
      <candidateList>
        <item>（</item>
      </candidateList>
      <explain>文本全半角错误。</explain>
      <paraID> FDA25B5</paraID>
      <start>3</start>
      <end>4</end>
      <status>unmodified</status>
      <modifiedWord/>
      <trackRevisions>false</trackRevisions>
    </reviewItem>
    <reviewItem>
      <errorID>76b94c15-ca2a-487c-8c2b-52661eec854f</errorID>
      <errorWord>)</errorWord>
      <group>L1_Format</group>
      <groupName>格式问题</groupName>
      <ability>L2_HalfPunc</ability>
      <abilityName>全半角检查</abilityName>
      <candidateList>
        <item>）</item>
      </candidateList>
      <explain>文本全半角错误。</explain>
      <paraID> FDA25B5</paraID>
      <start>8</start>
      <end>9</end>
      <status>unmodified</status>
      <modifiedWord/>
      <trackRevisions>false</trackRevisions>
    </reviewItem>
    <reviewItem>
      <errorID>a3d88eb4-99dc-453e-8e39-50523199c6b6</errorID>
      <errorWord>(</errorWord>
      <group>L1_Format</group>
      <groupName>格式问题</groupName>
      <ability>L2_HalfPunc</ability>
      <abilityName>全半角检查</abilityName>
      <candidateList>
        <item>（</item>
      </candidateList>
      <explain>文本全半角错误。</explain>
      <paraID>2F1622DF</paraID>
      <start>7</start>
      <end>8</end>
      <status>unmodified</status>
      <modifiedWord/>
      <trackRevisions>false</trackRevisions>
    </reviewItem>
    <reviewItem>
      <errorID>456b7a53-c008-485e-b6b6-af5965aa9d3e</errorID>
      <errorWord>)</errorWord>
      <group>L1_Format</group>
      <groupName>格式问题</groupName>
      <ability>L2_HalfPunc</ability>
      <abilityName>全半角检查</abilityName>
      <candidateList>
        <item>）</item>
      </candidateList>
      <explain>文本全半角错误。</explain>
      <paraID>2F1622DF</paraID>
      <start>12</start>
      <end>13</end>
      <status>unmodified</status>
      <modifiedWord/>
      <trackRevisions>false</trackRevisions>
    </reviewItem>
    <reviewItem>
      <errorID>ab46e306-b38d-41a1-b27b-1adb9c51c396</errorID>
      <errorWord>(</errorWord>
      <group>L1_Format</group>
      <groupName>格式问题</groupName>
      <ability>L2_HalfPunc</ability>
      <abilityName>全半角检查</abilityName>
      <candidateList>
        <item>（</item>
      </candidateList>
      <explain>文本全半角错误。</explain>
      <paraID>225CF1BF</paraID>
      <start>5</start>
      <end>6</end>
      <status>unmodified</status>
      <modifiedWord/>
      <trackRevisions>false</trackRevisions>
    </reviewItem>
    <reviewItem>
      <errorID>44e42b38-7267-49df-a041-33f34093c9db</errorID>
      <errorWord>)</errorWord>
      <group>L1_Format</group>
      <groupName>格式问题</groupName>
      <ability>L2_HalfPunc</ability>
      <abilityName>全半角检查</abilityName>
      <candidateList>
        <item>）</item>
      </candidateList>
      <explain>文本全半角错误。</explain>
      <paraID>225CF1BF</paraID>
      <start>10</start>
      <end>11</end>
      <status>unmodified</status>
      <modifiedWord/>
      <trackRevisions>false</trackRevisions>
    </reviewItem>
    <reviewItem>
      <errorID>baa86af9-0938-4952-a8c4-59ed1c8cefc7</errorID>
      <errorWord>(</errorWord>
      <group>L1_Format</group>
      <groupName>格式问题</groupName>
      <ability>L2_HalfPunc</ability>
      <abilityName>全半角检查</abilityName>
      <candidateList>
        <item>（</item>
      </candidateList>
      <explain>文本全半角错误。</explain>
      <paraID>4C3222C1</paraID>
      <start>2</start>
      <end>3</end>
      <status>unmodified</status>
      <modifiedWord/>
      <trackRevisions>false</trackRevisions>
    </reviewItem>
    <reviewItem>
      <errorID>85065f58-d2f5-4435-840b-932e5c52d0c6</errorID>
      <errorWord>)</errorWord>
      <group>L1_Format</group>
      <groupName>格式问题</groupName>
      <ability>L2_HalfPunc</ability>
      <abilityName>全半角检查</abilityName>
      <candidateList>
        <item>）</item>
      </candidateList>
      <explain>文本全半角错误。</explain>
      <paraID>4C3222C1</paraID>
      <start>7</start>
      <end>8</end>
      <status>unmodified</status>
      <modifiedWord/>
      <trackRevisions>false</trackRevisions>
    </reviewItem>
    <reviewItem>
      <errorID>90b576b7-16a8-4e94-931c-4fd2517c6870</errorID>
      <errorWord>(</errorWord>
      <group>L1_Format</group>
      <groupName>格式问题</groupName>
      <ability>L2_HalfPunc</ability>
      <abilityName>全半角检查</abilityName>
      <candidateList>
        <item>（</item>
      </candidateList>
      <explain>文本全半角错误。</explain>
      <paraID>1F7183F3</paraID>
      <start>2</start>
      <end>3</end>
      <status>unmodified</status>
      <modifiedWord/>
      <trackRevisions>false</trackRevisions>
    </reviewItem>
    <reviewItem>
      <errorID>6eb3d804-a925-4570-8dcc-80e8b7ebc441</errorID>
      <errorWord>)</errorWord>
      <group>L1_Format</group>
      <groupName>格式问题</groupName>
      <ability>L2_HalfPunc</ability>
      <abilityName>全半角检查</abilityName>
      <candidateList>
        <item>）</item>
      </candidateList>
      <explain>文本全半角错误。</explain>
      <paraID>1F7183F3</paraID>
      <start>7</start>
      <end>8</end>
      <status>unmodified</status>
      <modifiedWord/>
      <trackRevisions>false</trackRevisions>
    </reviewItem>
    <reviewItem>
      <errorID>5463866e-5565-4a2b-85d3-06874b2d00a8</errorID>
      <errorWord>(</errorWord>
      <group>L1_Format</group>
      <groupName>格式问题</groupName>
      <ability>L2_HalfPunc</ability>
      <abilityName>全半角检查</abilityName>
      <candidateList>
        <item>（</item>
      </candidateList>
      <explain>文本全半角错误。</explain>
      <paraID>41F2251D</paraID>
      <start>2</start>
      <end>3</end>
      <status>unmodified</status>
      <modifiedWord/>
      <trackRevisions>false</trackRevisions>
    </reviewItem>
    <reviewItem>
      <errorID>373fe165-9b5c-4e70-8c9f-39a190733383</errorID>
      <errorWord>)</errorWord>
      <group>L1_Format</group>
      <groupName>格式问题</groupName>
      <ability>L2_HalfPunc</ability>
      <abilityName>全半角检查</abilityName>
      <candidateList>
        <item>）</item>
      </candidateList>
      <explain>文本全半角错误。</explain>
      <paraID>41F2251D</paraID>
      <start>7</start>
      <end>8</end>
      <status>unmodified</status>
      <modifiedWord/>
      <trackRevisions>false</trackRevisions>
    </reviewItem>
    <reviewItem>
      <errorID>22d5201a-354b-440c-b90f-9412f785aef7</errorID>
      <errorWord>达到了</errorWord>
      <group>L1_Word</group>
      <groupName>字词问题</groupName>
      <ability>L2_Typo</ability>
      <abilityName>字词错误</abilityName>
      <candidateList>
        <item>达到</item>
      </candidateList>
      <explain>〈动〉到（多指抽象事物或程度）：达得到｜达不到｜目的没有～｜～国际水平。</explain>
      <paraID>3519C3CE</paraID>
      <start>156</start>
      <end>159</end>
      <status>unmodified</status>
      <modifiedWord/>
      <trackRevisions>false</trackRevisions>
    </reviewItem>
    <reviewItem>
      <errorID>e11336c6-fad7-4c43-9aeb-f878931bbc30</errorID>
      <errorWord>(</errorWord>
      <group>L1_Format</group>
      <groupName>格式问题</groupName>
      <ability>L2_HalfPunc</ability>
      <abilityName>全半角检查</abilityName>
      <candidateList>
        <item>（</item>
      </candidateList>
      <explain>文本全半角错误。</explain>
      <paraID> 9DB5190</paraID>
      <start>3</start>
      <end>4</end>
      <status>unmodified</status>
      <modifiedWord/>
      <trackRevisions>false</trackRevisions>
    </reviewItem>
    <reviewItem>
      <errorID>8aa1b4a0-1db9-4c66-8f15-edab96e4748d</errorID>
      <errorWord>)</errorWord>
      <group>L1_Format</group>
      <groupName>格式问题</groupName>
      <ability>L2_HalfPunc</ability>
      <abilityName>全半角检查</abilityName>
      <candidateList>
        <item>）</item>
      </candidateList>
      <explain>文本全半角错误。</explain>
      <paraID> 9DB5190</paraID>
      <start>7</start>
      <end>8</end>
      <status>unmodified</status>
      <modifiedWord/>
      <trackRevisions>false</trackRevisions>
    </reviewItem>
    <reviewItem>
      <errorID>4efb74ab-a6b4-4100-bf69-eef56c197100</errorID>
      <errorWord>(</errorWord>
      <group>L1_Format</group>
      <groupName>格式问题</groupName>
      <ability>L2_HalfPunc</ability>
      <abilityName>全半角检查</abilityName>
      <candidateList>
        <item>（</item>
      </candidateList>
      <explain>文本全半角错误。</explain>
      <paraID>699A536B</paraID>
      <start>3</start>
      <end>4</end>
      <status>unmodified</status>
      <modifiedWord/>
      <trackRevisions>false</trackRevisions>
    </reviewItem>
    <reviewItem>
      <errorID>8677a695-a5e1-428c-835b-1cec671e0e4f</errorID>
      <errorWord>)</errorWord>
      <group>L1_Format</group>
      <groupName>格式问题</groupName>
      <ability>L2_HalfPunc</ability>
      <abilityName>全半角检查</abilityName>
      <candidateList>
        <item>）</item>
      </candidateList>
      <explain>文本全半角错误。</explain>
      <paraID>699A536B</paraID>
      <start>8</start>
      <end>9</end>
      <status>unmodified</status>
      <modifiedWord/>
      <trackRevisions>false</trackRevisions>
    </reviewItem>
    <reviewItem>
      <errorID>6532d164-a77c-47fa-bde4-ebee13438060</errorID>
      <errorWord>(</errorWord>
      <group>L1_Format</group>
      <groupName>格式问题</groupName>
      <ability>L2_HalfPunc</ability>
      <abilityName>全半角检查</abilityName>
      <candidateList>
        <item>（</item>
      </candidateList>
      <explain>文本全半角错误。</explain>
      <paraID>5DEB9FB3</paraID>
      <start>6</start>
      <end>7</end>
      <status>unmodified</status>
      <modifiedWord/>
      <trackRevisions>false</trackRevisions>
    </reviewItem>
    <reviewItem>
      <errorID>b4a827c7-483b-4189-a2dd-0563f8fe11d9</errorID>
      <errorWord>)</errorWord>
      <group>L1_Format</group>
      <groupName>格式问题</groupName>
      <ability>L2_HalfPunc</ability>
      <abilityName>全半角检查</abilityName>
      <candidateList>
        <item>）</item>
      </candidateList>
      <explain>文本全半角错误。</explain>
      <paraID>5DEB9FB3</paraID>
      <start>11</start>
      <end>12</end>
      <status>unmodified</status>
      <modifiedWord/>
      <trackRevisions>false</trackRevisions>
    </reviewItem>
    <reviewItem>
      <errorID>4c6fef03-fbce-4475-83db-664b98cff9f6</errorID>
      <errorWord>(</errorWord>
      <group>L1_Format</group>
      <groupName>格式问题</groupName>
      <ability>L2_HalfPunc</ability>
      <abilityName>全半角检查</abilityName>
      <candidateList>
        <item>（</item>
      </candidateList>
      <explain>文本全半角错误。</explain>
      <paraID>44F4242F</paraID>
      <start>5</start>
      <end>6</end>
      <status>unmodified</status>
      <modifiedWord/>
      <trackRevisions>false</trackRevisions>
    </reviewItem>
    <reviewItem>
      <errorID>f82c70db-f5d5-4f80-8c53-6d5d5c1cf770</errorID>
      <errorWord>)</errorWord>
      <group>L1_Format</group>
      <groupName>格式问题</groupName>
      <ability>L2_HalfPunc</ability>
      <abilityName>全半角检查</abilityName>
      <candidateList>
        <item>）</item>
      </candidateList>
      <explain>文本全半角错误。</explain>
      <paraID>44F4242F</paraID>
      <start>15</start>
      <end>16</end>
      <status>unmodified</status>
      <modifiedWord/>
      <trackRevisions>false</trackRevisions>
    </reviewItem>
    <reviewItem>
      <errorID>2b8d302e-a7cc-4c2c-bb80-f7c167eb656a</errorID>
      <errorWord>(</errorWord>
      <group>L1_Format</group>
      <groupName>格式问题</groupName>
      <ability>L2_HalfPunc</ability>
      <abilityName>全半角检查</abilityName>
      <candidateList>
        <item>（</item>
      </candidateList>
      <explain>文本全半角错误。</explain>
      <paraID>6D5FB4C1</paraID>
      <start>3</start>
      <end>4</end>
      <status>unmodified</status>
      <modifiedWord/>
      <trackRevisions>false</trackRevisions>
    </reviewItem>
    <reviewItem>
      <errorID>76a0f049-f489-4f5d-8e80-b6c4e271c69b</errorID>
      <errorWord>)</errorWord>
      <group>L1_Format</group>
      <groupName>格式问题</groupName>
      <ability>L2_HalfPunc</ability>
      <abilityName>全半角检查</abilityName>
      <candidateList>
        <item>）</item>
      </candidateList>
      <explain>文本全半角错误。</explain>
      <paraID>6D5FB4C1</paraID>
      <start>8</start>
      <end>9</end>
      <status>unmodified</status>
      <modifiedWord/>
      <trackRevisions>false</trackRevisions>
    </reviewItem>
    <reviewItem>
      <errorID>566c12e0-ba2f-4e9b-9dbe-220b287907af</errorID>
      <errorWord>(</errorWord>
      <group>L1_Format</group>
      <groupName>格式问题</groupName>
      <ability>L2_HalfPunc</ability>
      <abilityName>全半角检查</abilityName>
      <candidateList>
        <item>（</item>
      </candidateList>
      <explain>文本全半角错误。</explain>
      <paraID>76D85A96</paraID>
      <start>2</start>
      <end>3</end>
      <status>unmodified</status>
      <modifiedWord/>
      <trackRevisions>false</trackRevisions>
    </reviewItem>
    <reviewItem>
      <errorID>ac41a316-1542-4fc4-b791-0f9f30cd9a26</errorID>
      <errorWord>)</errorWord>
      <group>L1_Format</group>
      <groupName>格式问题</groupName>
      <ability>L2_HalfPunc</ability>
      <abilityName>全半角检查</abilityName>
      <candidateList>
        <item>）</item>
      </candidateList>
      <explain>文本全半角错误。</explain>
      <paraID>76D85A96</paraID>
      <start>7</start>
      <end>8</end>
      <status>unmodified</status>
      <modifiedWord/>
      <trackRevisions>false</trackRevisions>
    </reviewItem>
    <reviewItem>
      <errorID>8892b084-e5eb-4b75-98d8-073588d3ad21</errorID>
      <errorWord>(</errorWord>
      <group>L1_Format</group>
      <groupName>格式问题</groupName>
      <ability>L2_HalfPunc</ability>
      <abilityName>全半角检查</abilityName>
      <candidateList>
        <item>（</item>
      </candidateList>
      <explain>文本全半角错误。</explain>
      <paraID>210299FB</paraID>
      <start>5</start>
      <end>6</end>
      <status>unmodified</status>
      <modifiedWord/>
      <trackRevisions>false</trackRevisions>
    </reviewItem>
    <reviewItem>
      <errorID>e3121530-e1d6-4edf-acee-34824a072aa7</errorID>
      <errorWord>)</errorWord>
      <group>L1_Format</group>
      <groupName>格式问题</groupName>
      <ability>L2_HalfPunc</ability>
      <abilityName>全半角检查</abilityName>
      <candidateList>
        <item>）</item>
      </candidateList>
      <explain>文本全半角错误。</explain>
      <paraID>210299FB</paraID>
      <start>10</start>
      <end>11</end>
      <status>unmodified</status>
      <modifiedWord/>
      <trackRevisions>false</trackRevisions>
    </reviewItem>
    <reviewItem>
      <errorID>7cd0bebb-508d-4abc-925b-95c754c84d25</errorID>
      <errorWord>(</errorWord>
      <group>L1_Format</group>
      <groupName>格式问题</groupName>
      <ability>L2_HalfPunc</ability>
      <abilityName>全半角检查</abilityName>
      <candidateList>
        <item>（</item>
      </candidateList>
      <explain>文本全半角错误。</explain>
      <paraID>4549D9B2</paraID>
      <start>3</start>
      <end>4</end>
      <status>unmodified</status>
      <modifiedWord/>
      <trackRevisions>false</trackRevisions>
    </reviewItem>
    <reviewItem>
      <errorID>de43dde3-ed0f-4f2c-bf7e-801e2f90145a</errorID>
      <errorWord>)</errorWord>
      <group>L1_Format</group>
      <groupName>格式问题</groupName>
      <ability>L2_HalfPunc</ability>
      <abilityName>全半角检查</abilityName>
      <candidateList>
        <item>）</item>
      </candidateList>
      <explain>文本全半角错误。</explain>
      <paraID>4549D9B2</paraID>
      <start>7</start>
      <end>8</end>
      <status>unmodified</status>
      <modifiedWord/>
      <trackRevisions>false</trackRevisions>
    </reviewItem>
    <reviewItem>
      <errorID>238168e6-7e00-4fb8-92be-1ca99bbd68e8</errorID>
      <errorWord>(</errorWord>
      <group>L1_Format</group>
      <groupName>格式问题</groupName>
      <ability>L2_HalfPunc</ability>
      <abilityName>全半角检查</abilityName>
      <candidateList>
        <item>（</item>
      </candidateList>
      <explain>文本全半角错误。</explain>
      <paraID> FAE9D5F</paraID>
      <start>3</start>
      <end>4</end>
      <status>unmodified</status>
      <modifiedWord/>
      <trackRevisions>false</trackRevisions>
    </reviewItem>
    <reviewItem>
      <errorID>36e77168-2cb4-40e7-b98b-205a84663ae5</errorID>
      <errorWord>)</errorWord>
      <group>L1_Format</group>
      <groupName>格式问题</groupName>
      <ability>L2_HalfPunc</ability>
      <abilityName>全半角检查</abilityName>
      <candidateList>
        <item>）</item>
      </candidateList>
      <explain>文本全半角错误。</explain>
      <paraID> FAE9D5F</paraID>
      <start>8</start>
      <end>9</end>
      <status>unmodified</status>
      <modifiedWord/>
      <trackRevisions>false</trackRevisions>
    </reviewItem>
    <reviewItem>
      <errorID>96841925-cbc7-414e-ae9e-6c0fe3c99aa4</errorID>
      <errorWord>(</errorWord>
      <group>L1_Format</group>
      <groupName>格式问题</groupName>
      <ability>L2_HalfPunc</ability>
      <abilityName>全半角检查</abilityName>
      <candidateList>
        <item>（</item>
      </candidateList>
      <explain>文本全半角错误。</explain>
      <paraID>7B3C479E</paraID>
      <start>3</start>
      <end>4</end>
      <status>unmodified</status>
      <modifiedWord/>
      <trackRevisions>false</trackRevisions>
    </reviewItem>
    <reviewItem>
      <errorID>90923aa8-2342-46e1-8099-22f5f68c553f</errorID>
      <errorWord>)</errorWord>
      <group>L1_Format</group>
      <groupName>格式问题</groupName>
      <ability>L2_HalfPunc</ability>
      <abilityName>全半角检查</abilityName>
      <candidateList>
        <item>）</item>
      </candidateList>
      <explain>文本全半角错误。</explain>
      <paraID>7B3C479E</paraID>
      <start>8</start>
      <end>9</end>
      <status>unmodified</status>
      <modifiedWord/>
      <trackRevisions>false</trackRevisions>
    </reviewItem>
    <reviewItem>
      <errorID>726f1112-1e2c-4d7e-898e-71098442a2b4</errorID>
      <errorWord>(</errorWord>
      <group>L1_Format</group>
      <groupName>格式问题</groupName>
      <ability>L2_HalfPunc</ability>
      <abilityName>全半角检查</abilityName>
      <candidateList>
        <item>（</item>
      </candidateList>
      <explain>文本全半角错误。</explain>
      <paraID>62A691C7</paraID>
      <start>3</start>
      <end>4</end>
      <status>unmodified</status>
      <modifiedWord/>
      <trackRevisions>false</trackRevisions>
    </reviewItem>
    <reviewItem>
      <errorID>1cb5805f-37b7-4dd9-8556-901c5cb12f50</errorID>
      <errorWord>)</errorWord>
      <group>L1_Format</group>
      <groupName>格式问题</groupName>
      <ability>L2_HalfPunc</ability>
      <abilityName>全半角检查</abilityName>
      <candidateList>
        <item>）</item>
      </candidateList>
      <explain>文本全半角错误。</explain>
      <paraID>62A691C7</paraID>
      <start>8</start>
      <end>9</end>
      <status>unmodified</status>
      <modifiedWord/>
      <trackRevisions>false</trackRevisions>
    </reviewItem>
    <reviewItem>
      <errorID>f7183643-a375-430b-a5d1-7f93b98d7e68</errorID>
      <errorWord>(</errorWord>
      <group>L1_Format</group>
      <groupName>格式问题</groupName>
      <ability>L2_HalfPunc</ability>
      <abilityName>全半角检查</abilityName>
      <candidateList>
        <item>（</item>
      </candidateList>
      <explain>文本全半角错误。</explain>
      <paraID>131F1643</paraID>
      <start>3</start>
      <end>4</end>
      <status>unmodified</status>
      <modifiedWord/>
      <trackRevisions>false</trackRevisions>
    </reviewItem>
    <reviewItem>
      <errorID>f2ef3d53-5624-4170-b5a7-290c7d0fe209</errorID>
      <errorWord>)</errorWord>
      <group>L1_Format</group>
      <groupName>格式问题</groupName>
      <ability>L2_HalfPunc</ability>
      <abilityName>全半角检查</abilityName>
      <candidateList>
        <item>）</item>
      </candidateList>
      <explain>文本全半角错误。</explain>
      <paraID>131F1643</paraID>
      <start>8</start>
      <end>9</end>
      <status>unmodified</status>
      <modifiedWord/>
      <trackRevisions>false</trackRevisions>
    </reviewItem>
    <reviewItem>
      <errorID>1ace407b-bd1d-4bc5-b837-478e1d405cf9</errorID>
      <errorWord>III类</errorWord>
      <group>L1_Knowledge</group>
      <groupName>知识性问题</groupName>
      <ability>L2_Knowledge</ability>
      <abilityName>其他知识</abilityName>
      <candidateList>
        <item>Ⅲ类</item>
      </candidateList>
      <explain/>
      <paraID>3F8FDE62</paraID>
      <start>56</start>
      <end>60</end>
      <status>unmodified</status>
      <modifiedWord/>
      <trackRevisions>false</trackRevisions>
    </reviewItem>
    <reviewItem>
      <errorID>03dbe327-d8f0-4821-83dc-52980e57d210</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 9C0C2A3</paraID>
      <start>68</start>
      <end>69</end>
      <status>unmodified</status>
      <modifiedWord/>
      <trackRevisions>false</trackRevisions>
    </reviewItem>
    <reviewItem>
      <errorID>3ac9f454-d833-4e0c-a9fc-db1ce0cbe672</errorID>
      <errorWord>(</errorWord>
      <group>L1_Format</group>
      <groupName>格式问题</groupName>
      <ability>L2_HalfPunc</ability>
      <abilityName>全半角检查</abilityName>
      <candidateList>
        <item>（</item>
      </candidateList>
      <explain>文本全半角错误。</explain>
      <paraID>26B45A0E</paraID>
      <start>34</start>
      <end>35</end>
      <status>unmodified</status>
      <modifiedWord/>
      <trackRevisions>false</trackRevisions>
    </reviewItem>
    <reviewItem>
      <errorID>7151378f-b216-4c9f-a21d-df20363617bb</errorID>
      <errorWord>)</errorWord>
      <group>L1_Format</group>
      <groupName>格式问题</groupName>
      <ability>L2_HalfPunc</ability>
      <abilityName>全半角检查</abilityName>
      <candidateList>
        <item>）</item>
      </candidateList>
      <explain>文本全半角错误。</explain>
      <paraID>26B45A0E</paraID>
      <start>47</start>
      <end>48</end>
      <status>unmodified</status>
      <modifiedWord/>
      <trackRevisions>false</trackRevisions>
    </reviewItem>
    <reviewItem>
      <errorID>a8afcc3e-889d-48d7-a9bf-9030cd2187f2</errorID>
      <errorWord>（</errorWord>
      <group>L1_Format</group>
      <groupName>格式问题</groupName>
      <ability>L2_HalfPunc</ability>
      <abilityName>全半角检查</abilityName>
      <candidateList>
        <item>(</item>
      </candidateList>
      <explain>文本全半角错误。</explain>
      <paraID>6F10582B</paraID>
      <start>3</start>
      <end>4</end>
      <status>unmodified</status>
      <modifiedWord/>
      <trackRevisions>false</trackRevisions>
    </reviewItem>
    <reviewItem>
      <errorID>bd2c706f-1b24-4cdb-a676-57ac967bb734</errorID>
      <errorWord>）</errorWord>
      <group>L1_Format</group>
      <groupName>格式问题</groupName>
      <ability>L2_HalfPunc</ability>
      <abilityName>全半角检查</abilityName>
      <candidateList>
        <item>)</item>
      </candidateList>
      <explain>文本全半角错误。</explain>
      <paraID>6F10582B</paraID>
      <start>5</start>
      <end>6</end>
      <status>unmodified</status>
      <modifiedWord/>
      <trackRevisions>false</trackRevisions>
    </reviewItem>
    <reviewItem>
      <errorID>26198dd2-cec8-4648-abc4-1d7eeb7458a8</errorID>
      <errorWord>(</errorWord>
      <group>L1_Format</group>
      <groupName>格式问题</groupName>
      <ability>L2_HalfPunc</ability>
      <abilityName>全半角检查</abilityName>
      <candidateList>
        <item>（</item>
      </candidateList>
      <explain>文本全半角错误。</explain>
      <paraID>6717A273</paraID>
      <start>64</start>
      <end>65</end>
      <status>unmodified</status>
      <modifiedWord/>
      <trackRevisions>false</trackRevisions>
    </reviewItem>
    <reviewItem>
      <errorID>1a17a4b6-755f-41a3-9e4f-56f1facb0141</errorID>
      <errorWord>)</errorWord>
      <group>L1_Format</group>
      <groupName>格式问题</groupName>
      <ability>L2_HalfPunc</ability>
      <abilityName>全半角检查</abilityName>
      <candidateList>
        <item>）</item>
      </candidateList>
      <explain>文本全半角错误。</explain>
      <paraID>6717A273</paraID>
      <start>76</start>
      <end>77</end>
      <status>unmodified</status>
      <modifiedWord/>
      <trackRevisions>false</trackRevisions>
    </reviewItem>
    <reviewItem>
      <errorID>9cfea2e7-86f2-404e-a618-efa1d5c5ce7e</errorID>
      <errorWord>为率</errorWord>
      <group>L1_Word</group>
      <groupName>字词问题</groupName>
      <ability>L2_Typo</ability>
      <abilityName>字词错误</abilityName>
      <candidateList>
        <item>为</item>
      </candidateList>
      <explain>（爲、為）wèi❶〈书〉帮助；卫护：～吕氏者右袒，～刘氏者左袒。❷〈介〉表示行为的对象；替：～你庆幸｜～人民服务｜～这本书写一篇序。❸〈介〉表示原因、目的：大家都～这件事高兴｜～建设伟大祖国而奋斗。❹〈书〉〈介〉对；向：不足～外人道。</explain>
      <paraID>6717A273</paraID>
      <start>140</start>
      <end>142</end>
      <status>unmodified</status>
      <modifiedWord/>
      <trackRevisions>false</trackRevisions>
    </reviewItem>
    <reviewItem>
      <errorID>38e50ff9-2813-484a-b959-877dbec1f633</errorID>
      <errorWord>0.07%~0.5%</errorWord>
      <group>L1_Knowledge</group>
      <groupName>知识性问题</groupName>
      <ability>L2_Knowledge</ability>
      <abilityName>其他知识</abilityName>
      <candidateList>
        <item>0.07%～0.5%</item>
      </candidateList>
      <explain>1. “0.07%~0.5%”中的单位“%”仅出现在后一个数字上，容易引起歧义；根据《现代汉语标点符号数字用法规范手册》，数字表示范围两边需要使用统一的格式。2. 根据标点国标 4.13 中的规则，数字、时间或地域连接符应使用（视觉上更长的）“—”或“～”。</explain>
      <paraID>6717A273</paraID>
      <start>180</start>
      <end>190</end>
      <status>unmodified</status>
      <modifiedWord/>
      <trackRevisions>false</trackRevisions>
    </reviewItem>
    <reviewItem>
      <errorID>d87d237f-9ebc-4975-ad7c-8e6e577f0ef0</errorID>
      <errorWord>0.14%~4.99%</errorWord>
      <group>L1_Knowledge</group>
      <groupName>知识性问题</groupName>
      <ability>L2_Knowledge</ability>
      <abilityName>其他知识</abilityName>
      <candidateList>
        <item>0.14%～4.99%</item>
      </candidateList>
      <explain>1. “0.14%~4.99%”中的单位“%”仅出现在后一个数字上，容易引起歧义；根据《现代汉语标点符号数字用法规范手册》，数字表示范围两边需要使用统一的格式。2. 根据标点国标 4.13 中的规则，数字、时间或地域连接符应使用（视觉上更长的）“—”或“～”。</explain>
      <paraID>6717A273</paraID>
      <start>306</start>
      <end>317</end>
      <status>unmodified</status>
      <modifiedWord/>
      <trackRevisions>false</trackRevisions>
    </reviewItem>
    <reviewItem>
      <errorID>249a41b7-e97d-42d1-9615-1ba4219774ef</errorID>
      <errorWord>0.0214%~0.4116%</errorWord>
      <group>L1_Knowledge</group>
      <groupName>知识性问题</groupName>
      <ability>L2_Knowledge</ability>
      <abilityName>其他知识</abilityName>
      <candidateList>
        <item>0.0214%～0.4116%</item>
      </candidateList>
      <explain>1. “0.0214%~0.4116%”中的单位“%”仅出现在后一个数字上，容易引起歧义；根据《现代汉语标点符号数字用法规范手册》，数字表示范围两边需要使用统一的格式。2. 根据标点国标 4.13 中的规则，数字、时间或地域连接符应使用（视觉上更长的）“—”或“～”。</explain>
      <paraID>6717A273</paraID>
      <start>386</start>
      <end>401</end>
      <status>unmodified</status>
      <modifiedWord/>
      <trackRevisions>false</trackRevisions>
    </reviewItem>
    <reviewItem>
      <errorID>d9aedbb3-4192-4457-aa9f-8946ac532922</errorID>
      <errorWord>污水厂</errorWord>
      <group>L1_Word</group>
      <groupName>字词问题</groupName>
      <ability>L2_Typo</ability>
      <abilityName>字词错误</abilityName>
      <candidateList>
        <item>污水处理厂</item>
      </candidateList>
      <explain/>
      <paraID>6DE99A87</paraID>
      <start>78</start>
      <end>81</end>
      <status>unmodified</status>
      <modifiedWord/>
      <trackRevisions>false</trackRevisions>
    </reviewItem>
    <reviewItem>
      <errorID>a8610b24-aa7c-4f57-8873-91335ecd85ca</errorID>
      <errorWord>产生的</errorWord>
      <group>L1_Word</group>
      <groupName>字词问题</groupName>
      <ability>L2_Typo</ability>
      <abilityName>字词错误</abilityName>
      <candidateList>
        <item>产生</item>
      </candidateList>
      <explain/>
      <paraID> D96809B</paraID>
      <start>73</start>
      <end>76</end>
      <status>unmodified</status>
      <modifiedWord/>
      <trackRevisions>false</trackRevisions>
    </reviewItem>
    <reviewItem>
      <errorID>e4d88441-77e7-4d01-bddb-80037e17eaa1</errorID>
      <errorWord>，</errorWord>
      <group>L1_Word</group>
      <groupName>字词问题</groupName>
      <ability>L2_Typo</ability>
      <abilityName>字词错误</abilityName>
      <candidateList>
        <item>，对</item>
      </candidateList>
      <explain/>
      <paraID>1DD0ABA0</paraID>
      <start>67</start>
      <end>68</end>
      <status>unmodified</status>
      <modifiedWord/>
      <trackRevisions>false</trackRevisions>
    </reviewItem>
    <reviewItem>
      <errorID>7a6af366-4e6f-4c48-ac23-9124af8d288e</errorID>
      <errorWord>提高</errorWord>
      <group>L1_Word</group>
      <groupName>字词问题</groupName>
      <ability>L2_Typo</ability>
      <abilityName>字词错误</abilityName>
      <candidateList>
        <item>增强</item>
      </candidateList>
      <explain>“提高～意识”搭配不当，建议修改为“增强～意识”。</explain>
      <paraID>1DD0ABA0</paraID>
      <start>151</start>
      <end>153</end>
      <status>unmodified</status>
      <modifiedWord/>
      <trackRevisions>false</trackRevisions>
    </reviewItem>
    <reviewItem>
      <errorID>954f7492-460a-4046-b3a1-ef45a4d6666e</errorID>
      <errorWord>所述</errorWord>
      <group>L1_Word</group>
      <groupName>字词问题</groupName>
      <ability>L2_Typo</ability>
      <abilityName>字词错误</abilityName>
      <candidateList>
        <item>所示</item>
      </candidateList>
      <explain/>
      <paraID>1F1325EB</paraID>
      <start>30</start>
      <end>32</end>
      <status>unmodified</status>
      <modifiedWord/>
      <trackRevisions>false</trackRevisions>
    </reviewItem>
    <reviewItem>
      <errorID>90cd8c63-db49-4ddc-9904-7fa2be95ffa4</errorID>
      <errorWord>査</errorWord>
      <group>L1_Word</group>
      <groupName>字词问题</groupName>
      <ability>L2_Fanti</ability>
      <abilityName>繁转简</abilityName>
      <candidateList>
        <item>查</item>
      </candidateList>
      <explain>（査）Zhā〈名〉姓。</explain>
      <paraID>6C9A0997</paraID>
      <start>100</start>
      <end>101</end>
      <status>unmodified</status>
      <modifiedWord/>
      <trackRevisions>false</trackRevisions>
    </reviewItem>
    <reviewItem>
      <errorID>f2793b26-ffd6-4e15-a5c9-5d92f60cc54c</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3BD210AD</paraID>
      <start>44</start>
      <end>45</end>
      <status>unmodified</status>
      <modifiedWord/>
      <trackRevisions>false</trackRevisions>
    </reviewItem>
    <reviewItem>
      <errorID>38df30ad-d1e4-4ead-95c4-4406106b47b2</errorID>
      <errorWord>》</errorWord>
      <group>L1_Word</group>
      <groupName>字词问题</groupName>
      <ability>L2_Typo</ability>
      <abilityName>字词错误</abilityName>
      <candidateList>
        <item>》等</item>
      </candidateList>
      <explain/>
      <paraID> C83AE3D</paraID>
      <start>65</start>
      <end>66</end>
      <status>unmodified</status>
      <modifiedWord/>
      <trackRevisions>false</trackRevisions>
    </reviewItem>
    <reviewItem>
      <errorID>cb956318-9722-4737-bd16-4e16886e21c0</errorID>
      <errorWord>双随机、一公开</errorWord>
      <group>L1_Political</group>
      <groupName>政治性问题</groupName>
      <ability>L2_Keyword</ability>
      <abilityName>固定表述</abilityName>
      <candidateList>
        <item>“双随机、一公开”</item>
      </candidateList>
      <explain>注意检查当前固定表述标点是否使用规范。</explain>
      <paraID>32C01056</paraID>
      <start>120</start>
      <end>127</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912bea-1180-4158-8e8a-5d47965c9ca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113</Pages>
  <Words>5053</Words>
  <Characters>5632</Characters>
  <Lines>695</Lines>
  <Paragraphs>195</Paragraphs>
  <TotalTime>12</TotalTime>
  <ScaleCrop>false</ScaleCrop>
  <LinksUpToDate>false</LinksUpToDate>
  <CharactersWithSpaces>5903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2018-08-02T07:21:00Z</dcterms:created>
  <dc:creator>admin</dc:creator>
  <cp:lastModifiedBy>哦呼</cp:lastModifiedBy>
  <cp:lastPrinted>2024-09-18T06:24:00Z</cp:lastPrinted>
  <dcterms:modified xsi:type="dcterms:W3CDTF">2026-06-11T00:24:15Z</dcterms:modified>
  <cp:revision>173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6D64369AB6C94D5592C6AA018AF2DA0D_13</vt:lpwstr>
  </property>
  <property fmtid="{D5CDD505-2E9C-101B-9397-08002B2CF9AE}" pid="4" name="KSOTemplateDocerSaveRecord">
    <vt:lpwstr>eyJoZGlkIjoiOGM2OGEzMWVkMDllMzZmNjUzNWVmMzQ5MTdhYmUyNWIiLCJ1c2VySWQiOiI1NjA5NzA0NzkifQ==</vt:lpwstr>
  </property>
</Properties>
</file>